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Pavletic Aranicki Ksenija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Odyssey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ODTX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ODYSSEY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51 SLEEPER STREET, SUITE 800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Jolie M. Siegel,</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firstLine="365"/>
        <w:spacing w:after="0" w:line="266" w:lineRule="exact"/>
        <w:rPr>
          <w:sz w:val="20"/>
          <w:szCs w:val="20"/>
          <w:color w:val="auto"/>
        </w:rPr>
      </w:pPr>
      <w:r>
        <w:rPr>
          <w:rFonts w:ascii="Times New Roman" w:cs="Times New Roman" w:eastAsia="Times New Roman" w:hAnsi="Times New Roman"/>
          <w:sz w:val="22"/>
          <w:szCs w:val="22"/>
          <w:color w:val="auto"/>
        </w:rPr>
        <w:t>The undersigned hereby makes, constitutes and appoints each of Gary D. Glick, Jolie M. Siegel, Natalie Dales and Tyler Cochrane, or either of them acting singly, and with full power of substitution and re-substitution,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(each such person and their substitutes being referred to herein as the “Attorney-in-Fact”), with full power to act for the undersigned and in the undersigned’s name, place and stead, in any and all capacities, to:</w:t>
      </w:r>
    </w:p>
    <w:p>
      <w:pPr>
        <w:spacing w:after="0" w:line="93" w:lineRule="exact"/>
        <w:rPr>
          <w:sz w:val="20"/>
          <w:szCs w:val="20"/>
          <w:color w:val="auto"/>
        </w:rPr>
      </w:pPr>
    </w:p>
    <w:p>
      <w:pPr>
        <w:jc w:val="both"/>
        <w:ind w:left="720" w:hanging="355"/>
        <w:spacing w:after="0" w:line="249"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83" w:lineRule="exact"/>
        <w:rPr>
          <w:rFonts w:ascii="Times New Roman" w:cs="Times New Roman" w:eastAsia="Times New Roman" w:hAnsi="Times New Roman"/>
          <w:sz w:val="22"/>
          <w:szCs w:val="22"/>
          <w:color w:val="auto"/>
        </w:rPr>
      </w:pPr>
    </w:p>
    <w:p>
      <w:pPr>
        <w:jc w:val="both"/>
        <w:ind w:left="720" w:hanging="355"/>
        <w:spacing w:after="0" w:line="24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 Odyssey Therapeutics, Inc. (including any successors or assigns,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any security of the Company, including Forms 3, 4 and 5, Schedules 13D and 13G, and Forms 144; and</w:t>
      </w:r>
    </w:p>
    <w:p>
      <w:pPr>
        <w:spacing w:after="0" w:line="82" w:lineRule="exact"/>
        <w:rPr>
          <w:rFonts w:ascii="Times New Roman" w:cs="Times New Roman" w:eastAsia="Times New Roman" w:hAnsi="Times New Roman"/>
          <w:sz w:val="22"/>
          <w:szCs w:val="22"/>
          <w:color w:val="auto"/>
        </w:rPr>
      </w:pPr>
    </w:p>
    <w:p>
      <w:pPr>
        <w:jc w:val="both"/>
        <w:ind w:left="720" w:hanging="355"/>
        <w:spacing w:after="0" w:line="252"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122" w:lineRule="exact"/>
        <w:rPr>
          <w:sz w:val="20"/>
          <w:szCs w:val="20"/>
          <w:color w:val="auto"/>
        </w:rPr>
      </w:pPr>
    </w:p>
    <w:p>
      <w:pPr>
        <w:ind w:left="1300" w:right="20" w:hanging="366"/>
        <w:spacing w:after="0" w:line="273"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54" w:lineRule="exact"/>
        <w:rPr>
          <w:rFonts w:ascii="Times New Roman" w:cs="Times New Roman" w:eastAsia="Times New Roman" w:hAnsi="Times New Roman"/>
          <w:sz w:val="22"/>
          <w:szCs w:val="22"/>
          <w:color w:val="auto"/>
        </w:rPr>
      </w:pPr>
    </w:p>
    <w:p>
      <w:pPr>
        <w:jc w:val="both"/>
        <w:ind w:left="1300" w:hanging="366"/>
        <w:spacing w:after="0" w:line="257"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2"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8"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and Rule 144, including, without limitation, the reporting requirements under Section 13 or Section 16 of the Exchange Act and Rule 144.</w:t>
      </w:r>
    </w:p>
    <w:p>
      <w:pPr>
        <w:spacing w:after="0" w:line="78"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1043940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the date set forth below.</w:t>
      </w:r>
    </w:p>
    <w:p>
      <w:pPr>
        <w:spacing w:after="0" w:line="2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/s/ KSENIJA PAVLETIC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17145</wp:posOffset>
            </wp:positionV>
            <wp:extent cx="24301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30145" cy="9525"/>
                    </a:xfrm>
                    <a:prstGeom prst="rect">
                      <a:avLst/>
                    </a:prstGeom>
                    <a:noFill/>
                  </pic:spPr>
                </pic:pic>
              </a:graphicData>
            </a:graphic>
          </wp:anchor>
        </w:drawing>
      </w:r>
    </w:p>
    <w:p>
      <w:pPr>
        <w:spacing w:after="0" w:line="1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Name: KSENIJA PAVLETIC</w:t>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Date: 31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1209040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31727" TargetMode="External"/><Relationship Id="rId11" Type="http://schemas.openxmlformats.org/officeDocument/2006/relationships/hyperlink" Target="http://www.sec.gov/cgi-bin/browse-edgar?action=getcompany&amp;CIK=0001882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2026-05-07T20:19:27Z</dcterms:created>
  <dcterms:modified xsi:type="dcterms:W3CDTF">2026-05-07T20:19:27Z</dcterms:modified>
</cp:coreProperties>
</file>