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23.jpeg" ContentType="image/jpeg"/>
  <Override PartName="/word/media/image1.jpeg" ContentType="image/jpeg"/>
  <Override PartName="/word/media/image35.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20.jpeg" ContentType="image/jpeg"/>
  <Override PartName="/word/media/image21.jpeg" ContentType="image/jpeg"/>
  <Override PartName="/word/media/image16.jpeg" ContentType="image/jpeg"/>
  <Override PartName="/word/media/image60.jpeg" ContentType="image/jpeg"/>
  <Override PartName="/word/media/image3.jpeg" ContentType="image/jpeg"/>
  <Override PartName="/word/media/image37.jpeg" ContentType="image/jpeg"/>
  <Override PartName="/word/media/image17.jpeg" ContentType="image/jpeg"/>
  <Override PartName="/word/media/image61.jpeg" ContentType="image/jpeg"/>
  <Override PartName="/word/media/image4.jpeg" ContentType="image/jpeg"/>
  <Override PartName="/word/media/image18.jpeg" ContentType="image/jpeg"/>
  <Override PartName="/word/media/image62.jpeg" ContentType="image/jpeg"/>
  <Override PartName="/word/media/image5.jpeg" ContentType="image/jpeg"/>
  <Override PartName="/word/media/image75.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19.jpeg" ContentType="image/jpeg"/>
  <Override PartName="/word/media/image63.jpeg" ContentType="image/jpeg"/>
  <Override PartName="/word/media/image6.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odtx-20260504.htm"/>
        <w:bookmarkStart w:id="1" w:name="ksodtx20260504"/>
        <w:bookmarkEnd w:id="0"/>
        <w:bookmarkEnd w:id="1"/>
        <w:r>
          <w:rPr>
            <w:rStyle w:val="InternetLink"/>
            <w:rFonts w:ascii="Times New Roman" w:hAnsi="Times New Roman"/>
            <w:b/>
            <w:color w:val="0000FF"/>
            <w:sz w:val="20"/>
            <w:u w:val="single"/>
          </w:rPr>
          <w:t>Table of Contents</w:t>
        </w:r>
      </w:hyperlink>
      <w:r>
        <mc:AlternateContent>
          <mc:Choice Requires="wps">
            <w:drawing>
              <wp:anchor behindDoc="0" distT="0" distB="0" distL="0" distR="0" simplePos="0" locked="0" layoutInCell="1" allowOverlap="1" relativeHeight="2">
                <wp:simplePos x="0" y="0"/>
                <wp:positionH relativeFrom="page">
                  <wp:posOffset>-4580255</wp:posOffset>
                </wp:positionH>
                <wp:positionV relativeFrom="page">
                  <wp:posOffset>5037455</wp:posOffset>
                </wp:positionV>
                <wp:extent cx="7560310" cy="840740"/>
                <wp:effectExtent l="0" t="0" r="0" b="0"/>
                <wp:wrapNone/>
                <wp:docPr id="1" name="Frame1"/>
                <a:graphic xmlns:a="http://schemas.openxmlformats.org/drawingml/2006/main">
                  <a:graphicData uri="http://schemas.microsoft.com/office/word/2010/wordprocessingShape">
                    <wps:wsp>
                      <wps:cNvSpPr txBox="1"/>
                      <wps:spPr>
                        <a:xfrm>
                          <a:off x="0" y="0"/>
                          <a:ext cx="7560310" cy="840740"/>
                        </a:xfrm>
                        <a:prstGeom prst="rect"/>
                        <a:solidFill>
                          <a:srgbClr val="FFFFFF"/>
                        </a:solidFill>
                      </wps:spPr>
                      <wps:txbx>
                        <w:txbxContent>
                          <w:p>
                            <w:pPr>
                              <w:pStyle w:val="TextBody"/>
                              <w:bidi w:val="0"/>
                              <w:spacing w:before="120" w:after="283"/>
                              <w:jc w:val="both"/>
                              <w:rPr>
                                <w:rFonts w:ascii="Times New Roman" w:hAnsi="Times New Roman"/>
                                <w:sz w:val="20"/>
                              </w:rPr>
                            </w:pPr>
                            <w:r>
                              <w:rPr>
                                <w:rFonts w:ascii="Arial Narrow;sans-serif" w:hAnsi="Arial Narrow;sans-serif"/>
                                <w:color w:val="DE1A1E"/>
                                <w:sz w:val="1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r>
                              <w:rPr>
                                <w:rFonts w:ascii="Times New Roman" w:hAnsi="Times New Roman"/>
                                <w:color w:val="DE1A1E"/>
                                <w:sz w:val="20"/>
                              </w:rPr>
                              <w:t xml:space="preserve"> </w:t>
                            </w:r>
                          </w:p>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595.3pt;height:66.2pt;mso-wrap-distance-left:0pt;mso-wrap-distance-right:0pt;mso-wrap-distance-top:0pt;mso-wrap-distance-bottom:0pt;margin-top:396.65pt;mso-position-vertical-relative:page;margin-left:-360.65pt;mso-position-horizontal-relative:page">
                <v:textbox inset="0in,0in,0in,0in">
                  <w:txbxContent>
                    <w:p>
                      <w:pPr>
                        <w:pStyle w:val="TextBody"/>
                        <w:bidi w:val="0"/>
                        <w:spacing w:before="120" w:after="283"/>
                        <w:jc w:val="both"/>
                        <w:rPr>
                          <w:rFonts w:ascii="Times New Roman" w:hAnsi="Times New Roman"/>
                          <w:sz w:val="20"/>
                        </w:rPr>
                      </w:pPr>
                      <w:r>
                        <w:rPr>
                          <w:rFonts w:ascii="Arial Narrow;sans-serif" w:hAnsi="Arial Narrow;sans-serif"/>
                          <w:color w:val="DE1A1E"/>
                          <w:sz w:val="1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r>
                        <w:rPr>
                          <w:rFonts w:ascii="Times New Roman" w:hAnsi="Times New Roman"/>
                          <w:color w:val="DE1A1E"/>
                          <w:sz w:val="20"/>
                        </w:rPr>
                        <w:t xml:space="preserve"> </w:t>
                      </w:r>
                    </w:p>
                    <w:p>
                      <w:pPr>
                        <w:pStyle w:val="TextBody"/>
                        <w:bidi w:val="0"/>
                        <w:spacing w:before="0" w:after="283"/>
                        <w:jc w:val="left"/>
                        <w:rPr/>
                      </w:pPr>
                      <w:r>
                        <w:rPr/>
                        <w:t> </w:t>
                      </w:r>
                    </w:p>
                  </w:txbxContent>
                </v:textbox>
                <w10:wrap type="none"/>
              </v:rect>
            </w:pict>
          </mc:Fallback>
        </mc:AlternateConten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4"/>
        </w:rPr>
        <w:t>As filed with the Securities and Exchange Commission on May 4, 2026.</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Arial" w:hAnsi="Arial"/>
          <w:b/>
          <w:color w:val="000000"/>
          <w:sz w:val="14"/>
        </w:rPr>
        <w:t>Registration No. 333-295141</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8"/>
        </w:rPr>
        <w:t>Washington, D.C. 20549</w:t>
      </w:r>
      <w:r>
        <w:rPr>
          <w:rFonts w:ascii="Times New Roman" w:hAnsi="Times New Roman"/>
          <w:color w:val="000000"/>
          <w:sz w:val="20"/>
        </w:rPr>
        <w:t xml:space="preserve"> </w:t>
      </w:r>
    </w:p>
    <w:p>
      <w:pPr>
        <w:pStyle w:val="TextBody"/>
        <w:bidi w:val="0"/>
        <w:ind w:left="4435" w:right="4435" w:hanging="0"/>
        <w:jc w:val="center"/>
        <w:rPr/>
      </w:pPr>
      <w:r>
        <w:rPr/>
        <w:t> </w:t>
      </w:r>
    </w:p>
    <w:p>
      <w:pPr>
        <w:pStyle w:val="TextBody"/>
        <w:bidi w:val="0"/>
        <w:jc w:val="center"/>
        <w:rPr>
          <w:rFonts w:ascii="Arial" w:hAnsi="Arial"/>
          <w:b/>
          <w:color w:val="000000"/>
          <w:sz w:val="24"/>
        </w:rPr>
      </w:pPr>
      <w:r>
        <w:rPr>
          <w:rFonts w:ascii="Arial" w:hAnsi="Arial"/>
          <w:b/>
          <w:color w:val="000000"/>
          <w:sz w:val="24"/>
        </w:rPr>
        <w:t>AMENDMENT NO. 1</w:t>
      </w:r>
    </w:p>
    <w:p>
      <w:pPr>
        <w:pStyle w:val="TextBody"/>
        <w:bidi w:val="0"/>
        <w:spacing w:before="60" w:after="283"/>
        <w:jc w:val="center"/>
        <w:rPr>
          <w:rFonts w:ascii="Arial" w:hAnsi="Arial"/>
          <w:b/>
          <w:color w:val="000000"/>
          <w:sz w:val="24"/>
        </w:rPr>
      </w:pPr>
      <w:r>
        <w:rPr>
          <w:rFonts w:ascii="Arial" w:hAnsi="Arial"/>
          <w:b/>
          <w:color w:val="000000"/>
          <w:sz w:val="24"/>
        </w:rPr>
        <w:t>TO</w:t>
      </w:r>
    </w:p>
    <w:p>
      <w:pPr>
        <w:pStyle w:val="TextBody"/>
        <w:bidi w:val="0"/>
        <w:spacing w:before="60" w:after="283"/>
        <w:jc w:val="center"/>
        <w:rPr>
          <w:rFonts w:ascii="Times New Roman" w:hAnsi="Times New Roman"/>
          <w:sz w:val="20"/>
        </w:rPr>
      </w:pPr>
      <w:r>
        <w:rPr>
          <w:rFonts w:ascii="Arial" w:hAnsi="Arial"/>
          <w:b/>
          <w:color w:val="000000"/>
          <w:sz w:val="24"/>
        </w:rPr>
        <w:t>FORM S-1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i/>
          <w:color w:val="000000"/>
          <w:sz w:val="18"/>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i/>
          <w:color w:val="000000"/>
          <w:sz w:val="18"/>
        </w:rPr>
        <w:t>THE SECURITIES ACT OF 1933</w:t>
      </w:r>
      <w:r>
        <w:rPr>
          <w:rFonts w:ascii="Times New Roman" w:hAnsi="Times New Roman"/>
          <w:color w:val="000000"/>
          <w:sz w:val="20"/>
        </w:rPr>
        <w:t xml:space="preserve"> </w:t>
      </w:r>
    </w:p>
    <w:p>
      <w:pPr>
        <w:pStyle w:val="TextBody"/>
        <w:bidi w:val="0"/>
        <w:spacing w:before="60" w:after="283"/>
        <w:ind w:left="4435" w:right="4435" w:hanging="0"/>
        <w:jc w:val="center"/>
        <w:rPr>
          <w:rFonts w:ascii="Times New Roman" w:hAnsi="Times New Roman"/>
          <w:sz w:val="20"/>
        </w:rPr>
      </w:pPr>
      <w:r>
        <w:rPr>
          <w:rFonts w:ascii="Arial" w:hAnsi="Arial"/>
          <w:b/>
          <w:color w:val="000000"/>
          <w:sz w:val="32"/>
        </w:rPr>
        <w:t>ODYSSEY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4"/>
        </w:rPr>
        <w:t>(Exact name of registrant as specified in its charter)</w:t>
      </w:r>
      <w:r>
        <w:rPr>
          <w:rFonts w:ascii="Times New Roman" w:hAnsi="Times New Roman"/>
          <w:color w:val="000000"/>
          <w:sz w:val="20"/>
        </w:rPr>
        <w:t xml:space="preserve"> </w:t>
      </w:r>
    </w:p>
    <w:tbl>
      <w:tblPr>
        <w:tblW w:w="5568" w:type="dxa"/>
        <w:jc w:val="left"/>
        <w:tblInd w:w="0" w:type="dxa"/>
        <w:tblLayout w:type="fixed"/>
        <w:tblCellMar>
          <w:top w:w="28" w:type="dxa"/>
          <w:left w:w="28" w:type="dxa"/>
          <w:bottom w:w="28" w:type="dxa"/>
          <w:right w:w="28" w:type="dxa"/>
        </w:tblCellMar>
      </w:tblPr>
      <w:tblGrid>
        <w:gridCol w:w="2041"/>
        <w:gridCol w:w="1951"/>
        <w:gridCol w:w="1576"/>
      </w:tblGrid>
      <w:tr>
        <w:trPr/>
        <w:tc>
          <w:tcPr>
            <w:tcW w:w="204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Delaware</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2836</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86-3384382</w:t>
            </w:r>
          </w:p>
        </w:tc>
      </w:tr>
      <w:tr>
        <w:trPr/>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(State or other jurisdiction of</w:t>
              <w:br/>
              <w:t>incorporation or organization)</w:t>
            </w:r>
          </w:p>
        </w:tc>
        <w:tc>
          <w:tcPr>
            <w:tcW w:w="195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(Primary Standard Industrial</w:t>
              <w:br/>
              <w:t>Classification Code Number)</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Number)</w:t>
            </w:r>
          </w:p>
        </w:tc>
      </w:tr>
    </w:tbl>
    <w:p>
      <w:pPr>
        <w:pStyle w:val="TextBody"/>
        <w:bidi w:val="0"/>
        <w:spacing w:before="60" w:after="283"/>
        <w:jc w:val="center"/>
        <w:rPr>
          <w:rFonts w:ascii="Times New Roman" w:hAnsi="Times New Roman"/>
          <w:sz w:val="20"/>
        </w:rPr>
      </w:pPr>
      <w:r>
        <w:rPr>
          <w:rFonts w:ascii="Arial" w:hAnsi="Arial"/>
          <w:b/>
          <w:color w:val="000000"/>
          <w:sz w:val="16"/>
        </w:rPr>
        <w:t>51 Sleeper Street</w:t>
      </w:r>
      <w:r>
        <w:rPr>
          <w:rFonts w:ascii="Times New Roman" w:hAnsi="Times New Roman"/>
          <w:color w:val="000000"/>
          <w:sz w:val="20"/>
        </w:rPr>
        <w:t xml:space="preserve"> </w:t>
      </w:r>
    </w:p>
    <w:p>
      <w:pPr>
        <w:pStyle w:val="TextBody"/>
        <w:bidi w:val="0"/>
        <w:jc w:val="center"/>
        <w:rPr>
          <w:rFonts w:ascii="Arial" w:hAnsi="Arial"/>
          <w:b/>
          <w:color w:val="000000"/>
          <w:sz w:val="16"/>
        </w:rPr>
      </w:pPr>
      <w:r>
        <w:rPr>
          <w:rFonts w:ascii="Arial" w:hAnsi="Arial"/>
          <w:b/>
          <w:color w:val="000000"/>
          <w:sz w:val="16"/>
        </w:rPr>
        <w:t>Suite 800</w:t>
      </w:r>
    </w:p>
    <w:p>
      <w:pPr>
        <w:pStyle w:val="TextBody"/>
        <w:bidi w:val="0"/>
        <w:jc w:val="center"/>
        <w:rPr>
          <w:rFonts w:ascii="Times New Roman" w:hAnsi="Times New Roman"/>
          <w:sz w:val="20"/>
        </w:rPr>
      </w:pPr>
      <w:r>
        <w:rPr>
          <w:rFonts w:ascii="Arial" w:hAnsi="Arial"/>
          <w:b/>
          <w:color w:val="000000"/>
          <w:sz w:val="16"/>
        </w:rPr>
        <w:t>Boston, Massachusetts 02210</w:t>
      </w:r>
      <w:r>
        <w:rPr>
          <w:rFonts w:ascii="Times New Roman" w:hAnsi="Times New Roman"/>
          <w:color w:val="000000"/>
          <w:sz w:val="20"/>
        </w:rPr>
        <w:t xml:space="preserve"> </w:t>
      </w:r>
    </w:p>
    <w:p>
      <w:pPr>
        <w:pStyle w:val="TextBody"/>
        <w:bidi w:val="0"/>
        <w:jc w:val="center"/>
        <w:rPr>
          <w:rFonts w:ascii="Arial" w:hAnsi="Arial"/>
          <w:b/>
          <w:color w:val="000000"/>
          <w:sz w:val="16"/>
        </w:rPr>
      </w:pPr>
      <w:r>
        <w:rPr>
          <w:rFonts w:ascii="Arial" w:hAnsi="Arial"/>
          <w:b/>
          <w:color w:val="000000"/>
          <w:sz w:val="16"/>
        </w:rPr>
        <w:t>(617) 865-9628</w:t>
      </w:r>
    </w:p>
    <w:p>
      <w:pPr>
        <w:pStyle w:val="TextBody"/>
        <w:bidi w:val="0"/>
        <w:jc w:val="center"/>
        <w:rPr>
          <w:rFonts w:ascii="Times New Roman" w:hAnsi="Times New Roman"/>
          <w:sz w:val="20"/>
        </w:rPr>
      </w:pPr>
      <w:r>
        <w:rPr>
          <w:rFonts w:ascii="Arial" w:hAnsi="Arial"/>
          <w:b/>
          <w:color w:val="000000"/>
          <w:sz w:val="14"/>
        </w:rPr>
        <w:t>(Address, including zip code, and telephone number, including area code, of registrant’s principal executive offices)</w:t>
      </w:r>
      <w:r>
        <w:rPr>
          <w:rFonts w:ascii="Times New Roman" w:hAnsi="Times New Roman"/>
          <w:color w:val="000000"/>
          <w:sz w:val="20"/>
        </w:rPr>
        <w:t xml:space="preserve"> </w:t>
      </w:r>
    </w:p>
    <w:p>
      <w:pPr>
        <w:pStyle w:val="TextBody"/>
        <w:bidi w:val="0"/>
        <w:spacing w:before="60" w:after="283"/>
        <w:ind w:left="4435" w:right="4435" w:hanging="0"/>
        <w:jc w:val="center"/>
        <w:rPr>
          <w:rFonts w:ascii="Times New Roman" w:hAnsi="Times New Roman"/>
          <w:sz w:val="20"/>
        </w:rPr>
      </w:pPr>
      <w:r>
        <w:rPr>
          <w:rFonts w:ascii="Arial" w:hAnsi="Arial"/>
          <w:b/>
          <w:color w:val="000000"/>
          <w:sz w:val="16"/>
        </w:rPr>
        <w:t>Gary D. Glick, Ph.D.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6"/>
        </w:rPr>
        <w:t>President and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6"/>
        </w:rPr>
        <w:t>Odyssey Therapeutics, Inc.</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16"/>
        </w:rPr>
        <w:t>51 Sleeper Street</w:t>
      </w:r>
      <w:r>
        <w:rPr>
          <w:rFonts w:ascii="Times New Roman" w:hAnsi="Times New Roman"/>
          <w:color w:val="000000"/>
          <w:sz w:val="20"/>
        </w:rPr>
        <w:t xml:space="preserve"> </w:t>
      </w:r>
    </w:p>
    <w:p>
      <w:pPr>
        <w:pStyle w:val="TextBody"/>
        <w:bidi w:val="0"/>
        <w:jc w:val="center"/>
        <w:rPr>
          <w:rFonts w:ascii="Arial" w:hAnsi="Arial"/>
          <w:b/>
          <w:color w:val="000000"/>
          <w:sz w:val="16"/>
        </w:rPr>
      </w:pPr>
      <w:r>
        <w:rPr>
          <w:rFonts w:ascii="Arial" w:hAnsi="Arial"/>
          <w:b/>
          <w:color w:val="000000"/>
          <w:sz w:val="16"/>
        </w:rPr>
        <w:t>Suite 800</w:t>
      </w:r>
    </w:p>
    <w:p>
      <w:pPr>
        <w:pStyle w:val="TextBody"/>
        <w:bidi w:val="0"/>
        <w:jc w:val="center"/>
        <w:rPr>
          <w:rFonts w:ascii="Times New Roman" w:hAnsi="Times New Roman"/>
          <w:sz w:val="20"/>
        </w:rPr>
      </w:pPr>
      <w:r>
        <w:rPr>
          <w:rFonts w:ascii="Arial" w:hAnsi="Arial"/>
          <w:b/>
          <w:color w:val="000000"/>
          <w:sz w:val="16"/>
        </w:rPr>
        <w:t>Boston, Massachusetts 02210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6"/>
        </w:rPr>
        <w:t>(617) 865-9628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4"/>
        </w:rPr>
        <w:t>(Name, address, including zip code, and telephone number, including area code, of agent for service)</w:t>
      </w:r>
      <w:r>
        <w:rPr>
          <w:rFonts w:ascii="Times New Roman" w:hAnsi="Times New Roman"/>
          <w:color w:val="000000"/>
          <w:sz w:val="20"/>
        </w:rPr>
        <w:t xml:space="preserve"> </w:t>
      </w:r>
    </w:p>
    <w:p>
      <w:pPr>
        <w:pStyle w:val="TextBody"/>
        <w:pBdr>
          <w:bottom w:val="single" w:sz="8" w:space="1" w:color="000000"/>
        </w:pBdr>
        <w:bidi w:val="0"/>
        <w:ind w:left="4435" w:right="4435" w:hanging="0"/>
        <w:jc w:val="center"/>
        <w:rPr/>
      </w:pPr>
      <w:r>
        <w:rPr/>
        <w:t> </w:t>
      </w:r>
    </w:p>
    <w:p>
      <w:pPr>
        <w:pStyle w:val="TextBody"/>
        <w:bidi w:val="0"/>
        <w:spacing w:before="60" w:after="283"/>
        <w:jc w:val="center"/>
        <w:rPr>
          <w:rFonts w:ascii="Times New Roman" w:hAnsi="Times New Roman"/>
          <w:sz w:val="20"/>
        </w:rPr>
      </w:pPr>
      <w:r>
        <w:rPr>
          <w:rFonts w:ascii="Arial" w:hAnsi="Arial"/>
          <w:b/>
          <w:i/>
          <w:color w:val="000000"/>
          <w:sz w:val="16"/>
        </w:rPr>
        <w:t>Copies to:</w:t>
      </w:r>
      <w:r>
        <w:rPr>
          <w:rFonts w:ascii="Times New Roman" w:hAnsi="Times New Roman"/>
          <w:color w:val="000000"/>
          <w:sz w:val="20"/>
        </w:rPr>
        <w:t xml:space="preserve"> </w:t>
      </w:r>
    </w:p>
    <w:tbl>
      <w:tblPr>
        <w:tblW w:w="8268" w:type="dxa"/>
        <w:jc w:val="left"/>
        <w:tblInd w:w="0" w:type="dxa"/>
        <w:tblLayout w:type="fixed"/>
        <w:tblCellMar>
          <w:top w:w="28" w:type="dxa"/>
          <w:left w:w="28" w:type="dxa"/>
          <w:bottom w:w="28" w:type="dxa"/>
          <w:right w:w="28" w:type="dxa"/>
        </w:tblCellMar>
      </w:tblPr>
      <w:tblGrid>
        <w:gridCol w:w="2401"/>
        <w:gridCol w:w="3826"/>
        <w:gridCol w:w="2041"/>
      </w:tblGrid>
      <w:tr>
        <w:trPr/>
        <w:tc>
          <w:tcPr>
            <w:tcW w:w="240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Brian K. Rosenzweig</w:t>
            </w:r>
          </w:p>
          <w:p>
            <w:pPr>
              <w:pStyle w:val="TableContents"/>
              <w:bidi w:val="0"/>
              <w:jc w:val="center"/>
              <w:rPr>
                <w:rFonts w:ascii="Arial" w:hAnsi="Arial"/>
                <w:b/>
                <w:color w:val="000000"/>
                <w:sz w:val="14"/>
              </w:rPr>
            </w:pPr>
            <w:r>
              <w:rPr>
                <w:rFonts w:ascii="Arial" w:hAnsi="Arial"/>
                <w:b/>
                <w:color w:val="000000"/>
                <w:sz w:val="14"/>
              </w:rPr>
              <w:t>Alicia Zhang</w:t>
            </w:r>
          </w:p>
          <w:p>
            <w:pPr>
              <w:pStyle w:val="TableContents"/>
              <w:bidi w:val="0"/>
              <w:jc w:val="center"/>
              <w:rPr>
                <w:rFonts w:ascii="Arial" w:hAnsi="Arial"/>
                <w:b/>
                <w:color w:val="000000"/>
                <w:sz w:val="14"/>
              </w:rPr>
            </w:pPr>
            <w:r>
              <w:rPr>
                <w:rFonts w:ascii="Arial" w:hAnsi="Arial"/>
                <w:b/>
                <w:color w:val="000000"/>
                <w:sz w:val="14"/>
              </w:rPr>
              <w:t>Joseph Gangitano</w:t>
            </w:r>
          </w:p>
          <w:p>
            <w:pPr>
              <w:pStyle w:val="TableContents"/>
              <w:bidi w:val="0"/>
              <w:jc w:val="center"/>
              <w:rPr>
                <w:rFonts w:ascii="Arial" w:hAnsi="Arial"/>
                <w:b/>
                <w:color w:val="000000"/>
                <w:sz w:val="14"/>
              </w:rPr>
            </w:pPr>
            <w:r>
              <w:rPr>
                <w:rFonts w:ascii="Arial" w:hAnsi="Arial"/>
                <w:b/>
                <w:color w:val="000000"/>
                <w:sz w:val="14"/>
              </w:rPr>
              <w:t>Megan N. Gates</w:t>
            </w:r>
          </w:p>
          <w:p>
            <w:pPr>
              <w:pStyle w:val="TableContents"/>
              <w:bidi w:val="0"/>
              <w:jc w:val="center"/>
              <w:rPr>
                <w:rFonts w:ascii="Arial" w:hAnsi="Arial"/>
                <w:b/>
                <w:color w:val="000000"/>
                <w:sz w:val="14"/>
              </w:rPr>
            </w:pPr>
            <w:r>
              <w:rPr>
                <w:rFonts w:ascii="Arial" w:hAnsi="Arial"/>
                <w:b/>
                <w:color w:val="000000"/>
                <w:sz w:val="14"/>
              </w:rPr>
              <w:t>Covington &amp; Burling LLP</w:t>
            </w:r>
          </w:p>
          <w:p>
            <w:pPr>
              <w:pStyle w:val="TableContents"/>
              <w:bidi w:val="0"/>
              <w:spacing w:before="0" w:after="20"/>
              <w:jc w:val="center"/>
              <w:rPr>
                <w:rFonts w:ascii="Arial" w:hAnsi="Arial"/>
                <w:b/>
                <w:color w:val="000000"/>
                <w:sz w:val="14"/>
              </w:rPr>
            </w:pPr>
            <w:r>
              <w:rPr>
                <w:rFonts w:ascii="Arial" w:hAnsi="Arial"/>
                <w:b/>
                <w:color w:val="000000"/>
                <w:sz w:val="14"/>
              </w:rPr>
              <w:t>One International Place, Suite 1020</w:t>
              <w:br/>
              <w:t>Boston, Massachusetts 02110</w:t>
              <w:br/>
              <w:t>(617) 603-8805</w:t>
            </w:r>
          </w:p>
        </w:tc>
        <w:tc>
          <w:tcPr>
            <w:tcW w:w="382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Jolie M. Siegel</w:t>
            </w:r>
          </w:p>
          <w:p>
            <w:pPr>
              <w:pStyle w:val="TableContents"/>
              <w:bidi w:val="0"/>
              <w:jc w:val="center"/>
              <w:rPr>
                <w:rFonts w:ascii="Arial" w:hAnsi="Arial"/>
                <w:b/>
                <w:color w:val="000000"/>
                <w:sz w:val="14"/>
              </w:rPr>
            </w:pPr>
            <w:r>
              <w:rPr>
                <w:rFonts w:ascii="Arial" w:hAnsi="Arial"/>
                <w:b/>
                <w:color w:val="000000"/>
                <w:sz w:val="14"/>
              </w:rPr>
              <w:t>Executive Vice President, General Counsel and Secretary</w:t>
            </w:r>
          </w:p>
          <w:p>
            <w:pPr>
              <w:pStyle w:val="TableContents"/>
              <w:bidi w:val="0"/>
              <w:jc w:val="center"/>
              <w:rPr>
                <w:rFonts w:ascii="Arial" w:hAnsi="Arial"/>
                <w:b/>
                <w:color w:val="000000"/>
                <w:sz w:val="14"/>
              </w:rPr>
            </w:pPr>
            <w:r>
              <w:rPr>
                <w:rFonts w:ascii="Arial" w:hAnsi="Arial"/>
                <w:b/>
                <w:color w:val="000000"/>
                <w:sz w:val="14"/>
              </w:rPr>
              <w:t>Odyssey Therapeutics, Inc.</w:t>
            </w:r>
          </w:p>
          <w:p>
            <w:pPr>
              <w:pStyle w:val="TableContents"/>
              <w:bidi w:val="0"/>
              <w:jc w:val="center"/>
              <w:rPr/>
            </w:pPr>
            <w:r>
              <w:rPr/>
              <w:t> </w:t>
            </w:r>
          </w:p>
          <w:p>
            <w:pPr>
              <w:pStyle w:val="TableContents"/>
              <w:bidi w:val="0"/>
              <w:jc w:val="center"/>
              <w:rPr>
                <w:rFonts w:ascii="Arial" w:hAnsi="Arial"/>
                <w:b/>
                <w:color w:val="000000"/>
                <w:sz w:val="14"/>
              </w:rPr>
            </w:pPr>
            <w:r>
              <w:rPr>
                <w:rFonts w:ascii="Arial" w:hAnsi="Arial"/>
                <w:b/>
                <w:color w:val="000000"/>
                <w:sz w:val="14"/>
              </w:rPr>
              <w:t>51 Sleeper Street</w:t>
            </w:r>
          </w:p>
          <w:p>
            <w:pPr>
              <w:pStyle w:val="TableContents"/>
              <w:bidi w:val="0"/>
              <w:jc w:val="center"/>
              <w:rPr>
                <w:rFonts w:ascii="Arial" w:hAnsi="Arial"/>
                <w:b/>
                <w:color w:val="000000"/>
                <w:sz w:val="14"/>
              </w:rPr>
            </w:pPr>
            <w:r>
              <w:rPr>
                <w:rFonts w:ascii="Arial" w:hAnsi="Arial"/>
                <w:b/>
                <w:color w:val="000000"/>
                <w:sz w:val="14"/>
              </w:rPr>
              <w:t>Suite 800</w:t>
            </w:r>
          </w:p>
          <w:p>
            <w:pPr>
              <w:pStyle w:val="TableContents"/>
              <w:bidi w:val="0"/>
              <w:jc w:val="center"/>
              <w:rPr>
                <w:rFonts w:ascii="Arial" w:hAnsi="Arial"/>
                <w:b/>
                <w:color w:val="000000"/>
                <w:sz w:val="14"/>
              </w:rPr>
            </w:pPr>
            <w:r>
              <w:rPr>
                <w:rFonts w:ascii="Arial" w:hAnsi="Arial"/>
                <w:b/>
                <w:color w:val="000000"/>
                <w:sz w:val="14"/>
              </w:rPr>
              <w:t>Boston, Massachusetts 02210</w:t>
            </w:r>
          </w:p>
          <w:p>
            <w:pPr>
              <w:pStyle w:val="TableContents"/>
              <w:bidi w:val="0"/>
              <w:spacing w:before="0" w:after="20"/>
              <w:jc w:val="center"/>
              <w:rPr>
                <w:rFonts w:ascii="Arial" w:hAnsi="Arial"/>
                <w:b/>
                <w:color w:val="000000"/>
                <w:sz w:val="14"/>
              </w:rPr>
            </w:pPr>
            <w:r>
              <w:rPr>
                <w:rFonts w:ascii="Arial" w:hAnsi="Arial"/>
                <w:b/>
                <w:color w:val="000000"/>
                <w:sz w:val="14"/>
              </w:rPr>
              <w:t>(617) 865-9628</w:t>
            </w:r>
          </w:p>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Eric Blanchard</w:t>
            </w:r>
          </w:p>
          <w:p>
            <w:pPr>
              <w:pStyle w:val="TableContents"/>
              <w:bidi w:val="0"/>
              <w:jc w:val="center"/>
              <w:rPr>
                <w:rFonts w:ascii="Arial" w:hAnsi="Arial"/>
                <w:b/>
                <w:color w:val="000000"/>
                <w:sz w:val="14"/>
              </w:rPr>
            </w:pPr>
            <w:r>
              <w:rPr>
                <w:rFonts w:ascii="Arial" w:hAnsi="Arial"/>
                <w:b/>
                <w:color w:val="000000"/>
                <w:sz w:val="14"/>
              </w:rPr>
              <w:t>Richard Segal</w:t>
            </w:r>
          </w:p>
          <w:p>
            <w:pPr>
              <w:pStyle w:val="TableContents"/>
              <w:bidi w:val="0"/>
              <w:jc w:val="center"/>
              <w:rPr>
                <w:rFonts w:ascii="Arial" w:hAnsi="Arial"/>
                <w:b/>
                <w:color w:val="000000"/>
                <w:sz w:val="14"/>
              </w:rPr>
            </w:pPr>
            <w:r>
              <w:rPr>
                <w:rFonts w:ascii="Arial" w:hAnsi="Arial"/>
                <w:b/>
                <w:color w:val="000000"/>
                <w:sz w:val="14"/>
              </w:rPr>
              <w:t>Divakar Gupta</w:t>
            </w:r>
          </w:p>
          <w:p>
            <w:pPr>
              <w:pStyle w:val="TableContents"/>
              <w:bidi w:val="0"/>
              <w:jc w:val="center"/>
              <w:rPr>
                <w:rFonts w:ascii="Arial" w:hAnsi="Arial"/>
                <w:b/>
                <w:color w:val="000000"/>
                <w:sz w:val="14"/>
              </w:rPr>
            </w:pPr>
            <w:r>
              <w:rPr>
                <w:rFonts w:ascii="Arial" w:hAnsi="Arial"/>
                <w:b/>
                <w:color w:val="000000"/>
                <w:sz w:val="14"/>
              </w:rPr>
              <w:t>Evan Leitner</w:t>
            </w:r>
          </w:p>
          <w:p>
            <w:pPr>
              <w:pStyle w:val="TableContents"/>
              <w:bidi w:val="0"/>
              <w:jc w:val="center"/>
              <w:rPr>
                <w:rFonts w:ascii="Arial" w:hAnsi="Arial"/>
                <w:b/>
                <w:color w:val="000000"/>
                <w:sz w:val="14"/>
              </w:rPr>
            </w:pPr>
            <w:r>
              <w:rPr>
                <w:rFonts w:ascii="Arial" w:hAnsi="Arial"/>
                <w:b/>
                <w:color w:val="000000"/>
                <w:sz w:val="14"/>
              </w:rPr>
              <w:t>Cooley LLP</w:t>
            </w:r>
          </w:p>
          <w:p>
            <w:pPr>
              <w:pStyle w:val="TableContents"/>
              <w:bidi w:val="0"/>
              <w:jc w:val="center"/>
              <w:rPr/>
            </w:pPr>
            <w:r>
              <w:rPr/>
              <w:t> </w:t>
            </w:r>
          </w:p>
          <w:p>
            <w:pPr>
              <w:pStyle w:val="TableContents"/>
              <w:bidi w:val="0"/>
              <w:jc w:val="center"/>
              <w:rPr>
                <w:rFonts w:ascii="Arial" w:hAnsi="Arial"/>
                <w:b/>
                <w:color w:val="000000"/>
                <w:sz w:val="14"/>
              </w:rPr>
            </w:pPr>
            <w:r>
              <w:rPr>
                <w:rFonts w:ascii="Arial" w:hAnsi="Arial"/>
                <w:b/>
                <w:color w:val="000000"/>
                <w:sz w:val="14"/>
              </w:rPr>
              <w:t>500 Boylston Street</w:t>
            </w:r>
          </w:p>
          <w:p>
            <w:pPr>
              <w:pStyle w:val="TableContents"/>
              <w:bidi w:val="0"/>
              <w:jc w:val="center"/>
              <w:rPr>
                <w:rFonts w:ascii="Arial" w:hAnsi="Arial"/>
                <w:b/>
                <w:color w:val="000000"/>
                <w:sz w:val="14"/>
              </w:rPr>
            </w:pPr>
            <w:r>
              <w:rPr>
                <w:rFonts w:ascii="Arial" w:hAnsi="Arial"/>
                <w:b/>
                <w:color w:val="000000"/>
                <w:sz w:val="14"/>
              </w:rPr>
              <w:t>Boston, Massachusetts 02116</w:t>
            </w:r>
          </w:p>
          <w:p>
            <w:pPr>
              <w:pStyle w:val="TableContents"/>
              <w:bidi w:val="0"/>
              <w:spacing w:before="0" w:after="283"/>
              <w:jc w:val="center"/>
              <w:rPr>
                <w:rFonts w:ascii="Arial" w:hAnsi="Arial"/>
                <w:b/>
                <w:color w:val="000000"/>
                <w:sz w:val="14"/>
              </w:rPr>
            </w:pPr>
            <w:r>
              <w:rPr>
                <w:rFonts w:ascii="Arial" w:hAnsi="Arial"/>
                <w:b/>
                <w:color w:val="000000"/>
                <w:sz w:val="14"/>
              </w:rPr>
              <w:t>(617) 937-2300</w:t>
            </w:r>
          </w:p>
        </w:tc>
      </w:tr>
    </w:tbl>
    <w:p>
      <w:pPr>
        <w:pStyle w:val="TextBody"/>
        <w:bidi w:val="0"/>
        <w:spacing w:before="60" w:after="283"/>
        <w:ind w:left="0" w:right="0" w:firstLine="490"/>
        <w:jc w:val="left"/>
        <w:rPr>
          <w:rFonts w:ascii="Times New Roman" w:hAnsi="Times New Roman"/>
          <w:sz w:val="20"/>
        </w:rPr>
      </w:pPr>
      <w:r>
        <w:rPr>
          <w:rFonts w:ascii="Arial" w:hAnsi="Arial"/>
          <w:b/>
          <w:color w:val="000000"/>
          <w:sz w:val="16"/>
        </w:rPr>
        <w:t xml:space="preserve">Approximate date of commencement of proposed sale to the public: </w:t>
      </w:r>
      <w:r>
        <w:rPr>
          <w:rFonts w:ascii="Arial" w:hAnsi="Arial"/>
          <w:color w:val="000000"/>
          <w:sz w:val="16"/>
        </w:rPr>
        <w:t>As soon as practicable after this registration statement becomes effective.</w:t>
      </w:r>
      <w:r>
        <w:rPr>
          <w:rFonts w:ascii="Times New Roman" w:hAnsi="Times New Roman"/>
          <w:color w:val="000000"/>
          <w:sz w:val="20"/>
        </w:rPr>
        <w:t xml:space="preserve"> </w:t>
      </w:r>
    </w:p>
    <w:p>
      <w:pPr>
        <w:pStyle w:val="TextBody"/>
        <w:bidi w:val="0"/>
        <w:spacing w:before="60" w:after="283"/>
        <w:ind w:left="0" w:right="0" w:firstLine="490"/>
        <w:jc w:val="left"/>
        <w:rPr>
          <w:rFonts w:ascii="Times New Roman" w:hAnsi="Times New Roman"/>
          <w:sz w:val="20"/>
        </w:rPr>
      </w:pPr>
      <w:r>
        <w:rPr>
          <w:rFonts w:ascii="Arial" w:hAnsi="Arial"/>
          <w:color w:val="000000"/>
          <w:sz w:val="16"/>
        </w:rPr>
        <w:t>If any of the securities being registered on this Form are to be offered on a delayed or continuous basis pursuant to Rule 415 under the Securities Act, check the following box: ☐</w:t>
      </w:r>
      <w:r>
        <w:rPr>
          <w:rFonts w:ascii="Times New Roman" w:hAnsi="Times New Roman"/>
          <w:color w:val="000000"/>
          <w:sz w:val="20"/>
        </w:rPr>
        <w:t xml:space="preserve"> </w:t>
      </w:r>
    </w:p>
    <w:p>
      <w:pPr>
        <w:pStyle w:val="TextBody"/>
        <w:bidi w:val="0"/>
        <w:spacing w:before="60" w:after="283"/>
        <w:ind w:left="0" w:right="0" w:firstLine="490"/>
        <w:jc w:val="left"/>
        <w:rPr>
          <w:rFonts w:ascii="Times New Roman" w:hAnsi="Times New Roman"/>
          <w:sz w:val="20"/>
        </w:rPr>
      </w:pPr>
      <w:r>
        <w:rPr>
          <w:rFonts w:ascii="Arial" w:hAnsi="Arial"/>
          <w:color w:val="00000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w:hAnsi="Times New Roman"/>
          <w:color w:val="000000"/>
          <w:sz w:val="20"/>
        </w:rPr>
        <w:t xml:space="preserve"> </w:t>
      </w:r>
    </w:p>
    <w:p>
      <w:pPr>
        <w:pStyle w:val="TextBody"/>
        <w:bidi w:val="0"/>
        <w:spacing w:before="60" w:after="283"/>
        <w:ind w:left="0" w:right="0" w:firstLine="490"/>
        <w:jc w:val="left"/>
        <w:rPr>
          <w:rFonts w:ascii="Times New Roman" w:hAnsi="Times New Roman"/>
          <w:sz w:val="20"/>
        </w:rPr>
      </w:pPr>
      <w:r>
        <w:rPr>
          <w:rFonts w:ascii="Arial" w:hAnsi="Arial"/>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w:hAnsi="Times New Roman"/>
          <w:color w:val="000000"/>
          <w:sz w:val="20"/>
        </w:rPr>
        <w:t xml:space="preserve"> </w:t>
      </w:r>
    </w:p>
    <w:p>
      <w:pPr>
        <w:pStyle w:val="TextBody"/>
        <w:bidi w:val="0"/>
        <w:spacing w:before="60" w:after="283"/>
        <w:ind w:left="0" w:right="0" w:firstLine="490"/>
        <w:jc w:val="left"/>
        <w:rPr>
          <w:rFonts w:ascii="Times New Roman" w:hAnsi="Times New Roman"/>
          <w:sz w:val="20"/>
        </w:rPr>
      </w:pPr>
      <w:r>
        <w:rPr>
          <w:rFonts w:ascii="Arial" w:hAnsi="Arial"/>
          <w:color w:val="000000"/>
          <w:sz w:val="16"/>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Times New Roman" w:hAnsi="Times New Roman"/>
          <w:color w:val="000000"/>
          <w:sz w:val="20"/>
        </w:rPr>
        <w:t xml:space="preserve"> </w:t>
      </w:r>
    </w:p>
    <w:p>
      <w:pPr>
        <w:pStyle w:val="TextBody"/>
        <w:bidi w:val="0"/>
        <w:spacing w:before="60" w:after="283"/>
        <w:ind w:left="0" w:right="0" w:firstLine="490"/>
        <w:jc w:val="left"/>
        <w:rPr>
          <w:rFonts w:ascii="Times New Roman" w:hAnsi="Times New Roman"/>
          <w:sz w:val="20"/>
        </w:rPr>
      </w:pPr>
      <w:r>
        <w:rPr>
          <w:rFonts w:ascii="Arial" w:hAnsi="Arial"/>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474" w:type="dxa"/>
        <w:jc w:val="left"/>
        <w:tblInd w:w="0" w:type="dxa"/>
        <w:tblLayout w:type="fixed"/>
        <w:tblCellMar>
          <w:top w:w="28" w:type="dxa"/>
          <w:left w:w="28" w:type="dxa"/>
          <w:bottom w:w="28" w:type="dxa"/>
          <w:right w:w="28" w:type="dxa"/>
        </w:tblCellMar>
      </w:tblPr>
      <w:tblGrid>
        <w:gridCol w:w="1741"/>
        <w:gridCol w:w="316"/>
        <w:gridCol w:w="2056"/>
        <w:gridCol w:w="361"/>
      </w:tblGrid>
      <w:tr>
        <w:trPr/>
        <w:tc>
          <w:tcPr>
            <w:tcW w:w="17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60" w:after="283"/>
        <w:ind w:left="0" w:right="0" w:firstLine="490"/>
        <w:jc w:val="left"/>
        <w:rPr>
          <w:rFonts w:ascii="Times New Roman" w:hAnsi="Times New Roman"/>
          <w:sz w:val="20"/>
        </w:rPr>
      </w:pPr>
      <w:r>
        <w:rPr>
          <w:rFonts w:ascii="Arial" w:hAnsi="Arial"/>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20"/>
        </w:rPr>
        <w:t xml:space="preserve"> </w:t>
      </w:r>
    </w:p>
    <w:p>
      <w:pPr>
        <w:pStyle w:val="TextBody"/>
        <w:bidi w:val="0"/>
        <w:spacing w:before="60" w:after="283"/>
        <w:ind w:left="0" w:right="0" w:firstLine="490"/>
        <w:jc w:val="left"/>
        <w:rPr>
          <w:rFonts w:ascii="Times New Roman" w:hAnsi="Times New Roman"/>
          <w:sz w:val="20"/>
        </w:rPr>
      </w:pPr>
      <w:r>
        <w:rPr>
          <w:rFonts w:ascii="Arial" w:hAnsi="Arial"/>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ind w:left="0" w:right="0" w:hanging="0"/>
        <w:jc w:val="left"/>
        <w:rPr/>
      </w:pPr>
      <w:r>
        <w:rPr/>
        <w:t> </w:t>
      </w:r>
    </w:p>
    <w:p>
      <w:pPr>
        <w:pStyle w:val="TextBody"/>
        <w:bidi w:val="0"/>
        <w:jc w:val="center"/>
        <w:rPr>
          <w:rFonts w:ascii="Times New Roman" w:hAnsi="Times New Roman"/>
          <w:sz w:val="20"/>
        </w:rPr>
      </w:pPr>
      <w:r>
        <w:rPr>
          <w:rFonts w:ascii="Arial" w:hAnsi="Arial"/>
          <w:color w:val="DE1A1E"/>
          <w:sz w:val="20"/>
        </w:rPr>
        <w:t>Subject To Completion, Dated May 4, 2026</w:t>
      </w:r>
      <w:r>
        <w:rPr>
          <w:rFonts w:ascii="Times New Roman" w:hAnsi="Times New Roman"/>
          <w:color w:val="DE1A1E"/>
          <w:sz w:val="20"/>
        </w:rPr>
        <w:t xml:space="preserve"> </w:t>
      </w:r>
    </w:p>
    <w:p>
      <w:pPr>
        <w:pStyle w:val="TextBody"/>
        <w:bidi w:val="0"/>
        <w:spacing w:before="60" w:after="283"/>
        <w:jc w:val="left"/>
        <w:rPr>
          <w:rFonts w:ascii="Times New Roman" w:hAnsi="Times New Roman"/>
          <w:sz w:val="20"/>
        </w:rPr>
      </w:pPr>
      <w:r>
        <w:rPr>
          <w:rFonts w:ascii="Arial" w:hAnsi="Arial"/>
          <w:color w:val="DE1A1E"/>
          <w:sz w:val="20"/>
        </w:rPr>
        <w:t>Preliminary Prospectus</w:t>
      </w:r>
      <w:r>
        <w:rPr>
          <w:rFonts w:ascii="Times New Roman" w:hAnsi="Times New Roman"/>
          <w:color w:val="DE1A1E"/>
          <w:sz w:val="20"/>
        </w:rPr>
        <w:t xml:space="preserve"> </w:t>
      </w:r>
    </w:p>
    <w:p>
      <w:pPr>
        <w:pStyle w:val="TextBody"/>
        <w:bidi w:val="0"/>
        <w:spacing w:before="60" w:after="283"/>
        <w:jc w:val="center"/>
        <w:rPr>
          <w:rFonts w:ascii="Times New Roman" w:hAnsi="Times New Roman"/>
          <w:sz w:val="20"/>
        </w:rPr>
      </w:pPr>
      <w:r>
        <w:rPr>
          <w:rFonts w:ascii="Arial" w:hAnsi="Arial"/>
          <w:b/>
          <w:color w:val="000000"/>
          <w:sz w:val="28"/>
        </w:rPr>
        <w:t>13,240,000 Shares</w:t>
      </w:r>
      <w:r>
        <w:rPr>
          <w:rFonts w:ascii="Times New Roman" w:hAnsi="Times New Roman"/>
          <w:color w:val="000000"/>
          <w:sz w:val="20"/>
        </w:rPr>
        <w:t xml:space="preserve"> </w:t>
      </w:r>
    </w:p>
    <w:p>
      <w:pPr>
        <w:pStyle w:val="TextBody"/>
        <w:bidi w:val="0"/>
        <w:jc w:val="center"/>
        <w:rPr/>
      </w:pPr>
      <w:r>
        <w:rPr/>
        <w:drawing>
          <wp:inline distT="0" distB="0" distL="0" distR="0">
            <wp:extent cx="2924175" cy="9048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924175" cy="904875"/>
                    </a:xfrm>
                    <a:prstGeom prst="rect">
                      <a:avLst/>
                    </a:prstGeom>
                  </pic:spPr>
                </pic:pic>
              </a:graphicData>
            </a:graphic>
          </wp:inline>
        </w:drawing>
      </w:r>
    </w:p>
    <w:p>
      <w:pPr>
        <w:pStyle w:val="TextBody"/>
        <w:bidi w:val="0"/>
        <w:spacing w:before="60" w:after="283"/>
        <w:jc w:val="center"/>
        <w:rPr>
          <w:rFonts w:ascii="Times New Roman" w:hAnsi="Times New Roman"/>
          <w:sz w:val="20"/>
        </w:rPr>
      </w:pPr>
      <w:r>
        <w:rPr>
          <w:rFonts w:ascii="Arial" w:hAnsi="Arial"/>
          <w:b/>
          <w:color w:val="000000"/>
          <w:sz w:val="36"/>
        </w:rPr>
        <w:t>Odyssey Therapeutics, Inc.</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8"/>
        </w:rPr>
        <w:t>Common Stock</w:t>
      </w:r>
      <w:r>
        <w:rPr>
          <w:rFonts w:ascii="Times New Roman" w:hAnsi="Times New Roman"/>
          <w:color w:val="000000"/>
          <w:sz w:val="20"/>
        </w:rPr>
        <w:t xml:space="preserve"> </w:t>
      </w:r>
    </w:p>
    <w:p>
      <w:pPr>
        <w:pStyle w:val="TextBody"/>
        <w:pBdr>
          <w:bottom w:val="single" w:sz="8" w:space="1" w:color="000000"/>
        </w:pBdr>
        <w:bidi w:val="0"/>
        <w:ind w:left="4320" w:right="4320" w:hanging="0"/>
        <w:jc w:val="center"/>
        <w:rPr/>
      </w:pPr>
      <w:r>
        <w:rPr/>
        <w:t> </w:t>
      </w:r>
    </w:p>
    <w:p>
      <w:pPr>
        <w:pStyle w:val="TextBody"/>
        <w:bidi w:val="0"/>
        <w:spacing w:before="60" w:after="283"/>
        <w:ind w:left="0" w:right="0" w:firstLine="612"/>
        <w:jc w:val="left"/>
        <w:rPr>
          <w:rFonts w:ascii="Times New Roman" w:hAnsi="Times New Roman"/>
          <w:sz w:val="20"/>
        </w:rPr>
      </w:pPr>
      <w:r>
        <w:rPr>
          <w:rFonts w:ascii="Arial" w:hAnsi="Arial"/>
          <w:color w:val="000000"/>
          <w:sz w:val="20"/>
        </w:rPr>
        <w:t>This is an initial public offering of shares of common stock of Odyssey Therapeutics, Inc. We are offering 13,240,000 shares of our common stock.</w:t>
      </w:r>
      <w:r>
        <w:rPr>
          <w:rFonts w:ascii="Times New Roman" w:hAnsi="Times New Roman"/>
          <w:color w:val="000000"/>
          <w:sz w:val="20"/>
        </w:rPr>
        <w:t xml:space="preserve"> </w:t>
      </w:r>
    </w:p>
    <w:p>
      <w:pPr>
        <w:pStyle w:val="TextBody"/>
        <w:bidi w:val="0"/>
        <w:spacing w:before="60" w:after="283"/>
        <w:ind w:left="0" w:right="0" w:firstLine="619"/>
        <w:jc w:val="left"/>
        <w:rPr>
          <w:rFonts w:ascii="Times New Roman" w:hAnsi="Times New Roman"/>
          <w:sz w:val="20"/>
        </w:rPr>
      </w:pPr>
      <w:r>
        <w:rPr>
          <w:rFonts w:ascii="Arial" w:hAnsi="Arial"/>
          <w:color w:val="000000"/>
          <w:sz w:val="20"/>
        </w:rPr>
        <w:t>Prior to this offering, there has been no public market for our common stock. It is currently estimated that the initial public offering price per share will be between $16.00 and $18.00. We have applied to list our common stock on the Nasdaq Capital Market, or Nasdaq, under the trading symbol “ODTX.” We believe that upon the completion of this offering, we will meet the standards for listing on Nasdaq, and the closing of this offering is contingent upon such listing.</w:t>
      </w:r>
      <w:r>
        <w:rPr>
          <w:rFonts w:ascii="Times New Roman" w:hAnsi="Times New Roman"/>
          <w:color w:val="000000"/>
          <w:sz w:val="20"/>
        </w:rPr>
        <w:t xml:space="preserve"> </w:t>
      </w:r>
    </w:p>
    <w:p>
      <w:pPr>
        <w:pStyle w:val="TextBody"/>
        <w:bidi w:val="0"/>
        <w:spacing w:before="60" w:after="283"/>
        <w:ind w:left="0" w:right="0" w:firstLine="619"/>
        <w:jc w:val="left"/>
        <w:rPr>
          <w:rFonts w:ascii="Times New Roman" w:hAnsi="Times New Roman"/>
          <w:sz w:val="20"/>
        </w:rPr>
      </w:pPr>
      <w:r>
        <w:rPr>
          <w:rFonts w:ascii="Arial" w:hAnsi="Arial"/>
          <w:color w:val="000000"/>
          <w:sz w:val="20"/>
        </w:rPr>
        <w:t>We are an “emerging growth company” and a “smaller reporting company,” each as defined under the federal securities laws, and as such, we have elected to comply with certain reduced public company reporting requirements for this prospectus and may elect to do so in future filings.</w:t>
      </w:r>
      <w:r>
        <w:rPr>
          <w:rFonts w:ascii="Times New Roman" w:hAnsi="Times New Roman"/>
          <w:color w:val="000000"/>
          <w:sz w:val="20"/>
        </w:rPr>
        <w:t xml:space="preserve"> </w:t>
      </w:r>
    </w:p>
    <w:p>
      <w:pPr>
        <w:pStyle w:val="TextBody"/>
        <w:pBdr>
          <w:bottom w:val="single" w:sz="8" w:space="1" w:color="000000"/>
        </w:pBdr>
        <w:bidi w:val="0"/>
        <w:ind w:left="4320" w:right="4320" w:hanging="0"/>
        <w:jc w:val="center"/>
        <w:rPr/>
      </w:pPr>
      <w:r>
        <w:rPr/>
        <w:t> </w:t>
      </w:r>
    </w:p>
    <w:p>
      <w:pPr>
        <w:pStyle w:val="TextBody"/>
        <w:bidi w:val="0"/>
        <w:spacing w:before="60" w:after="283"/>
        <w:ind w:left="0" w:right="0" w:firstLine="612"/>
        <w:jc w:val="left"/>
        <w:rPr/>
      </w:pPr>
      <w:r>
        <w:rPr>
          <w:rFonts w:ascii="Arial" w:hAnsi="Arial"/>
          <w:i/>
          <w:color w:val="000000"/>
          <w:sz w:val="20"/>
        </w:rPr>
        <w:t>See the section of this prospectus titled “</w:t>
      </w:r>
      <w:hyperlink w:anchor="risk_factors">
        <w:r>
          <w:rPr>
            <w:rStyle w:val="InternetLink"/>
            <w:rFonts w:ascii="Arial" w:hAnsi="Arial"/>
            <w:i/>
            <w:color w:val="0000FF"/>
            <w:sz w:val="20"/>
            <w:u w:val="single"/>
          </w:rPr>
          <w:t>Risk Factors</w:t>
        </w:r>
      </w:hyperlink>
      <w:r>
        <w:rPr>
          <w:rFonts w:ascii="Times New Roman" w:hAnsi="Times New Roman"/>
          <w:color w:val="000000"/>
          <w:sz w:val="20"/>
        </w:rPr>
        <w:t xml:space="preserve">” </w:t>
      </w:r>
      <w:r>
        <w:rPr>
          <w:rFonts w:ascii="Arial" w:hAnsi="Arial"/>
          <w:i/>
          <w:color w:val="000000"/>
          <w:sz w:val="20"/>
        </w:rPr>
        <w:t>beginning on page 14</w:t>
      </w:r>
      <w:r>
        <w:rPr>
          <w:rFonts w:ascii="Times New Roman" w:hAnsi="Times New Roman"/>
          <w:color w:val="000000"/>
          <w:sz w:val="20"/>
        </w:rPr>
        <w:t xml:space="preserve"> </w:t>
      </w:r>
      <w:r>
        <w:rPr>
          <w:rFonts w:ascii="Arial" w:hAnsi="Arial"/>
          <w:i/>
          <w:color w:val="000000"/>
          <w:sz w:val="20"/>
        </w:rPr>
        <w:t>to read about factors you should consider before deciding to invest in shares of our common stock.</w:t>
      </w:r>
      <w:r>
        <w:rPr>
          <w:rFonts w:ascii="Times New Roman" w:hAnsi="Times New Roman"/>
          <w:color w:val="000000"/>
          <w:sz w:val="20"/>
        </w:rPr>
        <w:t xml:space="preserve"> </w:t>
      </w:r>
    </w:p>
    <w:p>
      <w:pPr>
        <w:pStyle w:val="TextBody"/>
        <w:pBdr>
          <w:bottom w:val="single" w:sz="8" w:space="1" w:color="000000"/>
        </w:pBdr>
        <w:bidi w:val="0"/>
        <w:ind w:left="4320" w:right="4320" w:hanging="0"/>
        <w:jc w:val="center"/>
        <w:rPr/>
      </w:pPr>
      <w:r>
        <w:rPr/>
        <w:t> </w:t>
      </w:r>
    </w:p>
    <w:p>
      <w:pPr>
        <w:pStyle w:val="TextBody"/>
        <w:bidi w:val="0"/>
        <w:spacing w:before="60" w:after="283"/>
        <w:ind w:left="0" w:right="0" w:firstLine="612"/>
        <w:jc w:val="left"/>
        <w:rPr>
          <w:rFonts w:ascii="Times New Roman" w:hAnsi="Times New Roman"/>
          <w:sz w:val="20"/>
        </w:rPr>
      </w:pPr>
      <w:r>
        <w:rPr>
          <w:rFonts w:ascii="Arial" w:hAnsi="Arial"/>
          <w:b/>
          <w:color w:val="000000"/>
          <w:sz w:val="20"/>
        </w:rPr>
        <w:t>Neither the Securities and Exchange Commission, or the SEC, nor any state securities commission has approved or disapproved of these securities or passed upon the accuracy or adequacy of this prospectus. Any representation to the contrary is a criminal offense.</w:t>
      </w:r>
      <w:r>
        <w:rPr>
          <w:rFonts w:ascii="Times New Roman" w:hAnsi="Times New Roman"/>
          <w:color w:val="000000"/>
          <w:sz w:val="20"/>
        </w:rPr>
        <w:t xml:space="preserve"> </w:t>
      </w:r>
    </w:p>
    <w:p>
      <w:pPr>
        <w:pStyle w:val="TextBody"/>
        <w:pBdr>
          <w:bottom w:val="single" w:sz="8" w:space="1" w:color="000000"/>
        </w:pBdr>
        <w:bidi w:val="0"/>
        <w:ind w:left="4320" w:right="4320" w:hanging="0"/>
        <w:jc w:val="center"/>
        <w:rPr/>
      </w:pPr>
      <w:r>
        <w:rPr/>
        <w:t> </w:t>
      </w:r>
    </w:p>
    <w:p>
      <w:pPr>
        <w:pStyle w:val="TextBody"/>
        <w:bidi w:val="0"/>
        <w:jc w:val="left"/>
        <w:rPr/>
      </w:pPr>
      <w:r>
        <w:rPr/>
        <w:t> </w:t>
      </w:r>
    </w:p>
    <w:tbl>
      <w:tblPr>
        <w:tblW w:w="7355" w:type="dxa"/>
        <w:jc w:val="left"/>
        <w:tblInd w:w="0" w:type="dxa"/>
        <w:tblLayout w:type="fixed"/>
        <w:tblCellMar>
          <w:top w:w="28" w:type="dxa"/>
          <w:left w:w="28" w:type="dxa"/>
          <w:bottom w:w="28" w:type="dxa"/>
          <w:right w:w="28" w:type="dxa"/>
        </w:tblCellMar>
      </w:tblPr>
      <w:tblGrid>
        <w:gridCol w:w="5266"/>
        <w:gridCol w:w="146"/>
        <w:gridCol w:w="504"/>
        <w:gridCol w:w="351"/>
        <w:gridCol w:w="146"/>
        <w:gridCol w:w="302"/>
        <w:gridCol w:w="209"/>
        <w:gridCol w:w="431"/>
      </w:tblGrid>
      <w:tr>
        <w:trPr/>
        <w:tc>
          <w:tcPr>
            <w:tcW w:w="52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4" w:type="dxa"/>
            <w:tcBorders/>
            <w:shd w:fill="FFFFFF" w:val="clear"/>
            <w:vAlign w:val="center"/>
          </w:tcPr>
          <w:p>
            <w:pPr>
              <w:pStyle w:val="TableContents"/>
              <w:bidi w:val="0"/>
              <w:spacing w:before="0" w:after="283"/>
              <w:jc w:val="left"/>
              <w:rPr>
                <w:sz w:val="4"/>
                <w:szCs w:val="4"/>
              </w:rPr>
            </w:pPr>
            <w:r>
              <w:rPr>
                <w:sz w:val="4"/>
                <w:szCs w:val="4"/>
              </w:rPr>
            </w:r>
          </w:p>
        </w:tc>
        <w:tc>
          <w:tcPr>
            <w:tcW w:w="3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2" w:type="dxa"/>
            <w:tcBorders/>
            <w:shd w:fill="FFFFFF" w:val="clear"/>
            <w:vAlign w:val="center"/>
          </w:tcPr>
          <w:p>
            <w:pPr>
              <w:pStyle w:val="TableContents"/>
              <w:bidi w:val="0"/>
              <w:spacing w:before="0" w:after="283"/>
              <w:jc w:val="left"/>
              <w:rPr>
                <w:sz w:val="4"/>
                <w:szCs w:val="4"/>
              </w:rPr>
            </w:pPr>
            <w:r>
              <w:rPr>
                <w:sz w:val="4"/>
                <w:szCs w:val="4"/>
              </w:rPr>
            </w:r>
          </w:p>
        </w:tc>
        <w:tc>
          <w:tcPr>
            <w:tcW w:w="209" w:type="dxa"/>
            <w:tcBorders/>
            <w:shd w:fill="FFFFFF" w:val="clear"/>
            <w:vAlign w:val="center"/>
          </w:tcPr>
          <w:p>
            <w:pPr>
              <w:pStyle w:val="TableContents"/>
              <w:bidi w:val="0"/>
              <w:spacing w:before="0" w:after="283"/>
              <w:jc w:val="left"/>
              <w:rPr>
                <w:sz w:val="4"/>
                <w:szCs w:val="4"/>
              </w:rPr>
            </w:pPr>
            <w:r>
              <w:rPr>
                <w:sz w:val="4"/>
                <w:szCs w:val="4"/>
              </w:rPr>
            </w:r>
          </w:p>
        </w:tc>
        <w:tc>
          <w:tcPr>
            <w:tcW w:w="431" w:type="dxa"/>
            <w:tcBorders/>
            <w:shd w:fill="FFFFFF" w:val="clear"/>
            <w:vAlign w:val="center"/>
          </w:tcPr>
          <w:p>
            <w:pPr>
              <w:pStyle w:val="TableContents"/>
              <w:bidi w:val="0"/>
              <w:spacing w:before="0" w:after="283"/>
              <w:jc w:val="left"/>
              <w:rPr>
                <w:sz w:val="4"/>
                <w:szCs w:val="4"/>
              </w:rPr>
            </w:pPr>
            <w:r>
              <w:rPr>
                <w:sz w:val="4"/>
                <w:szCs w:val="4"/>
              </w:rPr>
            </w:r>
          </w:p>
        </w:tc>
      </w:tr>
      <w:tr>
        <w:trPr/>
        <w:tc>
          <w:tcPr>
            <w:tcW w:w="52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3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pPr>
            <w:r>
              <w:rPr/>
              <w:t> </w:t>
            </w:r>
          </w:p>
        </w:tc>
      </w:tr>
      <w:tr>
        <w:trPr/>
        <w:tc>
          <w:tcPr>
            <w:tcW w:w="526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Initial public offering price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26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sz w:val="20"/>
              </w:rPr>
            </w:pPr>
            <w:r>
              <w:rPr>
                <w:rFonts w:ascii="Arial" w:hAnsi="Arial"/>
                <w:color w:val="000000"/>
                <w:sz w:val="20"/>
              </w:rPr>
              <w:t>Underwriting discounts and commissions</w:t>
            </w:r>
            <w:r>
              <w:rPr>
                <w:rFonts w:ascii="Arial" w:hAnsi="Arial"/>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26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Proceeds, before expenses, to Odyssey Therapeutics,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ind w:left="0" w:right="9792" w:hanging="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pPr>
      <w:r>
        <w:rPr>
          <w:rFonts w:ascii="Arial" w:hAnsi="Arial"/>
          <w:color w:val="000000"/>
          <w:sz w:val="20"/>
        </w:rPr>
        <w:t>See the section of this prospectus titled “</w:t>
      </w:r>
      <w:r>
        <w:rPr>
          <w:rFonts w:ascii="Arial" w:hAnsi="Arial"/>
          <w:i/>
          <w:color w:val="000000"/>
          <w:sz w:val="20"/>
        </w:rPr>
        <w:t>Underwriting</w:t>
      </w:r>
      <w:r>
        <w:rPr>
          <w:color w:val="000000"/>
        </w:rPr>
        <w:t xml:space="preserve">” </w:t>
      </w:r>
      <w:r>
        <w:rPr>
          <w:rFonts w:ascii="Arial" w:hAnsi="Arial"/>
          <w:color w:val="000000"/>
          <w:sz w:val="20"/>
        </w:rPr>
        <w:t xml:space="preserve">for a description of the compensation payable to the underwriters. </w:t>
      </w:r>
    </w:p>
    <w:p>
      <w:pPr>
        <w:pStyle w:val="TextBody"/>
        <w:bidi w:val="0"/>
        <w:spacing w:before="60" w:after="283"/>
        <w:ind w:left="0" w:right="0" w:firstLine="612"/>
        <w:jc w:val="left"/>
        <w:rPr>
          <w:rFonts w:ascii="Times New Roman" w:hAnsi="Times New Roman"/>
          <w:sz w:val="20"/>
        </w:rPr>
      </w:pPr>
      <w:r>
        <w:rPr>
          <w:rFonts w:ascii="Arial" w:hAnsi="Arial"/>
          <w:color w:val="000000"/>
          <w:sz w:val="20"/>
        </w:rPr>
        <w:t>We have granted the underwriters an option for a period of 30 days to purchase up to 1,986,000 additional shares of our common stock from us at the initial public offering price, less underwriting discounts and commissions.</w:t>
      </w:r>
      <w:r>
        <w:rPr>
          <w:rFonts w:ascii="Times New Roman" w:hAnsi="Times New Roman"/>
          <w:color w:val="000000"/>
          <w:sz w:val="20"/>
        </w:rPr>
        <w:t xml:space="preserve"> </w:t>
      </w:r>
    </w:p>
    <w:p>
      <w:pPr>
        <w:pStyle w:val="TextBody"/>
        <w:bidi w:val="0"/>
        <w:spacing w:before="60" w:after="283"/>
        <w:ind w:left="0" w:right="0" w:firstLine="612"/>
        <w:jc w:val="left"/>
        <w:rPr>
          <w:rFonts w:ascii="Arial" w:hAnsi="Arial"/>
          <w:color w:val="000000"/>
          <w:sz w:val="20"/>
        </w:rPr>
      </w:pPr>
      <w:r>
        <w:rPr>
          <w:rFonts w:ascii="Arial" w:hAnsi="Arial"/>
          <w:color w:val="000000"/>
          <w:sz w:val="20"/>
        </w:rPr>
        <w:t>TPG LSI Rise Orazio II, L.P., or TPG Orazio II, an affiliate of an existing stockholder, is expected to purchase approximately $25.0 million in shares of our common stock in a concurrent private placement exempt from the registration requirements of the Securities Act of 1933, as amended, or the Securities Act, at a per share price equal to the initial public offering price (or 1,470,588 shares based on the assumed initial public offering price of $17.00 per share, which is the midpoint of the price range set forth above). The private placement would close concurrently with, and be contingent and conditioned upon consummation of, this offering. However, this offering is not contingent on the consummation of the concurrent private placement. In connection with the concurrent private placement, we expect to enter into a share purchase agreement with TPG Orazio II. Because we have not yet entered into a binding agreement with TPG Orazio II, we could determine to sell more, fewer or no shares in the concurrent private placement to TPG Orazio II, and TPG Orazio II could determine to purchase more, fewer or no shares in the concurrent private placement. The underwriters have agreed to act as placement agents in connection with the concurrent private placement and will receive a placement agent fee equal to 7% of the aggregate gross proceeds actually received in connection with the concurrent private placement.</w:t>
      </w:r>
    </w:p>
    <w:p>
      <w:pPr>
        <w:pStyle w:val="TextBody"/>
        <w:bidi w:val="0"/>
        <w:spacing w:before="60" w:after="283"/>
        <w:ind w:left="0" w:right="0" w:firstLine="619"/>
        <w:jc w:val="left"/>
        <w:rPr>
          <w:rFonts w:ascii="Times New Roman" w:hAnsi="Times New Roman"/>
          <w:sz w:val="20"/>
        </w:rPr>
      </w:pPr>
      <w:r>
        <w:rPr>
          <w:rFonts w:ascii="Arial" w:hAnsi="Arial"/>
          <w:color w:val="000000"/>
          <w:sz w:val="20"/>
        </w:rPr>
        <w:t>The underwriters expect to deliver the shares against payment to purchasers on or about    , 2026.</w:t>
      </w:r>
      <w:r>
        <w:rPr>
          <w:rFonts w:ascii="Times New Roman" w:hAnsi="Times New Roman"/>
          <w:color w:val="000000"/>
          <w:sz w:val="20"/>
        </w:rPr>
        <w:t xml:space="preserve"> </w:t>
      </w:r>
    </w:p>
    <w:p>
      <w:pPr>
        <w:pStyle w:val="TextBody"/>
        <w:pBdr>
          <w:bottom w:val="single" w:sz="8" w:space="1" w:color="000000"/>
        </w:pBdr>
        <w:bidi w:val="0"/>
        <w:ind w:left="4320" w:right="4320" w:hanging="0"/>
        <w:jc w:val="center"/>
        <w:rPr/>
      </w:pPr>
      <w:r>
        <w:rPr/>
        <w:t> </w:t>
      </w:r>
    </w:p>
    <w:p>
      <w:pPr>
        <w:pStyle w:val="TextBody"/>
        <w:bidi w:val="0"/>
        <w:jc w:val="left"/>
        <w:rPr/>
      </w:pPr>
      <w:r>
        <w:rPr/>
        <w:t> </w:t>
      </w:r>
    </w:p>
    <w:tbl>
      <w:tblPr>
        <w:tblW w:w="5163" w:type="dxa"/>
        <w:jc w:val="left"/>
        <w:tblInd w:w="0" w:type="dxa"/>
        <w:tblLayout w:type="fixed"/>
        <w:tblCellMar>
          <w:top w:w="28" w:type="dxa"/>
          <w:left w:w="28" w:type="dxa"/>
          <w:bottom w:w="28" w:type="dxa"/>
          <w:right w:w="28" w:type="dxa"/>
        </w:tblCellMar>
      </w:tblPr>
      <w:tblGrid>
        <w:gridCol w:w="1891"/>
        <w:gridCol w:w="1291"/>
        <w:gridCol w:w="1981"/>
      </w:tblGrid>
      <w:tr>
        <w:trPr/>
        <w:tc>
          <w:tcPr>
            <w:tcW w:w="18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Arial" w:hAnsi="Arial"/>
                <w:b/>
                <w:color w:val="000000"/>
                <w:sz w:val="24"/>
              </w:rPr>
              <w:t>J.P. Morgan</w:t>
            </w:r>
            <w:r>
              <w:rPr>
                <w:rFonts w:ascii="Times New Roman" w:hAnsi="Times New Roman"/>
                <w:color w:val="000000"/>
                <w:sz w:val="24"/>
              </w:rPr>
              <w:t xml:space="preserve">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TD Cowen</w:t>
            </w:r>
          </w:p>
        </w:tc>
        <w:tc>
          <w:tcPr>
            <w:tcW w:w="19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Cantor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Wedbush PacGrow</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Oppenheimer &amp; Co.</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Prospectus dated     ,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 w:name="toc"/>
      <w:bookmarkEnd w:id="2"/>
      <w:r>
        <w:rPr>
          <w:rFonts w:ascii="Arial" w:hAnsi="Arial"/>
          <w:b/>
          <w:color w:val="000000"/>
          <w:sz w:val="20"/>
        </w:rPr>
        <w:t>TABLE OF</w:t>
      </w:r>
      <w:bookmarkStart w:id="3" w:name="toc_page"/>
      <w:bookmarkEnd w:id="3"/>
      <w:r>
        <w:rPr>
          <w:rFonts w:ascii="Times New Roman" w:hAnsi="Times New Roman"/>
          <w:color w:val="000000"/>
          <w:sz w:val="20"/>
        </w:rPr>
        <w:t xml:space="preserve"> </w:t>
      </w:r>
      <w:r>
        <w:rPr>
          <w:rFonts w:ascii="Arial" w:hAnsi="Arial"/>
          <w:b/>
          <w:color w:val="000000"/>
          <w:sz w:val="20"/>
        </w:rPr>
        <w:t>CONTENTS</w:t>
      </w:r>
    </w:p>
    <w:p>
      <w:pPr>
        <w:pStyle w:val="TextBody"/>
        <w:bidi w:val="0"/>
        <w:jc w:val="left"/>
        <w:rPr/>
      </w:pPr>
      <w:r>
        <w:rPr/>
        <w:t> </w:t>
      </w:r>
    </w:p>
    <w:tbl>
      <w:tblPr>
        <w:tblW w:w="8507" w:type="dxa"/>
        <w:jc w:val="left"/>
        <w:tblInd w:w="0" w:type="dxa"/>
        <w:tblLayout w:type="fixed"/>
        <w:tblCellMar>
          <w:top w:w="28" w:type="dxa"/>
          <w:left w:w="28" w:type="dxa"/>
          <w:bottom w:w="28" w:type="dxa"/>
          <w:right w:w="28" w:type="dxa"/>
        </w:tblCellMar>
      </w:tblPr>
      <w:tblGrid>
        <w:gridCol w:w="7906"/>
        <w:gridCol w:w="601"/>
      </w:tblGrid>
      <w:tr>
        <w:trPr/>
        <w:tc>
          <w:tcPr>
            <w:tcW w:w="790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prospectus_summary">
              <w:r>
                <w:rPr>
                  <w:rStyle w:val="InternetLink"/>
                  <w:rFonts w:ascii="Arial" w:hAnsi="Arial"/>
                  <w:color w:val="0000FF"/>
                  <w:sz w:val="20"/>
                  <w:u w:val="single"/>
                </w:rPr>
                <w:t>Prospectus Summary</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Arial" w:hAnsi="Arial"/>
                  <w:color w:val="0000FF"/>
                  <w:sz w:val="20"/>
                  <w:u w:val="single"/>
                </w:rPr>
                <w:t>Risk Factors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14</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special_note_regarding_forward_looking">
              <w:r>
                <w:rPr>
                  <w:rStyle w:val="InternetLink"/>
                  <w:rFonts w:ascii="Arial" w:hAnsi="Arial"/>
                  <w:color w:val="0000FF"/>
                  <w:sz w:val="20"/>
                  <w:u w:val="single"/>
                </w:rPr>
                <w:t>Special Note Regarding Forward-Looking Statements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72</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market_industry_and_other_data">
              <w:r>
                <w:rPr>
                  <w:rStyle w:val="InternetLink"/>
                  <w:rFonts w:ascii="Arial" w:hAnsi="Arial"/>
                  <w:color w:val="0000FF"/>
                  <w:sz w:val="20"/>
                  <w:u w:val="single"/>
                </w:rPr>
                <w:t>Market, Industry and Other Data</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74</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use_of_proceeds">
              <w:r>
                <w:rPr>
                  <w:rStyle w:val="InternetLink"/>
                  <w:rFonts w:ascii="Arial" w:hAnsi="Arial"/>
                  <w:color w:val="0000FF"/>
                  <w:sz w:val="20"/>
                  <w:u w:val="single"/>
                </w:rPr>
                <w:t>Use of Proceeds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75</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dividend_policy">
              <w:r>
                <w:rPr>
                  <w:rStyle w:val="InternetLink"/>
                  <w:rFonts w:ascii="Arial" w:hAnsi="Arial"/>
                  <w:color w:val="0000FF"/>
                  <w:sz w:val="20"/>
                  <w:u w:val="single"/>
                </w:rPr>
                <w:t>Dividend Policy</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76</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capitalization">
              <w:r>
                <w:rPr>
                  <w:rStyle w:val="InternetLink"/>
                  <w:rFonts w:ascii="Arial" w:hAnsi="Arial"/>
                  <w:color w:val="0000FF"/>
                  <w:sz w:val="20"/>
                  <w:u w:val="single"/>
                </w:rPr>
                <w:t>Capitalization</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77</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dilution">
              <w:r>
                <w:rPr>
                  <w:rStyle w:val="InternetLink"/>
                  <w:rFonts w:ascii="Arial" w:hAnsi="Arial"/>
                  <w:color w:val="0000FF"/>
                  <w:sz w:val="20"/>
                  <w:u w:val="single"/>
                </w:rPr>
                <w:t>Dilution</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79</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Arial" w:hAnsi="Arial"/>
                  <w:color w:val="0000FF"/>
                  <w:sz w:val="20"/>
                  <w:u w:val="single"/>
                </w:rPr>
                <w:t>Management’s Discussion and Analysis of Financial Condition and Results of Operations</w:t>
              </w:r>
            </w:hyperlink>
            <w:hyperlink w:anchor="mda">
              <w:r>
                <w:rPr>
                  <w:rStyle w:val="InternetLink"/>
                  <w:rFonts w:ascii="Times New Roman" w:hAnsi="Times New Roman"/>
                  <w:color w:val="0000FF"/>
                  <w:sz w:val="20"/>
                </w:rPr>
                <w:t xml:space="preserve"> </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82</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business">
              <w:r>
                <w:rPr>
                  <w:rStyle w:val="InternetLink"/>
                  <w:rFonts w:ascii="Arial" w:hAnsi="Arial"/>
                  <w:color w:val="0000FF"/>
                  <w:sz w:val="20"/>
                  <w:u w:val="single"/>
                </w:rPr>
                <w:t>Business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97</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management">
              <w:r>
                <w:rPr>
                  <w:rStyle w:val="InternetLink"/>
                  <w:rFonts w:ascii="Arial" w:hAnsi="Arial"/>
                  <w:color w:val="0000FF"/>
                  <w:sz w:val="20"/>
                  <w:u w:val="single"/>
                </w:rPr>
                <w:t>Management</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182</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Arial" w:hAnsi="Arial"/>
                  <w:color w:val="0000FF"/>
                  <w:sz w:val="20"/>
                  <w:u w:val="single"/>
                </w:rPr>
                <w:t>Executive Compensation</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193</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certain_relationships_and_related_person">
              <w:r>
                <w:rPr>
                  <w:rStyle w:val="InternetLink"/>
                  <w:rFonts w:ascii="Arial" w:hAnsi="Arial"/>
                  <w:color w:val="0000FF"/>
                  <w:sz w:val="20"/>
                  <w:u w:val="single"/>
                </w:rPr>
                <w:t>Certain Relationships and Related Person Transactions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206</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principal_stockholders">
              <w:r>
                <w:rPr>
                  <w:rStyle w:val="InternetLink"/>
                  <w:rFonts w:ascii="Arial" w:hAnsi="Arial"/>
                  <w:color w:val="0000FF"/>
                  <w:sz w:val="20"/>
                  <w:u w:val="single"/>
                </w:rPr>
                <w:t>Principal Stockholders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211</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description_of_capital_stock">
              <w:r>
                <w:rPr>
                  <w:rStyle w:val="InternetLink"/>
                  <w:rFonts w:ascii="Arial" w:hAnsi="Arial"/>
                  <w:color w:val="0000FF"/>
                  <w:sz w:val="20"/>
                  <w:u w:val="single"/>
                </w:rPr>
                <w:t>Description of Capital Stock</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215</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shares_eligible_for_future_sale">
              <w:r>
                <w:rPr>
                  <w:rStyle w:val="InternetLink"/>
                  <w:rFonts w:ascii="Arial" w:hAnsi="Arial"/>
                  <w:color w:val="0000FF"/>
                  <w:sz w:val="20"/>
                  <w:u w:val="single"/>
                </w:rPr>
                <w:t>Shares Eligible for Future Sale</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221</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material_us_federal_income_tax_consequ">
              <w:r>
                <w:rPr>
                  <w:rStyle w:val="InternetLink"/>
                  <w:rFonts w:ascii="Arial" w:hAnsi="Arial"/>
                  <w:color w:val="0000FF"/>
                  <w:sz w:val="20"/>
                  <w:u w:val="single"/>
                </w:rPr>
                <w:t>Material U.S. Federal Income Tax Consequences to Non-U.S. Holders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223</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underwriting">
              <w:r>
                <w:rPr>
                  <w:rStyle w:val="InternetLink"/>
                  <w:rFonts w:ascii="Arial" w:hAnsi="Arial"/>
                  <w:color w:val="0000FF"/>
                  <w:sz w:val="20"/>
                  <w:u w:val="single"/>
                </w:rPr>
                <w:t>Underwriting</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227</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legal_matters">
              <w:r>
                <w:rPr>
                  <w:rStyle w:val="InternetLink"/>
                  <w:rFonts w:ascii="Arial" w:hAnsi="Arial"/>
                  <w:color w:val="0000FF"/>
                  <w:sz w:val="20"/>
                  <w:u w:val="single"/>
                </w:rPr>
                <w:t>Legal Matters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234</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experts">
              <w:r>
                <w:rPr>
                  <w:rStyle w:val="InternetLink"/>
                  <w:rFonts w:ascii="Arial" w:hAnsi="Arial"/>
                  <w:color w:val="0000FF"/>
                  <w:sz w:val="20"/>
                  <w:u w:val="single"/>
                </w:rPr>
                <w:t>Experts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234</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where_you_can_find_additional">
              <w:r>
                <w:rPr>
                  <w:rStyle w:val="InternetLink"/>
                  <w:rFonts w:ascii="Arial" w:hAnsi="Arial"/>
                  <w:color w:val="0000FF"/>
                  <w:sz w:val="20"/>
                  <w:u w:val="single"/>
                </w:rPr>
                <w:t>Where You Can Find Additional Information</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234</w:t>
            </w:r>
          </w:p>
        </w:tc>
      </w:tr>
      <w:tr>
        <w:trPr/>
        <w:tc>
          <w:tcPr>
            <w:tcW w:w="7906" w:type="dxa"/>
            <w:tcBorders/>
            <w:tcMar>
              <w:top w:w="0" w:type="dxa"/>
              <w:left w:w="0" w:type="dxa"/>
              <w:bottom w:w="0" w:type="dxa"/>
              <w:right w:w="0" w:type="dxa"/>
            </w:tcMar>
            <w:vAlign w:val="center"/>
          </w:tcPr>
          <w:p>
            <w:pPr>
              <w:pStyle w:val="TableContents"/>
              <w:bidi w:val="0"/>
              <w:spacing w:before="0" w:after="283"/>
              <w:jc w:val="left"/>
              <w:rPr/>
            </w:pPr>
            <w:hyperlink w:anchor="index">
              <w:r>
                <w:rPr>
                  <w:rStyle w:val="InternetLink"/>
                  <w:rFonts w:ascii="Arial" w:hAnsi="Arial"/>
                  <w:color w:val="0000FF"/>
                  <w:sz w:val="20"/>
                  <w:u w:val="single"/>
                </w:rPr>
                <w:t>Index to Financial Statements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F-1</w:t>
            </w:r>
          </w:p>
        </w:tc>
      </w:tr>
    </w:tbl>
    <w:p>
      <w:pPr>
        <w:pStyle w:val="TextBody"/>
        <w:bidi w:val="0"/>
        <w:jc w:val="left"/>
        <w:rPr/>
      </w:pPr>
      <w:r>
        <w:rPr/>
        <w:t> </w:t>
      </w:r>
    </w:p>
    <w:p>
      <w:pPr>
        <w:pStyle w:val="TextBody"/>
        <w:bidi w:val="0"/>
        <w:ind w:left="0" w:right="0" w:firstLine="619"/>
        <w:jc w:val="left"/>
        <w:rPr>
          <w:rFonts w:ascii="Times New Roman" w:hAnsi="Times New Roman"/>
          <w:sz w:val="20"/>
        </w:rPr>
      </w:pPr>
      <w:r>
        <w:rPr>
          <w:rFonts w:ascii="Arial" w:hAnsi="Arial"/>
          <w:b/>
          <w:color w:val="000000"/>
          <w:sz w:val="20"/>
        </w:rPr>
        <w:t>Through and including     , 2026 (the 25</w:t>
      </w:r>
      <w:r>
        <w:rPr>
          <w:rFonts w:ascii="Arial" w:hAnsi="Arial"/>
          <w:b/>
          <w:color w:val="000000"/>
          <w:sz w:val="13"/>
        </w:rPr>
        <w:t>th</w:t>
      </w:r>
      <w:r>
        <w:rPr>
          <w:rFonts w:ascii="Times New Roman" w:hAnsi="Times New Roman"/>
          <w:color w:val="000000"/>
          <w:sz w:val="20"/>
        </w:rPr>
        <w:t xml:space="preserve"> </w:t>
      </w:r>
      <w:r>
        <w:rPr>
          <w:rFonts w:ascii="Arial" w:hAnsi="Arial"/>
          <w:b/>
          <w:color w:val="000000"/>
          <w:sz w:val="20"/>
        </w:rPr>
        <w:t>day after the date of this prospectus), all dealers effecting transactions in our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Neither we nor the underwriters have authorized anyone to provide you with information other than that contained in this prospectus or any free writing prospectus prepared by or on behalf of us or to which we have referred you. We and the underwriters take no responsibility for, and can provide no assurance as to, the reliability of, any information that others may give you. We and the underwriters are offering to sell, and seeking offers to buy, shares of our common stock only in jurisdictions where offers and sales are permitted. The information contained in this prospectus or any free writing prospectus is accurate only as of its date, regardless of its time of delivery or of any sale of shares of our common stock. Our business, financial condition, results of operations and prospects may have changed since that date.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For investors outside of the United States: we have not, and the underwriters have not,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Numerical figures included in this prospectus have been subject to rounding adjustments. Accordingly, numerical figures shown as totals in various tables may not be arithmetic aggregations of the figures that precede them.</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left"/>
        <w:rPr/>
      </w:pPr>
      <w:r>
        <w:rPr/>
        <w:t> </w:t>
      </w:r>
    </w:p>
    <w:p>
      <w:pPr>
        <w:pStyle w:val="TextBody"/>
        <w:bidi w:val="0"/>
        <w:spacing w:before="480" w:after="480"/>
        <w:ind w:left="465" w:right="465" w:hanging="0"/>
        <w:jc w:val="center"/>
        <w:rPr>
          <w:rFonts w:ascii="Times New Roman" w:hAnsi="Times New Roman"/>
          <w:sz w:val="20"/>
        </w:rPr>
      </w:pPr>
      <w:bookmarkStart w:id="4" w:name="prospectus_summary"/>
      <w:bookmarkEnd w:id="4"/>
      <w:r>
        <w:rPr>
          <w:rFonts w:ascii="Arial" w:hAnsi="Arial"/>
          <w:b/>
          <w:caps/>
          <w:color w:val="000000"/>
          <w:sz w:val="20"/>
        </w:rPr>
        <w:t>Prospectus Summary</w:t>
      </w:r>
      <w:r>
        <w:rPr>
          <w:rFonts w:ascii="Times New Roman" w:hAnsi="Times New Roman"/>
          <w:caps/>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i/>
          <w:color w:val="000000"/>
          <w:sz w:val="20"/>
        </w:rPr>
        <w:t>This summary highlights selected information that is presented in greater detail elsewhere in this prospectus, and is qualified in its entirety by the more detailed information included elsewhere in this prospectus. This summary does not contain all of the information you should consider before investing in our common stock. You should read this entire prospectus carefully, including the sections of this prospectus titled “Risk Factors,” “Special Note Regarding Forward-Looking Statements” and “Management’s Discussion and Analysis of Financial Condition and Results of Operations,” and our consolidated financial statements and the related notes included elsewhere in this prospectus before making an investment decision. Unless the context otherwise requires, the terms “Odyssey,” “we,” “us,” “our” or similar terms refer to Odyssey Therapeutics, Inc. and its wholly owned subsidiaries.</w:t>
      </w:r>
      <w:r>
        <w:rPr>
          <w:rFonts w:ascii="Times New Roman" w:hAnsi="Times New Roman"/>
          <w:color w:val="000000"/>
          <w:sz w:val="20"/>
        </w:rPr>
        <w:t xml:space="preserve"> </w:t>
      </w:r>
    </w:p>
    <w:p>
      <w:pPr>
        <w:pStyle w:val="TextBody"/>
        <w:bidi w:val="0"/>
        <w:spacing w:before="240" w:after="283"/>
        <w:ind w:left="465" w:right="465" w:hanging="0"/>
        <w:jc w:val="left"/>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120" w:after="283"/>
        <w:ind w:left="465" w:right="465" w:firstLine="612"/>
        <w:jc w:val="left"/>
        <w:rPr>
          <w:rFonts w:ascii="Times New Roman" w:hAnsi="Times New Roman"/>
          <w:sz w:val="20"/>
        </w:rPr>
      </w:pPr>
      <w:r>
        <w:rPr>
          <w:rFonts w:ascii="Arial" w:hAnsi="Arial"/>
          <w:color w:val="000000"/>
          <w:sz w:val="20"/>
        </w:rPr>
        <w:t>Odyssey is a clinical-stage biopharmaceutical company led by a team and board of drug hunters seeking to transform the standard of care for patients suffering from autoimmune and inflammatory diseases. We believe our deep understanding of immunobiology, coupled with leading expertise in medicinal and computational chemistry, protein biochemistry, structural biology, genetics, and pharmacology, allows us to identify and drug key signaling nodes that drive disease. We have prioritized targets where we believe the underlying disease biology is understood through genetic, clinical, or translational evidence.</w:t>
      </w:r>
      <w:r>
        <w:rPr>
          <w:rFonts w:ascii="Times New Roman" w:hAnsi="Times New Roman"/>
          <w:color w:val="000000"/>
          <w:sz w:val="20"/>
        </w:rPr>
        <w:t xml:space="preserve"> </w:t>
      </w:r>
    </w:p>
    <w:p>
      <w:pPr>
        <w:pStyle w:val="TextBody"/>
        <w:bidi w:val="0"/>
        <w:spacing w:before="120" w:after="283"/>
        <w:ind w:left="465" w:right="465" w:firstLine="619"/>
        <w:jc w:val="left"/>
        <w:rPr>
          <w:rFonts w:ascii="Arial" w:hAnsi="Arial"/>
          <w:color w:val="000000"/>
          <w:sz w:val="20"/>
        </w:rPr>
      </w:pPr>
      <w:r>
        <w:rPr>
          <w:rFonts w:ascii="Arial" w:hAnsi="Arial"/>
          <w:color w:val="000000"/>
          <w:sz w:val="20"/>
        </w:rPr>
        <w:t>Our most advanced programs include OD-001, an oral small-molecule scaffolding inhibitor of receptor-interacting protein kinase 2, or RIPK2, and OD-002, an oral small-molecule inhibitor of solute carrier family 15 member 4, or SLC15A4. OD-001 has achieved proof-of-concept in a phase 2a trial for the treatment of ulcerative colitis, or UC, one of the two main types of inflammatory bowel disease, or IBD, and OD-002 is currently in IND-enabling studies. These programs have the potential to yield treatments for inflammatory and autoimmune diseases that have large, addressable patient populations globally and a lack of effective treatments, including IBD, systemic lupus erythematosus, or SLE, and other disorders characterized either by the chronic overactivation of the type I interferon pathway, referred to as interferonopathies, or by pathogenic autoreactive B cells. In addition to our most advanced programs, we have a portfolio of wholly owned preclinical programs that include, but are not limited to, a regulatory T cell, or Treg, -specific tumor necrosis factor receptor 2, or TNFR2, agonist, a bispecific antagonist of thymic stromal lymphopoietin, or TSLP, and interleukin-33, or IL-33, and an interleukin-1 receptor-associated kinase 4, or IRAK4, scaffolding inhibitor. We also have an interferon regulatory factor 5, or IRF5, inhibitor in preclinical development which we are collaborating on with Terray Therapeutics, Inc., or Terray.</w:t>
      </w:r>
    </w:p>
    <w:p>
      <w:pPr>
        <w:pStyle w:val="TextBody"/>
        <w:bidi w:val="0"/>
        <w:spacing w:before="240" w:after="283"/>
        <w:ind w:left="465" w:right="465" w:hanging="0"/>
        <w:jc w:val="left"/>
        <w:rPr>
          <w:rFonts w:ascii="Times New Roman" w:hAnsi="Times New Roman"/>
          <w:sz w:val="20"/>
        </w:rPr>
      </w:pPr>
      <w:r>
        <w:rPr>
          <w:rFonts w:ascii="Arial" w:hAnsi="Arial"/>
          <w:b/>
          <w:color w:val="000000"/>
          <w:sz w:val="20"/>
        </w:rPr>
        <w:t>Our Approach to Immunology and Drug Discovery</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 xml:space="preserve">The human immune system is a complex network of cells, tissues, and organs that can be divided into two primary components: the innate immune system and adaptive immune system. The innate immune system, which forms the body’s first line of defense, is a cellular network with highly selective receptors and activators that responds to pathogenic stimuli, both directly and by producing proinflammatory cytokines that activate the secondary line of defense: the adaptive immune system. The adaptive immune system helps eliminate pathogens and retains a memory of them for a more effective immune response to previously encountered pathogens. While these responses are necessary for normal homeostatic function and host defense, </w:t>
      </w:r>
      <w:r>
        <w:rPr>
          <w:rFonts w:ascii="Arial" w:hAnsi="Arial"/>
          <w:i/>
          <w:color w:val="000000"/>
          <w:sz w:val="20"/>
        </w:rPr>
        <w:t>chronic</w:t>
      </w:r>
      <w:r>
        <w:rPr>
          <w:rFonts w:ascii="Times New Roman" w:hAnsi="Times New Roman"/>
          <w:color w:val="000000"/>
          <w:sz w:val="20"/>
        </w:rPr>
        <w:t xml:space="preserve"> </w:t>
      </w:r>
      <w:r>
        <w:rPr>
          <w:rFonts w:ascii="Arial" w:hAnsi="Arial"/>
          <w:color w:val="000000"/>
          <w:sz w:val="20"/>
        </w:rPr>
        <w:t>proinflammatory signaling that remains unresolved propagates inflammatory disease and organ damage, as shown below.</w:t>
      </w:r>
    </w:p>
    <w:p>
      <w:pPr>
        <w:pStyle w:val="TextBody"/>
        <w:bidi w:val="0"/>
        <w:spacing w:before="480" w:after="480"/>
        <w:ind w:left="465" w:right="465" w:hanging="0"/>
        <w:jc w:val="left"/>
        <w:rPr/>
      </w:pPr>
      <w:r>
        <w:rPr/>
        <w:t> </w:t>
      </w:r>
    </w:p>
    <w:p>
      <w:pPr>
        <w:pStyle w:val="TextBody"/>
        <w:bidi w:val="0"/>
        <w:spacing w:before="480" w:after="480"/>
        <w:ind w:left="465" w:right="465" w:hanging="0"/>
        <w:jc w:val="center"/>
        <w:rPr/>
      </w:pPr>
      <w:r>
        <w:rPr/>
        <w:drawing>
          <wp:inline distT="0" distB="0" distL="0" distR="0">
            <wp:extent cx="5734050" cy="22574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5734050" cy="2257425"/>
                    </a:xfrm>
                    <a:prstGeom prst="rect">
                      <a:avLst/>
                    </a:prstGeom>
                  </pic:spPr>
                </pic:pic>
              </a:graphicData>
            </a:graphic>
          </wp:inline>
        </w:drawing>
      </w:r>
    </w:p>
    <w:p>
      <w:pPr>
        <w:pStyle w:val="TextBody"/>
        <w:bidi w:val="0"/>
        <w:spacing w:before="120" w:after="0"/>
        <w:ind w:left="465" w:right="465" w:hanging="0"/>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left"/>
        <w:rPr/>
      </w:pPr>
      <w:r>
        <w:rPr/>
        <w:t> </w:t>
      </w:r>
    </w:p>
    <w:p>
      <w:pPr>
        <w:pStyle w:val="TextBody"/>
        <w:bidi w:val="0"/>
        <w:spacing w:before="480" w:after="480"/>
        <w:ind w:left="465" w:right="465" w:hanging="0"/>
        <w:jc w:val="left"/>
        <w:rPr/>
      </w:pPr>
      <w:r>
        <w:rPr/>
        <w:t> </w:t>
      </w:r>
    </w:p>
    <w:p>
      <w:pPr>
        <w:pStyle w:val="TextBody"/>
        <w:bidi w:val="0"/>
        <w:spacing w:before="480" w:after="480"/>
        <w:ind w:left="465" w:right="465" w:firstLine="619"/>
        <w:jc w:val="left"/>
        <w:rPr>
          <w:rFonts w:ascii="Times New Roman" w:hAnsi="Times New Roman"/>
          <w:sz w:val="20"/>
        </w:rPr>
      </w:pPr>
      <w:r>
        <w:rPr>
          <w:rFonts w:ascii="Arial" w:hAnsi="Arial"/>
          <w:color w:val="000000"/>
          <w:sz w:val="20"/>
        </w:rPr>
        <w:t>Current therapies for inflammatory diseases are largely focused on the downstream adaptive immune response—specifically, the inhibition of cytokines—and have produced meaningful benefits for patients, but share fundamental limitations despite targeting different cytokines. Because cytokines have redundant function, blocking any one downstream cytokine does not prevent others from activating the adaptive immune response. Cytokines have many functions and therefore inhibiting a cytokine relevant in disease also negatively impacts normal homeostasis and is typically associated with immunosuppression. We believe existing therapeutics will continue to be challenging to combine safely into additive or synergistic multidrug regimens and leave disease mechanisms unaddressed. By targeting innate immune responses, our product candidates have the potential, whether as monotherapies or in combination, to address the issue of downstream cytokine redundancy while having less immunosuppressive risk.</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Drug discovery and development at Odyssey is run by a team of experts who collectively have decades of experience across biotechnology and pharmaceutical companies. We first seek to identify targets that address patient populations with significant unmet need within immunology. In considering targets, we prefer those where the biology is well characterized and where clinical or translational evidence can be combined with human genetics to inform potential safety and efficacy. Following target selection, we leverage internal capabilities to determine which modality—small molecule or protein therapeutic—is optimal for effectively drugging the core biology we aim to address.</w:t>
      </w:r>
      <w:r>
        <w:rPr>
          <w:rFonts w:ascii="Times New Roman" w:hAnsi="Times New Roman"/>
          <w:color w:val="000000"/>
          <w:sz w:val="20"/>
        </w:rPr>
        <w:t xml:space="preserve"> </w:t>
      </w:r>
    </w:p>
    <w:p>
      <w:pPr>
        <w:pStyle w:val="TextBody"/>
        <w:bidi w:val="0"/>
        <w:spacing w:before="240" w:after="283"/>
        <w:ind w:left="465" w:right="465" w:hanging="0"/>
        <w:jc w:val="left"/>
        <w:rPr>
          <w:rFonts w:ascii="Times New Roman" w:hAnsi="Times New Roman"/>
          <w:sz w:val="20"/>
        </w:rPr>
      </w:pPr>
      <w:r>
        <w:rPr>
          <w:rFonts w:ascii="Arial" w:hAnsi="Arial"/>
          <w:b/>
          <w:color w:val="000000"/>
          <w:sz w:val="20"/>
        </w:rPr>
        <w:t>Our Strengths</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We believe the success of our efforts will be driven by the following differentiating factors:</w:t>
      </w:r>
      <w:r>
        <w:rPr>
          <w:rFonts w:ascii="Times New Roman" w:hAnsi="Times New Roman"/>
          <w:color w:val="000000"/>
          <w:sz w:val="20"/>
        </w:rPr>
        <w:t xml:space="preserve">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pPr>
      <w:r>
        <w:rPr>
          <w:rFonts w:ascii="Arial" w:hAnsi="Arial"/>
          <w:b/>
          <w:color w:val="000000"/>
          <w:sz w:val="20"/>
        </w:rPr>
        <w:t xml:space="preserve">Our deep knowledge of human immune biology. </w:t>
      </w:r>
      <w:r>
        <w:rPr>
          <w:rFonts w:ascii="Arial" w:hAnsi="Arial"/>
          <w:color w:val="000000"/>
          <w:sz w:val="20"/>
        </w:rPr>
        <w:t xml:space="preserve">Our portfolio leverages our comprehensive grasp of the immune system to address a broader range of targets or mechanisms than historically undertaken by biopharmaceutical companies.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pPr>
      <w:r>
        <w:rPr>
          <w:rFonts w:ascii="Arial" w:hAnsi="Arial"/>
          <w:b/>
          <w:color w:val="000000"/>
          <w:sz w:val="20"/>
        </w:rPr>
        <w:t xml:space="preserve">Our expertise in small molecules and protein therapeutics allows us to tackle a broad range of therapeutic targets. </w:t>
      </w:r>
      <w:r>
        <w:rPr>
          <w:rFonts w:ascii="Arial" w:hAnsi="Arial"/>
          <w:color w:val="000000"/>
          <w:sz w:val="20"/>
        </w:rPr>
        <w:t xml:space="preserve">We have deep organizational expertise in medicinal and protein chemistry along with structural biology and biophysics, and we have efficiently invested to enable discovery and development across both modalities.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pPr>
      <w:r>
        <w:rPr>
          <w:rFonts w:ascii="Arial" w:hAnsi="Arial"/>
          <w:b/>
          <w:color w:val="000000"/>
          <w:sz w:val="20"/>
        </w:rPr>
        <w:t xml:space="preserve">Highly productive and efficient research and development capabilities. </w:t>
      </w:r>
      <w:r>
        <w:rPr>
          <w:rFonts w:ascii="Arial" w:hAnsi="Arial"/>
          <w:color w:val="000000"/>
          <w:sz w:val="20"/>
        </w:rPr>
        <w:t xml:space="preserve">Since our founding in 2021, we have internally discovered and developed a broad portfolio of product candidates and achieved clinical proof-of-concept for our lead program, OD-001, in March 2026. Our regulatory strategy is globally focused and generally utilizes clinical trial application, or CTA, submissions prior to investigational new drug applications, or IND, filings to accelerate development timelines through a streamlined submission process.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pPr>
      <w:r>
        <w:rPr>
          <w:rFonts w:ascii="Arial" w:hAnsi="Arial"/>
          <w:b/>
          <w:color w:val="000000"/>
          <w:sz w:val="20"/>
        </w:rPr>
        <w:t xml:space="preserve">Our management team and board of directors have a long track record of therapeutic development and company building. </w:t>
      </w:r>
      <w:r>
        <w:rPr>
          <w:rFonts w:ascii="Arial" w:hAnsi="Arial"/>
          <w:color w:val="000000"/>
          <w:sz w:val="20"/>
        </w:rPr>
        <w:t xml:space="preserve">Our management team and board of directors have played critical roles in the discovery, development and acquisition of multiple blockbuster therapies and in founding and building biopharmaceutical companies. </w:t>
      </w:r>
    </w:p>
    <w:p>
      <w:pPr>
        <w:pStyle w:val="TextBody"/>
        <w:bidi w:val="0"/>
        <w:spacing w:before="240" w:after="283"/>
        <w:ind w:left="465" w:right="465" w:hanging="0"/>
        <w:jc w:val="left"/>
        <w:rPr>
          <w:rFonts w:ascii="Times New Roman" w:hAnsi="Times New Roman"/>
          <w:sz w:val="20"/>
        </w:rPr>
      </w:pPr>
      <w:r>
        <w:rPr>
          <w:rFonts w:ascii="Arial" w:hAnsi="Arial"/>
          <w:b/>
          <w:color w:val="000000"/>
          <w:sz w:val="20"/>
        </w:rPr>
        <w:t>Small Molecules</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Small molecules are preferred to address intracellular targets or provide an oral option where that administration route will be important for prescribers and patients. We have internal expertise to pursue a number of small-molecule mechanisms, including traditional inhibitors, protein-protein inhibitors, molecular glues, and protein degraders. To support our discovery and development, we have invested in a suite of tools and capabilities, including our artificial intelligence/machine learning, or AI/ML, platform.</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Our AI/ML platform is designed to support small-molecule drug discovery from program initiation through identification of a development candidate in silico. Specifically, leveraging our platform can (1) help to elucidate cryptic pockets through novel techniques pioneered by our employees, (2) enable us to use virtual screening and generative chemistry to identify and optimize hits, and (3) when used alongside traditional medicinal chemistry efforts, enable us to efficiently progress our programs.</w:t>
      </w:r>
      <w:r>
        <w:rPr>
          <w:rFonts w:ascii="Times New Roman" w:hAnsi="Times New Roman"/>
          <w:color w:val="000000"/>
          <w:sz w:val="20"/>
        </w:rPr>
        <w:t xml:space="preserve"> </w:t>
      </w:r>
    </w:p>
    <w:p>
      <w:pPr>
        <w:pStyle w:val="TextBody"/>
        <w:bidi w:val="0"/>
        <w:spacing w:before="240" w:after="283"/>
        <w:ind w:left="465" w:right="465" w:hanging="0"/>
        <w:jc w:val="left"/>
        <w:rPr>
          <w:rFonts w:ascii="Times New Roman" w:hAnsi="Times New Roman"/>
          <w:sz w:val="20"/>
        </w:rPr>
      </w:pPr>
      <w:r>
        <w:rPr>
          <w:rFonts w:ascii="Arial" w:hAnsi="Arial"/>
          <w:b/>
          <w:color w:val="000000"/>
          <w:sz w:val="20"/>
        </w:rPr>
        <w:t>Protein Therapeutics</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We believe that protein therapeutics are ideal for extracellular targets, particularly where multiple targets or receptors must be engaged for desired pharmacology. Within the protein therapeutic class, there are numerous formats that have been used in approved drugs, including monoclonal antibodies or their fragments, or Fab, bispecific antibodies, fusion proteins, and VHH-based single-domain antibodies and derivatives thereof, which we collectively refer to as VHH or V-bodies. We believe VHH provide a superior platform for the development of next-generation protein therapeutics compared to conventional antibodies and fusion proteins because of their lower molecular weight, modularity, ease of</w:t>
      </w:r>
      <w:r>
        <w:rPr>
          <w:rFonts w:ascii="Times New Roman" w:hAnsi="Times New Roman"/>
          <w:color w:val="000000"/>
          <w:sz w:val="20"/>
        </w:rPr>
        <w:t xml:space="preserve"> </w:t>
      </w:r>
    </w:p>
    <w:p>
      <w:pPr>
        <w:pStyle w:val="TextBody"/>
        <w:bidi w:val="0"/>
        <w:spacing w:before="120" w:after="0"/>
        <w:ind w:left="465" w:right="465" w:hanging="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left"/>
        <w:rPr/>
      </w:pPr>
      <w:r>
        <w:rPr/>
        <w:t> </w:t>
      </w:r>
    </w:p>
    <w:p>
      <w:pPr>
        <w:pStyle w:val="TextBody"/>
        <w:bidi w:val="0"/>
        <w:spacing w:before="120" w:after="283"/>
        <w:ind w:left="465" w:right="465" w:hanging="0"/>
        <w:jc w:val="left"/>
        <w:rPr>
          <w:rFonts w:ascii="Times New Roman" w:hAnsi="Times New Roman"/>
          <w:sz w:val="20"/>
        </w:rPr>
      </w:pPr>
      <w:r>
        <w:rPr>
          <w:rFonts w:ascii="Arial" w:hAnsi="Arial"/>
          <w:color w:val="000000"/>
          <w:sz w:val="20"/>
        </w:rPr>
        <w:t>engineering and manufacturing, and developability characteristics. Like our small-molecule research, we employ AI and ML models in developing our protein therapeutics. These models enable us to identify favorable combinations of VHH and help guide optimization of affinity, stability, and developability.</w:t>
      </w:r>
      <w:r>
        <w:rPr>
          <w:rFonts w:ascii="Times New Roman" w:hAnsi="Times New Roman"/>
          <w:color w:val="000000"/>
          <w:sz w:val="20"/>
        </w:rPr>
        <w:t xml:space="preserve"> </w:t>
      </w:r>
    </w:p>
    <w:p>
      <w:pPr>
        <w:pStyle w:val="TextBody"/>
        <w:bidi w:val="0"/>
        <w:spacing w:before="240" w:after="283"/>
        <w:ind w:left="465" w:right="465" w:hanging="0"/>
        <w:jc w:val="left"/>
        <w:rPr>
          <w:rFonts w:ascii="Times New Roman" w:hAnsi="Times New Roman"/>
          <w:sz w:val="20"/>
        </w:rPr>
      </w:pPr>
      <w:r>
        <w:rPr>
          <w:rFonts w:ascii="Arial" w:hAnsi="Arial"/>
          <w:b/>
          <w:color w:val="000000"/>
          <w:sz w:val="20"/>
        </w:rPr>
        <w:t>Our Pipeline</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Our most advanced and wholly owned drug development pipeline is shown below.</w:t>
      </w:r>
      <w:r>
        <w:rPr>
          <w:rFonts w:ascii="Times New Roman" w:hAnsi="Times New Roman"/>
          <w:color w:val="000000"/>
          <w:sz w:val="20"/>
        </w:rPr>
        <w:t xml:space="preserve"> </w:t>
      </w:r>
    </w:p>
    <w:p>
      <w:pPr>
        <w:pStyle w:val="TextBody"/>
        <w:bidi w:val="0"/>
        <w:spacing w:before="480" w:after="480"/>
        <w:ind w:left="465" w:right="465" w:hanging="0"/>
        <w:jc w:val="left"/>
        <w:rPr/>
      </w:pPr>
      <w:r>
        <w:rPr/>
        <w:t> </w:t>
      </w:r>
    </w:p>
    <w:p>
      <w:pPr>
        <w:pStyle w:val="TextBody"/>
        <w:bidi w:val="0"/>
        <w:spacing w:before="480" w:after="480"/>
        <w:ind w:left="465" w:right="465" w:hanging="0"/>
        <w:jc w:val="center"/>
        <w:rPr/>
      </w:pPr>
      <w:r>
        <w:rPr/>
        <w:drawing>
          <wp:inline distT="0" distB="0" distL="0" distR="0">
            <wp:extent cx="6858000" cy="330517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6858000" cy="3305175"/>
                    </a:xfrm>
                    <a:prstGeom prst="rect">
                      <a:avLst/>
                    </a:prstGeom>
                  </pic:spPr>
                </pic:pic>
              </a:graphicData>
            </a:graphic>
          </wp:inline>
        </w:drawing>
      </w:r>
    </w:p>
    <w:p>
      <w:pPr>
        <w:pStyle w:val="TextBody"/>
        <w:bidi w:val="0"/>
        <w:spacing w:before="480" w:after="480"/>
        <w:ind w:left="465" w:right="465" w:hanging="0"/>
        <w:jc w:val="left"/>
        <w:rPr/>
      </w:pPr>
      <w:r>
        <w:rPr/>
        <w:t> </w:t>
      </w:r>
    </w:p>
    <w:p>
      <w:pPr>
        <w:pStyle w:val="TextBody"/>
        <w:bidi w:val="0"/>
        <w:spacing w:before="480" w:after="480"/>
        <w:ind w:left="465" w:right="465" w:hanging="0"/>
        <w:jc w:val="left"/>
        <w:rPr>
          <w:rFonts w:ascii="Times New Roman" w:hAnsi="Times New Roman"/>
          <w:sz w:val="20"/>
        </w:rPr>
      </w:pPr>
      <w:r>
        <w:rPr>
          <w:rFonts w:ascii="Arial" w:hAnsi="Arial"/>
          <w:b/>
          <w:i/>
          <w:color w:val="000000"/>
          <w:sz w:val="20"/>
        </w:rPr>
        <w:t>RIPK2</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OD-001, our oral small-molecule RIPK2 scaffolding inhibitor product candidate, is in phase 2a development for the treatment of UC, which is one of the two main types of IBD. IBD is an autoimmune disease that degrades, damages and can perforate the gastrointestinal, or GI, tract and afflicts two-to-three million people in the United States. Despite there being more than ten approved therapies spanning multiple mechanisms of action, placebo-adjusted remission rates for IBD do not exceed approximately 25% (a so called “therapeutic ceiling”). Moreover, 45% of patients who initially respond to treatment with existing approved therapies lose response within five years.</w:t>
      </w:r>
      <w:r>
        <w:rPr>
          <w:rFonts w:ascii="Times New Roman" w:hAnsi="Times New Roman"/>
          <w:color w:val="000000"/>
          <w:sz w:val="20"/>
        </w:rPr>
        <w:t xml:space="preserve"> </w:t>
      </w:r>
    </w:p>
    <w:p>
      <w:pPr>
        <w:pStyle w:val="TextBody"/>
        <w:bidi w:val="0"/>
        <w:spacing w:before="120" w:after="283"/>
        <w:ind w:left="465" w:right="465" w:firstLine="612"/>
        <w:jc w:val="left"/>
        <w:rPr>
          <w:rFonts w:ascii="Times New Roman" w:hAnsi="Times New Roman"/>
          <w:sz w:val="20"/>
        </w:rPr>
      </w:pPr>
      <w:r>
        <w:rPr>
          <w:rFonts w:ascii="Arial" w:hAnsi="Arial"/>
          <w:color w:val="000000"/>
          <w:sz w:val="20"/>
        </w:rPr>
        <w:t>RIPK2 is a critical signaling protein of the innate immune system that responds to bacterial byproducts from the GI tract and has been implicated both as an initiator of IBD and may be a mechanism of resistance to standard-of-care therapies, including tumor necrosis factor, or TNF, and integrin-blocking therapies. Based on the observations of increased activation of RIPK2 in IBD patients, the linkage of RIPK2-associated gene expression with disease severity and the reduction of disease following RIPK2 knockout or inhibition in preclinical models, we believe that blocking RIPK2 has the potential to address the core pathology of IBD. RIPK2 inhibition blocks the production of multiple cytokines in response to bacterial byproducts, many of which are validated therapeutic targets for IBD treatment, including TNF, TNF-like cytokine 1A, or TL1A, and interleukin 23, or IL-23. By blocking these cytokines, the adaptive immune response is reduced. In addition, by blocking RIPK2, we believe we can also prevent direct damage to the gut epithelial lining by the activation of innate immune cells. Finally, activated innate immune cells, for example inflammatory monocytes, that highly express RIPK2 are elevated in patients who are refractory to standard of care therapies. Therefore, we believe our approach of targeting the innate immune response through RIPK2 is differentiated from therapies that target the adaptive immune response and has the potential for use in patients who are refractory to existing standard of care therapies. Leveraging our platform capabilities, our development candidate OD-001 was discovered and nominated to progress into clinical trials in under 24 months. We believe that OD-001, as either monotherapy or in combination with existing therapies, has the potential to break the current therapeutic ceiling in IBD.</w:t>
      </w:r>
      <w:r>
        <w:rPr>
          <w:rFonts w:ascii="Times New Roman" w:hAnsi="Times New Roman"/>
          <w:color w:val="000000"/>
          <w:sz w:val="20"/>
        </w:rPr>
        <w:t xml:space="preserve"> </w:t>
      </w:r>
    </w:p>
    <w:p>
      <w:pPr>
        <w:pStyle w:val="TextBody"/>
        <w:bidi w:val="0"/>
        <w:spacing w:before="120" w:after="283"/>
        <w:ind w:left="465" w:right="465" w:firstLine="612"/>
        <w:jc w:val="left"/>
        <w:rPr>
          <w:rFonts w:ascii="Times New Roman" w:hAnsi="Times New Roman"/>
          <w:sz w:val="20"/>
        </w:rPr>
      </w:pPr>
      <w:r>
        <w:rPr>
          <w:rFonts w:ascii="Arial" w:hAnsi="Arial"/>
          <w:color w:val="000000"/>
          <w:sz w:val="20"/>
        </w:rPr>
        <w:t>In the fourth quarter of 2024, we completed a phase 1 trial of OD-001 in healthy adult participants in Australia that demonstrated that OD-001 was well tolerated and provided continuous target coverage. In May 2025, we initiated dosing in an open-label phase 2a trial assessing OD-001 as a monotherapy at two dose levels in UC patients and we received</w:t>
      </w:r>
      <w:r>
        <w:rPr>
          <w:rFonts w:ascii="Times New Roman" w:hAnsi="Times New Roman"/>
          <w:color w:val="000000"/>
          <w:sz w:val="20"/>
        </w:rPr>
        <w:t xml:space="preserve"> </w:t>
      </w:r>
    </w:p>
    <w:p>
      <w:pPr>
        <w:pStyle w:val="TextBody"/>
        <w:bidi w:val="0"/>
        <w:spacing w:before="120" w:after="0"/>
        <w:ind w:left="465" w:right="465" w:hanging="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left"/>
        <w:rPr/>
      </w:pPr>
      <w:r>
        <w:rPr/>
        <w:t> </w:t>
      </w:r>
    </w:p>
    <w:p>
      <w:pPr>
        <w:pStyle w:val="TextBody"/>
        <w:bidi w:val="0"/>
        <w:spacing w:before="120" w:after="283"/>
        <w:ind w:left="465" w:right="465" w:hanging="0"/>
        <w:jc w:val="left"/>
        <w:rPr>
          <w:rFonts w:ascii="Times New Roman" w:hAnsi="Times New Roman"/>
          <w:sz w:val="20"/>
        </w:rPr>
      </w:pPr>
      <w:r>
        <w:rPr>
          <w:rFonts w:ascii="Arial" w:hAnsi="Arial"/>
          <w:color w:val="000000"/>
          <w:sz w:val="20"/>
        </w:rPr>
        <w:t>topline induction results in April 2026 and those results are presented in this prospectus. As of the date of this prospectus, we have completed dosing of OD-001 in all patients in part 1 and part 2 of the phase 2a clinical trial and observed patient benefit across multiple disease-relevant endpoints in the 49 patients who completed 12 weeks of treatment with OD-001 and were evaluable for the primary efficacy analysis per protocol. With regard to safety and tolerability across all 53 patients enrolled in part 1 and part 2, OD-001 has been well tolerated with no serious adverse events or discontinuations due to adverse events. Pending discussions with regulatory agencies, we expect to commence a randomized, double-blind phase 2a trial assessing OD-001 in combination with vedolizumab, an approved integrin-blocking therapy, compared to vedolizumab in combination with placebo, in the second half of 2026 and we expect to release topline induction results in the second half of 2027. In addition, we expect to initiate a double-blind, randomized and placebo-controlled phase 2b trial assessing two dose levels of OD-001 as a monotherapy compared to placebo in the second half of 2026, with topline monotherapy induction results expected in the second half of 2027. We anticipate conducting our future trials at sites both in the United States and across the rest of the world pending approval and clearance to proceed by the applicable regulatory authorities.</w:t>
      </w:r>
      <w:r>
        <w:rPr>
          <w:rFonts w:ascii="Times New Roman" w:hAnsi="Times New Roman"/>
          <w:color w:val="000000"/>
          <w:sz w:val="20"/>
        </w:rPr>
        <w:t xml:space="preserve"> </w:t>
      </w:r>
    </w:p>
    <w:p>
      <w:pPr>
        <w:pStyle w:val="TextBody"/>
        <w:bidi w:val="0"/>
        <w:spacing w:before="240" w:after="283"/>
        <w:ind w:left="465" w:right="465" w:hanging="0"/>
        <w:jc w:val="left"/>
        <w:rPr>
          <w:rFonts w:ascii="Times New Roman" w:hAnsi="Times New Roman"/>
          <w:sz w:val="20"/>
        </w:rPr>
      </w:pPr>
      <w:r>
        <w:rPr>
          <w:rFonts w:ascii="Arial" w:hAnsi="Arial"/>
          <w:b/>
          <w:i/>
          <w:color w:val="000000"/>
          <w:sz w:val="20"/>
        </w:rPr>
        <w:t>SLC15A4</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OD-002, our oral small-molecule SLC15A4 inhibitor product candidate, is currently in IND-enabling studies. SLC15A4 is a critical signaling protein in the immune response triggered by TLR7/8/9 activation from nucleic acids, such as RNA or DNA, and nucleic acid-containing complexes. This pathway leads to the production of type I interferons, proinflammatory cytokines and chemokines, and activates pathogenic B cell proliferation. We believe that inhibition of SLC15A4 has the potential to be more effective than TLR7/8 inhibitors, which leave TLR9 unaddressed, or interferon-blocking drugs, which fail to reduce other proinflammatory cytokines or chemokines. Hence, we intend to develop our SLC15A4 inhibitor for the treatment of interferonopathies, including SLE, cutaneous lupus erythematosus, or CLE, and other B cell-mediated autoimmune diseases.</w:t>
      </w:r>
      <w:r>
        <w:rPr>
          <w:rFonts w:ascii="Times New Roman" w:hAnsi="Times New Roman"/>
          <w:color w:val="000000"/>
          <w:sz w:val="20"/>
        </w:rPr>
        <w:t xml:space="preserve"> </w:t>
      </w:r>
    </w:p>
    <w:p>
      <w:pPr>
        <w:pStyle w:val="TextBody"/>
        <w:bidi w:val="0"/>
        <w:spacing w:before="120" w:after="283"/>
        <w:ind w:left="465" w:right="465" w:firstLine="612"/>
        <w:jc w:val="left"/>
        <w:rPr>
          <w:rFonts w:ascii="Arial" w:hAnsi="Arial"/>
          <w:color w:val="000000"/>
          <w:sz w:val="20"/>
        </w:rPr>
      </w:pPr>
      <w:r>
        <w:rPr>
          <w:rFonts w:ascii="Arial" w:hAnsi="Arial"/>
          <w:color w:val="000000"/>
          <w:sz w:val="20"/>
        </w:rPr>
        <w:t>Using our AI/ML platform, we identified novel, high-quality starting points for this program in October of 2024 and rapidly advanced development, initiating IND-enabling studies for our development candidate, OD-002, 15 months later in January 2026. Pending an acceptable profile in these IND-enabling studies, we expect to file a CTA for this program outside of the United States in the second half of 2026 and then would expect to initiate a phase 1/2a trial in healthy participants and multiple patient cohorts. We expect that the healthy participant portion of this trial will consist of a single ascending dose, or SAD, component and a multiple ascending dose, or MAD, component to assess safety, pharmacokinetics, or PK, and pharmacodynamics, or PD, and a food effect component. We expect the phase 2a portion of this trial to enroll multiple patient cohorts, including CLE and potentially other interferonopathies or B cell mediated autoimmune diseases, for assessment of 12-week safety and efficacy. We expect to announce results from the healthy participant portion of this trial in the second half of 2027.</w:t>
      </w:r>
    </w:p>
    <w:p>
      <w:pPr>
        <w:pStyle w:val="TextBody"/>
        <w:bidi w:val="0"/>
        <w:spacing w:before="240" w:after="120"/>
        <w:ind w:left="465" w:right="574" w:hanging="0"/>
        <w:jc w:val="left"/>
        <w:rPr>
          <w:rFonts w:ascii="Times New Roman" w:hAnsi="Times New Roman"/>
          <w:sz w:val="20"/>
        </w:rPr>
      </w:pPr>
      <w:r>
        <w:rPr>
          <w:rFonts w:ascii="Arial" w:hAnsi="Arial"/>
          <w:b/>
          <w:color w:val="181717"/>
          <w:sz w:val="20"/>
        </w:rPr>
        <w:t>Additional Programs</w:t>
      </w:r>
      <w:r>
        <w:rPr>
          <w:rFonts w:ascii="Times New Roman" w:hAnsi="Times New Roman"/>
          <w:color w:val="181717"/>
          <w:sz w:val="20"/>
        </w:rPr>
        <w:t xml:space="preserve"> </w:t>
      </w:r>
    </w:p>
    <w:p>
      <w:pPr>
        <w:pStyle w:val="TextBody"/>
        <w:bidi w:val="0"/>
        <w:spacing w:before="0" w:after="120"/>
        <w:ind w:left="465" w:right="574" w:firstLine="619"/>
        <w:jc w:val="left"/>
        <w:rPr>
          <w:rFonts w:ascii="Times New Roman" w:hAnsi="Times New Roman"/>
          <w:sz w:val="20"/>
        </w:rPr>
      </w:pPr>
      <w:r>
        <w:rPr>
          <w:rFonts w:ascii="Arial" w:hAnsi="Arial"/>
          <w:color w:val="181717"/>
          <w:sz w:val="20"/>
        </w:rPr>
        <w:t>In addition to our most advanced programs, we have a portfolio of wholly owned preclinical programs that are designed to target key drivers of inflammatory and autoimmune diseases.</w:t>
      </w:r>
      <w:r>
        <w:rPr>
          <w:rFonts w:ascii="Times New Roman" w:hAnsi="Times New Roman"/>
          <w:color w:val="181717"/>
          <w:sz w:val="20"/>
        </w:rPr>
        <w:t xml:space="preserve"> </w:t>
      </w:r>
    </w:p>
    <w:p>
      <w:pPr>
        <w:pStyle w:val="TextBody"/>
        <w:bidi w:val="0"/>
        <w:spacing w:before="0" w:after="120"/>
        <w:ind w:left="465" w:right="580" w:firstLine="619"/>
        <w:jc w:val="left"/>
        <w:rPr>
          <w:rFonts w:ascii="Times New Roman" w:hAnsi="Times New Roman"/>
          <w:sz w:val="20"/>
        </w:rPr>
      </w:pPr>
      <w:r>
        <w:rPr>
          <w:rFonts w:ascii="Arial" w:hAnsi="Arial"/>
          <w:color w:val="181717"/>
          <w:sz w:val="20"/>
        </w:rPr>
        <w:t xml:space="preserve">The most advanced of these programs is OD-003, a V-body protein therapeutic designed to selectively agonize TNFR2, a receptor highly expressed on Treg. Agonism of TNFR2 activates and expands Treg while enhancing their immunosuppressive function and phenotype stability, which we believe can result in improved efficacy compared to interleukin-2, or IL-2, based therapies. IND-enabling activities for OD-003 are currently ongoing and </w:t>
      </w:r>
      <w:r>
        <w:rPr>
          <w:rFonts w:ascii="Arial" w:hAnsi="Arial"/>
          <w:color w:val="000000"/>
          <w:sz w:val="20"/>
        </w:rPr>
        <w:t>expected to complete in the first quarter of 2027</w:t>
      </w:r>
      <w:r>
        <w:rPr>
          <w:rFonts w:ascii="Arial" w:hAnsi="Arial"/>
          <w:color w:val="181717"/>
          <w:sz w:val="20"/>
        </w:rPr>
        <w:t>.</w:t>
      </w:r>
    </w:p>
    <w:p>
      <w:pPr>
        <w:pStyle w:val="TextBody"/>
        <w:bidi w:val="0"/>
        <w:spacing w:before="0" w:after="120"/>
        <w:ind w:left="465" w:right="580" w:firstLine="619"/>
        <w:jc w:val="left"/>
        <w:rPr>
          <w:rFonts w:ascii="Times New Roman" w:hAnsi="Times New Roman"/>
          <w:sz w:val="20"/>
        </w:rPr>
      </w:pPr>
      <w:r>
        <w:rPr>
          <w:rFonts w:ascii="Arial" w:hAnsi="Arial"/>
          <w:color w:val="181717"/>
          <w:sz w:val="20"/>
        </w:rPr>
        <w:t>The second most advanced of these additional programs is OD-004, a V-body bispecific protein antagonist of TSLP and IL-33, two key upstream alarmins that initiate and sustain inflammatory responses in respiratory diseases such as asthma and chronic obstructive pulmonary disease, or COPD. TSLP and IL-33 are compensatory and redundant cytokines that activate overlapping immune pathways and cell types. Therefore, we believe simultaneous inhibition of both alarmins can provide greater therapeutic benefit than targeting either target alone. This program is currently in lead optimization with the goal of selecting a bispecific development candidate in the second quarter of 2026.</w:t>
      </w:r>
      <w:r>
        <w:rPr>
          <w:rFonts w:ascii="Times New Roman" w:hAnsi="Times New Roman"/>
          <w:color w:val="181717"/>
          <w:sz w:val="20"/>
        </w:rPr>
        <w:t xml:space="preserve"> </w:t>
      </w:r>
    </w:p>
    <w:p>
      <w:pPr>
        <w:pStyle w:val="TextBody"/>
        <w:bidi w:val="0"/>
        <w:spacing w:before="0" w:after="120"/>
        <w:ind w:left="465" w:right="580" w:firstLine="619"/>
        <w:jc w:val="left"/>
        <w:rPr>
          <w:rFonts w:ascii="Arial" w:hAnsi="Arial"/>
          <w:color w:val="181717"/>
          <w:sz w:val="20"/>
        </w:rPr>
      </w:pPr>
      <w:r>
        <w:rPr>
          <w:rFonts w:ascii="Arial" w:hAnsi="Arial"/>
          <w:color w:val="181717"/>
          <w:sz w:val="20"/>
        </w:rPr>
        <w:t>We are also developing a small-molecule scaffolding inhibitor of IRAK4. IRAK4 is a scaffolding protein in the myddosome, a key node in the immune system where multiple upstream activators converge to initiate activation of multiple downstream inflammatory pathways. Existing approaches, including both IRAK4 kinase inhibitors and IRAK4 degraders, are insufficient to block the ability of IRAK1 or IRAK2 to scaffold with IRAK4, which leads to their inability to block cytokine production across cell types. Therefore, we have chosen to target the scaffolding function of IRAK4, which we believe can provide maximal inhibition of cytokines across disease relevant cell types. The program is currently in lead optimization.</w:t>
      </w:r>
    </w:p>
    <w:p>
      <w:pPr>
        <w:pStyle w:val="TextBody"/>
        <w:bidi w:val="0"/>
        <w:spacing w:before="120" w:after="0"/>
        <w:ind w:left="465" w:right="465" w:hanging="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left"/>
        <w:rPr/>
      </w:pPr>
      <w:r>
        <w:rPr/>
        <w:t> </w:t>
      </w:r>
    </w:p>
    <w:p>
      <w:pPr>
        <w:pStyle w:val="TextBody"/>
        <w:bidi w:val="0"/>
        <w:spacing w:before="0" w:after="120"/>
        <w:ind w:left="465" w:right="465" w:firstLine="619"/>
        <w:jc w:val="left"/>
        <w:rPr>
          <w:rFonts w:ascii="Arial" w:hAnsi="Arial"/>
          <w:color w:val="181717"/>
          <w:sz w:val="20"/>
        </w:rPr>
      </w:pPr>
      <w:r>
        <w:rPr>
          <w:rFonts w:ascii="Arial" w:hAnsi="Arial"/>
          <w:color w:val="181717"/>
          <w:sz w:val="20"/>
        </w:rPr>
        <w:t>In collaboration with Terray, we are developing a small-molecule inhibitor of IRF5, a transcription factor that regulates multiple proinflammatory signaling pathways involved in autoimmune disease. IRF5 controls the production of inflammatory cytokines and chemokines, type I interferons, and expansion or survival of pathogenic B cells, and therefore plays an important role in autoimmunity. We believe IRF5 inhibition represents a complementary strategy to target the interferon pathway alongside our wholly owned SLC15A4 inhibitor as different diseases may benefit from broader or more selective inhibition. The program is currently in lead optimization.</w:t>
      </w:r>
    </w:p>
    <w:p>
      <w:pPr>
        <w:pStyle w:val="TextBody"/>
        <w:bidi w:val="0"/>
        <w:spacing w:before="120" w:after="283"/>
        <w:ind w:left="465" w:right="465" w:hanging="0"/>
        <w:jc w:val="left"/>
        <w:rPr>
          <w:rFonts w:ascii="Times New Roman" w:hAnsi="Times New Roman"/>
          <w:sz w:val="20"/>
        </w:rPr>
      </w:pPr>
      <w:r>
        <w:rPr>
          <w:rFonts w:ascii="Arial" w:hAnsi="Arial"/>
          <w:b/>
          <w:color w:val="000000"/>
          <w:sz w:val="20"/>
        </w:rPr>
        <w:t>Our Strategy</w:t>
      </w:r>
      <w:r>
        <w:rPr>
          <w:rFonts w:ascii="Times New Roman" w:hAnsi="Times New Roman"/>
          <w:color w:val="000000"/>
          <w:sz w:val="20"/>
        </w:rPr>
        <w:t xml:space="preserve"> </w:t>
      </w:r>
    </w:p>
    <w:p>
      <w:pPr>
        <w:pStyle w:val="TextBody"/>
        <w:bidi w:val="0"/>
        <w:spacing w:before="120" w:after="283"/>
        <w:ind w:left="465" w:right="465" w:firstLine="612"/>
        <w:jc w:val="left"/>
        <w:rPr>
          <w:rFonts w:ascii="Times New Roman" w:hAnsi="Times New Roman"/>
          <w:sz w:val="20"/>
        </w:rPr>
      </w:pPr>
      <w:r>
        <w:rPr>
          <w:rFonts w:ascii="Arial" w:hAnsi="Arial"/>
          <w:color w:val="000000"/>
          <w:sz w:val="20"/>
        </w:rPr>
        <w:t>Our goal is to continue building a differentiated, global biopharmaceutical company by discovering, developing, and commercializing transformative medicines for underserved patient populations. We aim to be an industry leader in immunology and are advancing a diversified portfolio of programs with the intention of efficiently delivering safe and effective medicines to patients.</w:t>
      </w:r>
      <w:r>
        <w:rPr>
          <w:rFonts w:ascii="Times New Roman" w:hAnsi="Times New Roman"/>
          <w:color w:val="000000"/>
          <w:sz w:val="20"/>
        </w:rPr>
        <w:t xml:space="preserve"> </w:t>
      </w:r>
    </w:p>
    <w:p>
      <w:pPr>
        <w:pStyle w:val="TextBody"/>
        <w:bidi w:val="0"/>
        <w:spacing w:before="120" w:after="283"/>
        <w:ind w:left="465" w:right="465" w:firstLine="612"/>
        <w:jc w:val="left"/>
        <w:rPr>
          <w:rFonts w:ascii="Times New Roman" w:hAnsi="Times New Roman"/>
          <w:sz w:val="20"/>
        </w:rPr>
      </w:pPr>
      <w:r>
        <w:rPr>
          <w:rFonts w:ascii="Arial" w:hAnsi="Arial"/>
          <w:color w:val="000000"/>
          <w:sz w:val="20"/>
        </w:rPr>
        <w:t>The key elements of our strategy include:</w:t>
      </w:r>
      <w:r>
        <w:rPr>
          <w:rFonts w:ascii="Times New Roman" w:hAnsi="Times New Roman"/>
          <w:color w:val="000000"/>
          <w:sz w:val="20"/>
        </w:rPr>
        <w:t xml:space="preserve">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Advance our RIPK2 scaffolding inhibitor, OD-001, to deliver a potentially transformative therapy for patients suffering from IBD.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Advance our SLC15A4 inhibitor, OD-002, into clinical development and assess its potential benefit across a range of autoimmune and inflammatory diseases.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Invest in our early-stage pipeline to potentially enable a new clinical entry every 12-18 months.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Execute on our existing, and pursue additional, collaborations.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Build our development capabilities to support advancement of candidates into late-stage development. </w:t>
      </w:r>
    </w:p>
    <w:p>
      <w:pPr>
        <w:pStyle w:val="TextBody"/>
        <w:bidi w:val="0"/>
        <w:spacing w:before="240" w:after="283"/>
        <w:ind w:left="465" w:right="465" w:hanging="0"/>
        <w:jc w:val="left"/>
        <w:rPr>
          <w:rFonts w:ascii="Times New Roman" w:hAnsi="Times New Roman"/>
          <w:sz w:val="20"/>
        </w:rPr>
      </w:pPr>
      <w:r>
        <w:rPr>
          <w:rFonts w:ascii="Arial" w:hAnsi="Arial"/>
          <w:b/>
          <w:color w:val="000000"/>
          <w:sz w:val="20"/>
        </w:rPr>
        <w:t>Our Team and Company History</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We are led by Gary D. Glick, Ph.D., our founder, President and Chief Executive Officer, and Jeffrey M. Leiden, M.D., Ph.D., the Chair of our board of directors and the former President, Chief Executive Officer, and Chairman of the board and current Executive Chairman of Vertex Pharmaceuticals Incorporated, or Vertex. Prior to founding our company in 2021, Dr. Glick was the founder and Chief Executive Officer of Scorpion Therapeutics, Inc., or Scorpion, where he led the initiation and early discovery of several programs, including STX-478, a mutant-selective PI3K inhibitor. In 2025, Eli Lilly and Company acquired Scorpion for up to $2.5 billion in cash. Before Scorpion, Dr. Glick was the founder and Chief Executive Officer of IFM Therapeutics, LLC, or IFM, a company that was the first to target the NLRP3 inflammasome and stimulator of interferon genes, or STING. At IFM, Dr. Glick completed three sales of drug development programs, generating proceeds to date of $750 million. Subject to the achievement of various milestones, proceeds from those sales could reach more than $4.7 billion. Earlier in his career, as Chief Scientific Officer of Lycera Corporation, Dr. Glick successfully completed more than $600 million of program partnering transactions. Drs. Glick and Leiden lead our team of experienced drug hunters and developers with deep experience in identifying, developing, and commercializing medicines across indications and drug types. In addition to Drs. Glick and Leiden, other members of our board of directors possess a diverse set of skills related to the discovery, development, acquisition, and commercialization of transformative medicines and have experience in leading, founding, or building biopharmaceutical companies that include Abbott Laboratories, Horizon Therapeutics plc, and Vertex. The past performance by our management team and directors, including investments and transactions in which they have participated and businesses with which they have been associated, may not be indicative of future performance of an investment in us. Since our inception in 2021, we have raised an aggregate of approximately $726.5 million from over 30 investors.</w:t>
      </w:r>
      <w:r>
        <w:rPr>
          <w:rFonts w:ascii="Times New Roman" w:hAnsi="Times New Roman"/>
          <w:color w:val="000000"/>
          <w:sz w:val="20"/>
        </w:rPr>
        <w:t xml:space="preserve"> </w:t>
      </w:r>
    </w:p>
    <w:p>
      <w:pPr>
        <w:pStyle w:val="TextBody"/>
        <w:bidi w:val="0"/>
        <w:spacing w:before="240" w:after="283"/>
        <w:ind w:left="465" w:right="465" w:hanging="0"/>
        <w:jc w:val="left"/>
        <w:rPr>
          <w:rFonts w:ascii="Arial" w:hAnsi="Arial"/>
          <w:b/>
          <w:color w:val="000000"/>
          <w:sz w:val="20"/>
        </w:rPr>
      </w:pPr>
      <w:r>
        <w:rPr>
          <w:rFonts w:ascii="Arial" w:hAnsi="Arial"/>
          <w:b/>
          <w:color w:val="000000"/>
          <w:sz w:val="20"/>
        </w:rPr>
        <w:t>Preliminary Balance of Cash, Cash Equivalents and Marketable Securities</w:t>
      </w:r>
    </w:p>
    <w:p>
      <w:pPr>
        <w:pStyle w:val="TextBody"/>
        <w:bidi w:val="0"/>
        <w:spacing w:before="120" w:after="283"/>
        <w:ind w:left="465" w:right="465" w:firstLine="612"/>
        <w:jc w:val="left"/>
        <w:rPr>
          <w:rFonts w:ascii="Times New Roman" w:hAnsi="Times New Roman"/>
          <w:sz w:val="20"/>
        </w:rPr>
      </w:pPr>
      <w:r>
        <w:rPr>
          <w:rFonts w:ascii="Arial" w:hAnsi="Arial"/>
          <w:color w:val="000000"/>
          <w:sz w:val="20"/>
        </w:rPr>
        <w:t>Our preliminary cash, cash equivalents and marketable securities balance was approximately $175.7 million as of March 31, 2026.</w:t>
      </w:r>
      <w:r>
        <w:rPr>
          <w:rFonts w:ascii="Times New Roman" w:hAnsi="Times New Roman"/>
          <w:color w:val="000000"/>
          <w:sz w:val="20"/>
        </w:rPr>
        <w:t xml:space="preserve"> </w:t>
      </w:r>
    </w:p>
    <w:p>
      <w:pPr>
        <w:pStyle w:val="TextBody"/>
        <w:bidi w:val="0"/>
        <w:spacing w:before="120" w:after="0"/>
        <w:ind w:left="465" w:right="465" w:hanging="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left"/>
        <w:rPr/>
      </w:pPr>
      <w:r>
        <w:rPr/>
        <w:t>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Our actual consolidated financial results as of and for the three months ended March 31, 2026 are not yet available. Our financial closing procedures for the three months ended March 31, 2026 are not yet complete and, as a result, our final results upon completion of those procedures may differ materially from our preliminary balance. The preliminary cash, cash equivalents and marketable securities balance presented above as of March 31, 2026 is not a comprehensive statement of our financial position or operating results and reflects our preliminary balance based on information available as of the date of this prospectus. This preliminary balance should not be viewed as a substitute for full financial statements prepared in accordance with generally accepted accounting principles in the U.S. and this preliminary balance is not necessarily indicative of the results to be achieved for the stated period, or any other period. We do not undertake any obligation to publicly update or revise this preliminary balance, except as required by law. See “</w:t>
      </w:r>
      <w:r>
        <w:rPr>
          <w:rFonts w:ascii="Arial" w:hAnsi="Arial"/>
          <w:i/>
          <w:color w:val="000000"/>
          <w:sz w:val="20"/>
        </w:rPr>
        <w:t>Risk Factors</w:t>
      </w:r>
      <w:r>
        <w:rPr>
          <w:rFonts w:ascii="Times New Roman" w:hAnsi="Times New Roman"/>
          <w:color w:val="000000"/>
          <w:sz w:val="20"/>
        </w:rPr>
        <w:t xml:space="preserve">” </w:t>
      </w:r>
      <w:r>
        <w:rPr>
          <w:rFonts w:ascii="Arial" w:hAnsi="Arial"/>
          <w:color w:val="000000"/>
          <w:sz w:val="20"/>
        </w:rPr>
        <w:t>and “</w:t>
      </w:r>
      <w:r>
        <w:rPr>
          <w:rFonts w:ascii="Arial" w:hAnsi="Arial"/>
          <w:i/>
          <w:color w:val="000000"/>
          <w:sz w:val="20"/>
        </w:rPr>
        <w:t>Management’s Discussion and Analysis of Financial Condition and Results of Operations</w:t>
      </w:r>
      <w:r>
        <w:rPr>
          <w:rFonts w:ascii="Times New Roman" w:hAnsi="Times New Roman"/>
          <w:color w:val="000000"/>
          <w:sz w:val="20"/>
        </w:rPr>
        <w:t xml:space="preserve">” </w:t>
      </w:r>
      <w:r>
        <w:rPr>
          <w:rFonts w:ascii="Arial" w:hAnsi="Arial"/>
          <w:color w:val="000000"/>
          <w:sz w:val="20"/>
        </w:rPr>
        <w:t>in this prospectus for a discussion of certain factors that could result in differences between this preliminary unaudited balance and the actual results.</w:t>
      </w:r>
      <w:r>
        <w:rPr>
          <w:rFonts w:ascii="Times New Roman" w:hAnsi="Times New Roman"/>
          <w:color w:val="000000"/>
          <w:sz w:val="20"/>
        </w:rPr>
        <w:t xml:space="preserve"> </w:t>
      </w:r>
    </w:p>
    <w:p>
      <w:pPr>
        <w:pStyle w:val="TextBody"/>
        <w:bidi w:val="0"/>
        <w:spacing w:before="120" w:after="283"/>
        <w:ind w:left="465" w:right="465" w:firstLine="612"/>
        <w:jc w:val="left"/>
        <w:rPr>
          <w:rFonts w:ascii="Times New Roman" w:hAnsi="Times New Roman"/>
          <w:sz w:val="20"/>
        </w:rPr>
      </w:pPr>
      <w:r>
        <w:rPr>
          <w:rFonts w:ascii="Arial" w:hAnsi="Arial"/>
          <w:color w:val="000000"/>
          <w:sz w:val="20"/>
        </w:rPr>
        <w:t>The preliminary cash, cash equivalents and marketable securities balance presented above has been prepared by, and is the responsibility of, our management. Our independent registered public accounting firm, Deloitte &amp; Touche LLP, has not audited, reviewed, compiled or performed any procedures, and does not express an opinion or any other form of assurance, with respect to any of such data. This information should be read in conjunction with our consolidated financial statements and the related notes and “</w:t>
      </w:r>
      <w:r>
        <w:rPr>
          <w:rFonts w:ascii="Arial" w:hAnsi="Arial"/>
          <w:i/>
          <w:color w:val="000000"/>
          <w:sz w:val="20"/>
        </w:rPr>
        <w:t>Management’s Discussion and Analysis of Financial Condition and Results of Operations</w:t>
      </w:r>
      <w:r>
        <w:rPr>
          <w:rFonts w:ascii="Times New Roman" w:hAnsi="Times New Roman"/>
          <w:color w:val="000000"/>
          <w:sz w:val="20"/>
        </w:rPr>
        <w:t xml:space="preserve">” </w:t>
      </w:r>
      <w:r>
        <w:rPr>
          <w:rFonts w:ascii="Arial" w:hAnsi="Arial"/>
          <w:color w:val="000000"/>
          <w:sz w:val="20"/>
        </w:rPr>
        <w:t>for prior periods in this prospectus.</w:t>
      </w:r>
      <w:r>
        <w:rPr>
          <w:rFonts w:ascii="Times New Roman" w:hAnsi="Times New Roman"/>
          <w:color w:val="000000"/>
          <w:sz w:val="20"/>
        </w:rPr>
        <w:t xml:space="preserve"> </w:t>
      </w:r>
    </w:p>
    <w:p>
      <w:pPr>
        <w:pStyle w:val="TextBody"/>
        <w:bidi w:val="0"/>
        <w:spacing w:before="480" w:after="480"/>
        <w:ind w:left="465" w:right="465" w:hanging="0"/>
        <w:jc w:val="left"/>
        <w:rPr/>
      </w:pPr>
      <w:r>
        <w:rPr/>
        <w:t> </w:t>
      </w:r>
    </w:p>
    <w:p>
      <w:pPr>
        <w:pStyle w:val="TextBody"/>
        <w:bidi w:val="0"/>
        <w:spacing w:before="480" w:after="480"/>
        <w:ind w:left="465" w:right="465" w:hanging="0"/>
        <w:jc w:val="left"/>
        <w:rPr>
          <w:rFonts w:ascii="Times New Roman" w:hAnsi="Times New Roman"/>
          <w:sz w:val="20"/>
        </w:rPr>
      </w:pPr>
      <w:r>
        <w:rPr>
          <w:rFonts w:ascii="Arial" w:hAnsi="Arial"/>
          <w:b/>
          <w:color w:val="000000"/>
          <w:sz w:val="20"/>
        </w:rPr>
        <w:t>Corporate Information</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We were incorporated in Delaware in April 2021. Our principal executive offices are located at 51 Sleeper Street, Suite 800, Boston, Massachusetts 02210, and our telephone number is (617) 865-9628. Our website address is https://odysseytx.com/. We do not incorporate the information on, or accessible through, our website into this prospectus, and you should not consider any information on, or accessible through, our website as part of this prospectus. We have included our website address in this prospectus solely as an inactive textual reference.</w:t>
      </w:r>
      <w:r>
        <w:rPr>
          <w:rFonts w:ascii="Times New Roman" w:hAnsi="Times New Roman"/>
          <w:color w:val="000000"/>
          <w:sz w:val="20"/>
        </w:rPr>
        <w:t xml:space="preserve"> </w:t>
      </w:r>
    </w:p>
    <w:p>
      <w:pPr>
        <w:pStyle w:val="TextBody"/>
        <w:bidi w:val="0"/>
        <w:spacing w:before="240" w:after="283"/>
        <w:ind w:left="465" w:right="465" w:hanging="0"/>
        <w:jc w:val="left"/>
        <w:rPr>
          <w:rFonts w:ascii="Times New Roman" w:hAnsi="Times New Roman"/>
          <w:sz w:val="20"/>
        </w:rPr>
      </w:pPr>
      <w:r>
        <w:rPr>
          <w:rFonts w:ascii="Arial" w:hAnsi="Arial"/>
          <w:b/>
          <w:color w:val="000000"/>
          <w:sz w:val="20"/>
        </w:rPr>
        <w:t>Risk Factor Summary</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Investing in our common stock involves significant risks, including risks that may prevent us from achieving our business objectives or may adversely affect our business, financial condition, results of operations and prospects that you should consider before making a decision to invest in our common stock. These risks are discussed more fully under the section of this prospectus titled “</w:t>
      </w:r>
      <w:r>
        <w:rPr>
          <w:rFonts w:ascii="Arial" w:hAnsi="Arial"/>
          <w:i/>
          <w:color w:val="000000"/>
          <w:sz w:val="20"/>
        </w:rPr>
        <w:t>Risk Factors</w:t>
      </w:r>
      <w:r>
        <w:rPr>
          <w:rFonts w:ascii="Arial" w:hAnsi="Arial"/>
          <w:color w:val="000000"/>
          <w:sz w:val="20"/>
        </w:rPr>
        <w:t>.” You should carefully consider all the information in this prospectus, including under “</w:t>
      </w:r>
      <w:r>
        <w:rPr>
          <w:rFonts w:ascii="Arial" w:hAnsi="Arial"/>
          <w:i/>
          <w:color w:val="000000"/>
          <w:sz w:val="20"/>
        </w:rPr>
        <w:t>Risk Factors</w:t>
      </w:r>
      <w:r>
        <w:rPr>
          <w:rFonts w:ascii="Arial" w:hAnsi="Arial"/>
          <w:color w:val="000000"/>
          <w:sz w:val="20"/>
        </w:rPr>
        <w:t>,” before making an investment decision. These risks include, but are not limited to, the following:</w:t>
      </w:r>
      <w:r>
        <w:rPr>
          <w:rFonts w:ascii="Times New Roman" w:hAnsi="Times New Roman"/>
          <w:color w:val="000000"/>
          <w:sz w:val="20"/>
        </w:rPr>
        <w:t xml:space="preserve">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a clinical-stage biotechnology company with a limited operating history and a history of incurring substantial net losses, have no products approved for commercial sale, have never generated revenue from product sales and may never be profitable.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Even if this offering and the concurrent private placement are successful, 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business depends entirely on the success of our product candidates and development programs, including OD-001 and OD-002, and we cannot guarantee that any or all of our current or future product candidates will successfully complete clinical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future success depends on our ability to retain and to continue to receive adequate attention from our key leaders, as well as on our ability to attract, retain and motivate qualified personnel.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two most advanced product candidates are currently in a phase 2a clinical trial and IND-enabling studies, respectively. We have never successfully completed any large-scale or pivotal clinical trials with our product candidates, and we may be unable to do so for any product candidates we develop.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Preclinical and clinical development involves a lengthy and expensive process, with an uncertain outcome. We or our collaborators may incur additional costs or experience delays in completing, or ultimately be unable to complete, the development and commercialization of our current product candidates or any future product candidates. </w:t>
      </w:r>
    </w:p>
    <w:p>
      <w:pPr>
        <w:pStyle w:val="TextBody"/>
        <w:bidi w:val="0"/>
        <w:spacing w:before="120" w:after="0"/>
        <w:ind w:left="465" w:right="465" w:hanging="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left"/>
        <w:rPr/>
      </w:pPr>
      <w:r>
        <w:rPr/>
        <w:t>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face substantial competition, which may result in others discovering, developing or commercializing drugs before or more successfully than we do.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 financial condition, results of operations and prospects.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recently remediated a material weakness in our internal control over financial reporting. If we experience additional material weaknesses in the future or otherwise fail to maintain effective internal control over financial reporting or disclosure controls in the future, we may be unable to produce accurate and timely financial statements or detect acts of fraud, which may adversely affect investor confidence in us, and, as a result, the value of our common stock, or result in delisting, sanctions or other penalties that could harm our business.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 active and liquid trading market for our common stock may not develop and you may not be able to resell your shares of common stock at or above the initial public offering price, if at all. </w:t>
      </w:r>
    </w:p>
    <w:p>
      <w:pPr>
        <w:pStyle w:val="TextBody"/>
        <w:bidi w:val="0"/>
        <w:spacing w:before="240" w:after="283"/>
        <w:ind w:left="465" w:right="465" w:hanging="0"/>
        <w:jc w:val="left"/>
        <w:rPr>
          <w:rFonts w:ascii="Arial" w:hAnsi="Arial"/>
          <w:b/>
          <w:color w:val="000000"/>
          <w:sz w:val="20"/>
        </w:rPr>
      </w:pPr>
      <w:r>
        <w:rPr>
          <w:rFonts w:ascii="Arial" w:hAnsi="Arial"/>
          <w:b/>
          <w:color w:val="000000"/>
          <w:sz w:val="20"/>
        </w:rPr>
        <w:t>Concurrent Private Placement</w:t>
      </w:r>
    </w:p>
    <w:p>
      <w:pPr>
        <w:pStyle w:val="TextBody"/>
        <w:bidi w:val="0"/>
        <w:spacing w:before="120" w:after="283"/>
        <w:ind w:left="465" w:right="465" w:firstLine="619"/>
        <w:jc w:val="left"/>
        <w:rPr>
          <w:rFonts w:ascii="Arial" w:hAnsi="Arial"/>
          <w:color w:val="000000"/>
          <w:sz w:val="20"/>
        </w:rPr>
      </w:pPr>
      <w:r>
        <w:rPr>
          <w:rFonts w:ascii="Arial" w:hAnsi="Arial"/>
          <w:color w:val="000000"/>
          <w:sz w:val="20"/>
        </w:rPr>
        <w:t>TPG LSI Rise Orazio II, L.P., or TPG Orazio II, an affiliate of an existing stockholder, is expected to purchase 1,470,588 shares of our common stock in a concurrent private placement exempt from the registration requirements of the Securities Act at a per share price equal to the initial public offering price. The private placement would close concurrently with, and be contingent and conditioned upon consummation of, this offering, as well as certain other customary closing conditions. However, this offering is not contingent on the consummation of the concurrent private placement. In connection with the concurrent private placement, we expect to enter into a share purchase agreement with TPG Orazio II. Because we have not yet entered into a binding agreement with TPG Orazio II, we could determine to sell more, fewer or no shares in the concurrent private placement to TPG Orazio II, and TPG Orazio II could determine to purchase more, fewer or no shares in the concurrent private placement. The underwriters have agreed to act as placement agents in connection with the concurrent private placement and will receive a placement agent fee equal to 7% of the aggregate gross proceeds actually received in connection with the concurrent private placement.</w:t>
      </w:r>
    </w:p>
    <w:p>
      <w:pPr>
        <w:pStyle w:val="TextBody"/>
        <w:bidi w:val="0"/>
        <w:spacing w:before="480" w:after="480"/>
        <w:ind w:left="465" w:right="465" w:hanging="0"/>
        <w:jc w:val="left"/>
        <w:rPr/>
      </w:pPr>
      <w:r>
        <w:rPr/>
        <w:t> </w:t>
      </w:r>
    </w:p>
    <w:p>
      <w:pPr>
        <w:pStyle w:val="TextBody"/>
        <w:bidi w:val="0"/>
        <w:spacing w:before="480" w:after="480"/>
        <w:ind w:left="465" w:right="465" w:hanging="0"/>
        <w:jc w:val="left"/>
        <w:rPr>
          <w:rFonts w:ascii="Times New Roman" w:hAnsi="Times New Roman"/>
          <w:sz w:val="20"/>
        </w:rPr>
      </w:pPr>
      <w:r>
        <w:rPr>
          <w:rFonts w:ascii="Arial" w:hAnsi="Arial"/>
          <w:b/>
          <w:color w:val="000000"/>
          <w:sz w:val="20"/>
        </w:rPr>
        <w:t>Implications of Being an Emerging Growth Company and a Smaller Reporting Company</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We are an emerging growth company, as defined in Section 2(a) of the Securities Act, as modified by the Jumpstart Our Business Startups Act of 2012, or the JOBS Act, and we may take advantage of certain exemptions from various reporting requirements that are applicable to other public companies that are not emerging growth companies, including relief from the auditor attestation requirements of Section 404 of the Sarbanes-Oxley Act of 2002, as amended, or the Sarbanes-Oxley Act, less extensive disclosure obligations regarding executive compensation in our registration statements, periodic reports and proxy statements, exemptions from the requirements to hold a nonbinding advisory vote on executive compensation, and exemptions from stockholder approval of any golden parachute payments not previously approved. We are also permitted to present only two years of audited financial statements, in addition to any required unaudited interim financial statements, with correspondingly reduced “Management’s Discussion and Analysis of Financial Condition and Results of Operations” disclosure in this prospectus. We may also elect to take advantage of other reduced reporting requirements in future filings. As a result, our stockholders may not have access to certain information that they may deem important and the information that we provide to our stockholders may be different than, and not comparable to, information presented by other public reporting companies. We could remain an emerging growth company until the earlier of (i) the last day of the year following the fifth anniversary of the completion of this offering, (ii) the last day of the year in which we have total annual gross revenue of at least $1.235 billion, (iii) the last day of the year in which we are deemed to be a “large accelerated filer” as defined in Rule 12b-2 under the Securities Exchange Act of 1934, as amended, or the Exchange Act, which would occur if the market value of our common stock and non-voting common</w:t>
      </w:r>
      <w:r>
        <w:rPr>
          <w:rFonts w:ascii="Times New Roman" w:hAnsi="Times New Roman"/>
          <w:color w:val="000000"/>
          <w:sz w:val="20"/>
        </w:rPr>
        <w:t xml:space="preserve"> </w:t>
      </w:r>
    </w:p>
    <w:p>
      <w:pPr>
        <w:pStyle w:val="TextBody"/>
        <w:bidi w:val="0"/>
        <w:spacing w:before="120" w:after="0"/>
        <w:ind w:left="465" w:right="465" w:hanging="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left"/>
        <w:rPr/>
      </w:pPr>
      <w:r>
        <w:rPr/>
        <w:t> </w:t>
      </w:r>
    </w:p>
    <w:p>
      <w:pPr>
        <w:pStyle w:val="TextBody"/>
        <w:bidi w:val="0"/>
        <w:spacing w:before="120" w:after="283"/>
        <w:ind w:left="465" w:right="465" w:hanging="0"/>
        <w:jc w:val="left"/>
        <w:rPr>
          <w:rFonts w:ascii="Times New Roman" w:hAnsi="Times New Roman"/>
          <w:sz w:val="20"/>
        </w:rPr>
      </w:pPr>
      <w:r>
        <w:rPr>
          <w:rFonts w:ascii="Arial" w:hAnsi="Arial"/>
          <w:color w:val="000000"/>
          <w:sz w:val="20"/>
        </w:rPr>
        <w:t>stock held by non-affiliates exceeded $700.0 million as of the last business day of the second fiscal quarter of such year or (iv) the date on which we have issued more than $1.0 billion in non-convertible debt securities during the prior three-year period.</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In addition, the JOBS Act also provides that an emerging growth company may take advantage of the extended transition period provided in the Securities Act for complying with new or revised accounting standards. An emerging growth company may therefore delay the adoption of certain accounting standards until those standards would otherwise apply to private companies. We have elected to avail ourselves of this exemption and, as a result, will not be subject to the same implementation timing for new or revised accounting standards as are required of other public companies that are not emerging growth companies, which may make comparison of our financial information to those of other public companies more difficult. We may choose to early adopt any new or revised accounting standards whenever such early adoption is permitted for private companies.</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We are also a “smaller reporting company” as defined in the Exchange Act. We may continue to be a smaller reporting company after this offering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r>
        <w:rPr>
          <w:rFonts w:ascii="Times New Roman" w:hAnsi="Times New Roman"/>
          <w:color w:val="000000"/>
          <w:sz w:val="20"/>
        </w:rPr>
        <w:t xml:space="preserve"> </w:t>
      </w:r>
    </w:p>
    <w:p>
      <w:pPr>
        <w:pStyle w:val="TextBody"/>
        <w:bidi w:val="0"/>
        <w:spacing w:before="240" w:after="283"/>
        <w:ind w:left="465" w:right="465" w:hanging="0"/>
        <w:jc w:val="left"/>
        <w:rPr>
          <w:rFonts w:ascii="Times New Roman" w:hAnsi="Times New Roman"/>
          <w:sz w:val="20"/>
        </w:rPr>
      </w:pPr>
      <w:r>
        <w:rPr>
          <w:rFonts w:ascii="Arial" w:hAnsi="Arial"/>
          <w:b/>
          <w:color w:val="000000"/>
          <w:sz w:val="20"/>
        </w:rPr>
        <w:t>Trademarks and Service Marks</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 xml:space="preserve">This prospectus contains references to our trademarks and service marks. Solely for convenience, trademarks and trade names referred to in this prospectus, including logos, artwork and other visual displays, may appear without the </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or TM symbols, but such references are not intended to indicate in any way that we will not assert, to the fullest extent under applicable law, our rights or the rights of the applicable licensor to these trademarks and trade names. This prospectus also contains trademarks, service marks and trade names of third parties, which are the property of their respective owners. We do not intend our use or display of other entities’ trade names, trademarks or service marks to imply a relationship with, or endorsement or sponsorship of us by, any other entity.</w:t>
      </w:r>
      <w:r>
        <w:rPr>
          <w:rFonts w:ascii="Times New Roman" w:hAnsi="Times New Roman"/>
          <w:color w:val="000000"/>
          <w:sz w:val="20"/>
        </w:rPr>
        <w:t xml:space="preserve"> </w:t>
      </w:r>
    </w:p>
    <w:p>
      <w:pPr>
        <w:pStyle w:val="TextBody"/>
        <w:bidi w:val="0"/>
        <w:spacing w:before="120" w:after="0"/>
        <w:ind w:left="465" w:right="465" w:hanging="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left"/>
        <w:rPr/>
      </w:pPr>
      <w:r>
        <w:rPr/>
        <w:t> </w:t>
      </w:r>
    </w:p>
    <w:p>
      <w:pPr>
        <w:pStyle w:val="TextBody"/>
        <w:bidi w:val="0"/>
        <w:spacing w:before="480" w:after="480"/>
        <w:ind w:left="465" w:right="465" w:hanging="0"/>
        <w:jc w:val="center"/>
        <w:rPr>
          <w:rFonts w:ascii="Times New Roman" w:hAnsi="Times New Roman"/>
          <w:sz w:val="20"/>
        </w:rPr>
      </w:pPr>
      <w:r>
        <w:rPr>
          <w:rFonts w:ascii="Arial" w:hAnsi="Arial"/>
          <w:b/>
          <w:color w:val="000000"/>
          <w:sz w:val="20"/>
        </w:rPr>
        <w:t>THE OFFERING</w:t>
      </w:r>
      <w:r>
        <w:rPr>
          <w:rFonts w:ascii="Times New Roman" w:hAnsi="Times New Roman"/>
          <w:color w:val="000000"/>
          <w:sz w:val="20"/>
        </w:rPr>
        <w:t xml:space="preserve"> </w:t>
      </w:r>
    </w:p>
    <w:p>
      <w:pPr>
        <w:pStyle w:val="TextBody"/>
        <w:bidi w:val="0"/>
        <w:spacing w:before="480" w:after="480"/>
        <w:ind w:left="465" w:right="465" w:hanging="0"/>
        <w:jc w:val="center"/>
        <w:rPr/>
      </w:pPr>
      <w:r>
        <w:rPr/>
        <w:t> </w:t>
      </w:r>
    </w:p>
    <w:tbl>
      <w:tblPr>
        <w:tblW w:w="9275" w:type="dxa"/>
        <w:jc w:val="left"/>
        <w:tblInd w:w="465" w:type="dxa"/>
        <w:tblLayout w:type="fixed"/>
        <w:tblCellMar>
          <w:top w:w="28" w:type="dxa"/>
          <w:left w:w="28" w:type="dxa"/>
          <w:bottom w:w="28" w:type="dxa"/>
          <w:right w:w="28" w:type="dxa"/>
        </w:tblCellMar>
      </w:tblPr>
      <w:tblGrid>
        <w:gridCol w:w="1512"/>
        <w:gridCol w:w="7763"/>
      </w:tblGrid>
      <w:tr>
        <w:trPr/>
        <w:tc>
          <w:tcPr>
            <w:tcW w:w="1512" w:type="dxa"/>
            <w:tcBorders/>
            <w:vAlign w:val="center"/>
          </w:tcPr>
          <w:p>
            <w:pPr>
              <w:pStyle w:val="TableContents"/>
              <w:bidi w:val="0"/>
              <w:spacing w:before="0" w:after="283"/>
              <w:jc w:val="left"/>
              <w:rPr>
                <w:sz w:val="4"/>
                <w:szCs w:val="4"/>
              </w:rPr>
            </w:pPr>
            <w:r>
              <w:rPr>
                <w:sz w:val="4"/>
                <w:szCs w:val="4"/>
              </w:rPr>
            </w:r>
          </w:p>
        </w:tc>
        <w:tc>
          <w:tcPr>
            <w:tcW w:w="7763" w:type="dxa"/>
            <w:tcBorders/>
            <w:vAlign w:val="center"/>
          </w:tcPr>
          <w:p>
            <w:pPr>
              <w:pStyle w:val="TableContents"/>
              <w:bidi w:val="0"/>
              <w:spacing w:before="0" w:after="283"/>
              <w:jc w:val="left"/>
              <w:rPr>
                <w:sz w:val="4"/>
                <w:szCs w:val="4"/>
              </w:rPr>
            </w:pPr>
            <w:r>
              <w:rPr>
                <w:sz w:val="4"/>
                <w:szCs w:val="4"/>
              </w:rPr>
            </w:r>
          </w:p>
        </w:tc>
      </w:tr>
      <w:tr>
        <w:trPr/>
        <w:tc>
          <w:tcPr>
            <w:tcW w:w="1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Common stock offered by us</w:t>
            </w:r>
            <w:r>
              <w:rPr>
                <w:rFonts w:ascii="Times New Roman" w:hAnsi="Times New Roman"/>
                <w:color w:val="000000"/>
                <w:sz w:val="20"/>
              </w:rPr>
              <w:t xml:space="preserve"> </w:t>
            </w:r>
          </w:p>
        </w:tc>
        <w:tc>
          <w:tcPr>
            <w:tcW w:w="7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13,240,000 shares.</w:t>
            </w:r>
            <w:r>
              <w:rPr>
                <w:rFonts w:ascii="Times New Roman" w:hAnsi="Times New Roman"/>
                <w:color w:val="000000"/>
                <w:sz w:val="20"/>
              </w:rPr>
              <w:t xml:space="preserve"> </w:t>
            </w:r>
          </w:p>
        </w:tc>
      </w:tr>
      <w:tr>
        <w:trPr/>
        <w:tc>
          <w:tcPr>
            <w:tcW w:w="1512"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Option to purchase additional shares of common stock </w:t>
              <w:br/>
              <w:t>   offered in this offering</w:t>
            </w:r>
            <w:r>
              <w:rPr>
                <w:rFonts w:ascii="Times New Roman" w:hAnsi="Times New Roman"/>
                <w:color w:val="000000"/>
                <w:sz w:val="20"/>
              </w:rPr>
              <w:t xml:space="preserve"> </w:t>
            </w:r>
          </w:p>
        </w:tc>
        <w:tc>
          <w:tcPr>
            <w:tcW w:w="7763"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rial" w:hAnsi="Arial"/>
                <w:color w:val="000000"/>
                <w:sz w:val="20"/>
              </w:rPr>
              <w:t>We have granted the underwriters an option, exercisable for 30 days from the date of this prospectus, to purchase up to 1,986,000 additional shares from us.</w:t>
            </w:r>
            <w:r>
              <w:rPr>
                <w:rFonts w:ascii="Times New Roman" w:hAnsi="Times New Roman"/>
                <w:color w:val="000000"/>
                <w:sz w:val="20"/>
              </w:rPr>
              <w:t xml:space="preserve"> </w:t>
            </w:r>
          </w:p>
          <w:p>
            <w:pPr>
              <w:pStyle w:val="TableContents"/>
              <w:bidi w:val="0"/>
              <w:spacing w:before="0" w:after="283"/>
              <w:jc w:val="left"/>
              <w:rPr/>
            </w:pPr>
            <w:r>
              <w:rPr/>
              <w:t> </w:t>
            </w:r>
          </w:p>
        </w:tc>
      </w:tr>
      <w:tr>
        <w:trPr/>
        <w:tc>
          <w:tcPr>
            <w:tcW w:w="1512"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Concurrent private placement</w:t>
            </w:r>
          </w:p>
        </w:tc>
        <w:tc>
          <w:tcPr>
            <w:tcW w:w="7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TPG Orazio II, an affiliate of an existing stockholder, is expected to purchase 1,470,588 shares of our common stock in a concurrent private placement exempt from the registration requirements of the Securities Act at a per share price equal to the initial public offering price. The private placement would close concurrently with, and be contingent and conditioned upon consummation of, this offering, as well as certain other customary closing conditions. However, this offering is not contingent on the consummation of the concurrent private placement. Because we have not yet entered into a binding agreement with TPG Orazio II, we could determine to sell more, fewer or no shares to TPG Orazio II, and TPG Orazio II could determine to purchase more, fewer or no shares in the concurrent private placement.</w:t>
            </w:r>
            <w:r>
              <w:rPr>
                <w:rFonts w:ascii="Times New Roman" w:hAnsi="Times New Roman"/>
                <w:color w:val="000000"/>
                <w:sz w:val="20"/>
              </w:rPr>
              <w:t xml:space="preserve"> </w:t>
            </w:r>
          </w:p>
        </w:tc>
      </w:tr>
      <w:tr>
        <w:trPr/>
        <w:tc>
          <w:tcPr>
            <w:tcW w:w="1512"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Common stock to be outstanding immediately after this</w:t>
              <w:br/>
              <w:t>   offering and the concurrent private placement</w:t>
            </w:r>
          </w:p>
        </w:tc>
        <w:tc>
          <w:tcPr>
            <w:tcW w:w="7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44,994,769 shares (or 46,980,769 shares if the underwriters exercise their option to purchase additional shares in full).</w:t>
            </w:r>
            <w:r>
              <w:rPr>
                <w:rFonts w:ascii="Times New Roman" w:hAnsi="Times New Roman"/>
                <w:color w:val="000000"/>
                <w:sz w:val="20"/>
              </w:rPr>
              <w:t xml:space="preserve"> </w:t>
            </w:r>
          </w:p>
        </w:tc>
      </w:tr>
      <w:tr>
        <w:trPr/>
        <w:tc>
          <w:tcPr>
            <w:tcW w:w="1512"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Use of proceeds</w:t>
            </w:r>
            <w:r>
              <w:rPr>
                <w:rFonts w:ascii="Times New Roman" w:hAnsi="Times New Roman"/>
                <w:color w:val="000000"/>
                <w:sz w:val="20"/>
              </w:rPr>
              <w:t xml:space="preserve"> </w:t>
            </w:r>
          </w:p>
        </w:tc>
        <w:tc>
          <w:tcPr>
            <w:tcW w:w="7763"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rial" w:hAnsi="Arial"/>
                <w:color w:val="000000"/>
                <w:sz w:val="20"/>
              </w:rPr>
              <w:t>We estimate that the net proceeds to us from the sale of shares of our common stock in this offering will be approximately $205.2 million (or approximately $236.6 million if the underwriters’ option to purchase additional shares is exercised in full) based upon the assumed initial public offering price of $17.00 per share, which is the midpoint of the price range set forth on the cover page of this prospectus, after deducting underwriting discounts and commissions and estimated offering expenses payable by us. In addition, we expect to receive an additional $23.3 million in net proceeds</w:t>
            </w:r>
            <w:r>
              <w:rPr>
                <w:rFonts w:ascii="Times New Roman" w:hAnsi="Times New Roman"/>
                <w:color w:val="000000"/>
                <w:sz w:val="20"/>
              </w:rPr>
              <w:t xml:space="preserve"> </w:t>
            </w:r>
            <w:r>
              <w:rPr>
                <w:rFonts w:ascii="Arial" w:hAnsi="Arial"/>
                <w:color w:val="000000"/>
                <w:sz w:val="20"/>
              </w:rPr>
              <w:t>from the sale of shares of our common stock in the concurrent private placement, after deducting placement agent fees and estimated private placement expenses payable by us.</w:t>
            </w:r>
          </w:p>
          <w:p>
            <w:pPr>
              <w:pStyle w:val="TableContents"/>
              <w:bidi w:val="0"/>
              <w:spacing w:before="0" w:after="283"/>
              <w:jc w:val="left"/>
              <w:rPr/>
            </w:pPr>
            <w:r>
              <w:rPr/>
              <w:t> </w:t>
            </w:r>
          </w:p>
        </w:tc>
      </w:tr>
      <w:tr>
        <w:trPr/>
        <w:tc>
          <w:tcPr>
            <w:tcW w:w="1512"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12"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rial" w:hAnsi="Arial"/>
                <w:color w:val="000000"/>
                <w:sz w:val="20"/>
              </w:rPr>
              <w:t>We intend to use the aggregate net proceeds to us from this offering and the concurrent private placement to (i) advance the clinical development of OD-001, our most advanced product candidate, through 12-week induction readouts from our planned phase 2a combination trial and phase 2b monotherapy trial in ulcerative colitis, (ii) advance our SLC15A4 program through IND-enabling activities and our planned phase 1/2a clinical trial and (iii) fund additional discovery, preclinical and clinical activities for disclosed or future programs, enabling capabilities and for general corporate purposes, working capital and other capital expenditures. See the section of this prospectus titled “</w:t>
            </w:r>
            <w:r>
              <w:rPr>
                <w:rFonts w:ascii="Arial" w:hAnsi="Arial"/>
                <w:i/>
                <w:color w:val="000000"/>
                <w:sz w:val="20"/>
              </w:rPr>
              <w:t>Use of Proceeds</w:t>
            </w:r>
            <w:r>
              <w:rPr>
                <w:rFonts w:ascii="Times New Roman" w:hAnsi="Times New Roman"/>
                <w:color w:val="000000"/>
                <w:sz w:val="20"/>
              </w:rPr>
              <w:t xml:space="preserve">” </w:t>
            </w:r>
            <w:r>
              <w:rPr>
                <w:rFonts w:ascii="Arial" w:hAnsi="Arial"/>
                <w:color w:val="000000"/>
                <w:sz w:val="20"/>
              </w:rPr>
              <w:t>for a more complete description of the intended use of proceeds from this offering and the concurrent private placement.</w:t>
            </w:r>
            <w:r>
              <w:rPr>
                <w:rFonts w:ascii="Times New Roman" w:hAnsi="Times New Roman"/>
                <w:color w:val="000000"/>
                <w:sz w:val="20"/>
              </w:rPr>
              <w:t xml:space="preserve"> </w:t>
            </w:r>
          </w:p>
          <w:p>
            <w:pPr>
              <w:pStyle w:val="TableContents"/>
              <w:bidi w:val="0"/>
              <w:spacing w:before="0" w:after="283"/>
              <w:jc w:val="left"/>
              <w:rPr/>
            </w:pPr>
            <w:r>
              <w:rPr/>
              <w:t> </w:t>
            </w:r>
          </w:p>
        </w:tc>
      </w:tr>
    </w:tbl>
    <w:p>
      <w:pPr>
        <w:pStyle w:val="TextBody"/>
        <w:bidi w:val="0"/>
        <w:spacing w:before="120" w:after="0"/>
        <w:ind w:left="465" w:right="465" w:hanging="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left"/>
        <w:rPr/>
      </w:pPr>
      <w:r>
        <w:rPr/>
        <w:t> </w:t>
      </w:r>
    </w:p>
    <w:tbl>
      <w:tblPr>
        <w:tblW w:w="9275" w:type="dxa"/>
        <w:jc w:val="left"/>
        <w:tblInd w:w="465" w:type="dxa"/>
        <w:tblLayout w:type="fixed"/>
        <w:tblCellMar>
          <w:top w:w="28" w:type="dxa"/>
          <w:left w:w="28" w:type="dxa"/>
          <w:bottom w:w="28" w:type="dxa"/>
          <w:right w:w="28" w:type="dxa"/>
        </w:tblCellMar>
      </w:tblPr>
      <w:tblGrid>
        <w:gridCol w:w="1566"/>
        <w:gridCol w:w="7709"/>
      </w:tblGrid>
      <w:tr>
        <w:trPr/>
        <w:tc>
          <w:tcPr>
            <w:tcW w:w="1566" w:type="dxa"/>
            <w:tcBorders/>
            <w:vAlign w:val="center"/>
          </w:tcPr>
          <w:p>
            <w:pPr>
              <w:pStyle w:val="TableContents"/>
              <w:bidi w:val="0"/>
              <w:spacing w:before="0" w:after="283"/>
              <w:jc w:val="left"/>
              <w:rPr>
                <w:sz w:val="4"/>
                <w:szCs w:val="4"/>
              </w:rPr>
            </w:pPr>
            <w:r>
              <w:rPr>
                <w:sz w:val="4"/>
                <w:szCs w:val="4"/>
              </w:rPr>
            </w:r>
          </w:p>
        </w:tc>
        <w:tc>
          <w:tcPr>
            <w:tcW w:w="7709" w:type="dxa"/>
            <w:tcBorders/>
            <w:vAlign w:val="center"/>
          </w:tcPr>
          <w:p>
            <w:pPr>
              <w:pStyle w:val="TableContents"/>
              <w:bidi w:val="0"/>
              <w:spacing w:before="0" w:after="283"/>
              <w:jc w:val="left"/>
              <w:rPr>
                <w:sz w:val="4"/>
                <w:szCs w:val="4"/>
              </w:rPr>
            </w:pPr>
            <w:r>
              <w:rPr>
                <w:sz w:val="4"/>
                <w:szCs w:val="4"/>
              </w:rPr>
            </w:r>
          </w:p>
        </w:tc>
      </w:tr>
      <w:tr>
        <w:trPr/>
        <w:tc>
          <w:tcPr>
            <w:tcW w:w="156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Risk factors</w:t>
            </w:r>
            <w:r>
              <w:rPr>
                <w:rFonts w:ascii="Times New Roman" w:hAnsi="Times New Roman"/>
                <w:color w:val="000000"/>
                <w:sz w:val="20"/>
              </w:rPr>
              <w:t xml:space="preserve"> </w:t>
            </w:r>
          </w:p>
        </w:tc>
        <w:tc>
          <w:tcPr>
            <w:tcW w:w="7709"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rial" w:hAnsi="Arial"/>
                <w:color w:val="000000"/>
                <w:sz w:val="20"/>
              </w:rPr>
              <w:t>You should read the section of this prospectus titled “</w:t>
            </w:r>
            <w:r>
              <w:rPr>
                <w:rFonts w:ascii="Arial" w:hAnsi="Arial"/>
                <w:i/>
                <w:color w:val="000000"/>
                <w:sz w:val="20"/>
              </w:rPr>
              <w:t>Risk Factors</w:t>
            </w:r>
            <w:r>
              <w:rPr>
                <w:rFonts w:ascii="Times New Roman" w:hAnsi="Times New Roman"/>
                <w:color w:val="000000"/>
                <w:sz w:val="20"/>
              </w:rPr>
              <w:t xml:space="preserve">” </w:t>
            </w:r>
            <w:r>
              <w:rPr>
                <w:rFonts w:ascii="Arial" w:hAnsi="Arial"/>
                <w:color w:val="000000"/>
                <w:sz w:val="20"/>
              </w:rPr>
              <w:t>and the other information included elsewhere in this prospectus for a discussion of some of the risks and uncertainties you should carefully consider before deciding to invest in our common stock.</w:t>
            </w:r>
            <w:r>
              <w:rPr>
                <w:rFonts w:ascii="Times New Roman" w:hAnsi="Times New Roman"/>
                <w:color w:val="000000"/>
                <w:sz w:val="20"/>
              </w:rPr>
              <w:t xml:space="preserve"> </w:t>
            </w:r>
          </w:p>
          <w:p>
            <w:pPr>
              <w:pStyle w:val="TableContents"/>
              <w:bidi w:val="0"/>
              <w:spacing w:before="0" w:after="283"/>
              <w:jc w:val="left"/>
              <w:rPr/>
            </w:pPr>
            <w:r>
              <w:rPr/>
              <w:t> </w:t>
            </w:r>
          </w:p>
        </w:tc>
      </w:tr>
      <w:tr>
        <w:trPr/>
        <w:tc>
          <w:tcPr>
            <w:tcW w:w="156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Dividend policy</w:t>
            </w:r>
            <w:r>
              <w:rPr>
                <w:rFonts w:ascii="Times New Roman" w:hAnsi="Times New Roman"/>
                <w:color w:val="000000"/>
                <w:sz w:val="20"/>
              </w:rPr>
              <w:t xml:space="preserve"> </w:t>
            </w:r>
          </w:p>
        </w:tc>
        <w:tc>
          <w:tcPr>
            <w:tcW w:w="7709"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rial" w:hAnsi="Arial"/>
                <w:color w:val="000000"/>
                <w:sz w:val="20"/>
              </w:rPr>
              <w:t>We do not anticipate paying cash dividends.</w:t>
            </w:r>
            <w:r>
              <w:rPr>
                <w:rFonts w:ascii="Times New Roman" w:hAnsi="Times New Roman"/>
                <w:color w:val="000000"/>
                <w:sz w:val="20"/>
              </w:rPr>
              <w:t xml:space="preserve"> </w:t>
            </w:r>
          </w:p>
          <w:p>
            <w:pPr>
              <w:pStyle w:val="TableContents"/>
              <w:bidi w:val="0"/>
              <w:spacing w:before="0" w:after="283"/>
              <w:jc w:val="left"/>
              <w:rPr/>
            </w:pPr>
            <w:r>
              <w:rPr/>
              <w:t> </w:t>
            </w:r>
          </w:p>
        </w:tc>
      </w:tr>
      <w:tr>
        <w:trPr/>
        <w:tc>
          <w:tcPr>
            <w:tcW w:w="156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Proposed Nasdaq trading symbol</w:t>
            </w:r>
            <w:r>
              <w:rPr>
                <w:rFonts w:ascii="Times New Roman" w:hAnsi="Times New Roman"/>
                <w:color w:val="000000"/>
                <w:sz w:val="20"/>
              </w:rPr>
              <w:t xml:space="preserve"> </w:t>
            </w:r>
          </w:p>
        </w:tc>
        <w:tc>
          <w:tcPr>
            <w:tcW w:w="7709" w:type="dxa"/>
            <w:tcBorders/>
            <w:tcMar>
              <w:top w:w="0" w:type="dxa"/>
              <w:left w:w="0" w:type="dxa"/>
              <w:bottom w:w="0" w:type="dxa"/>
              <w:right w:w="0" w:type="dxa"/>
            </w:tcMar>
            <w:vAlign w:val="center"/>
          </w:tcPr>
          <w:p>
            <w:pPr>
              <w:pStyle w:val="TableContents"/>
              <w:bidi w:val="0"/>
              <w:jc w:val="left"/>
              <w:rPr/>
            </w:pPr>
            <w:r>
              <w:rPr>
                <w:color w:val="000000"/>
              </w:rPr>
              <w:t>“</w:t>
            </w:r>
            <w:r>
              <w:rPr>
                <w:rFonts w:ascii="Arial" w:hAnsi="Arial"/>
                <w:color w:val="000000"/>
                <w:sz w:val="20"/>
              </w:rPr>
              <w:t>ODTX”</w:t>
            </w:r>
            <w:r>
              <w:rPr>
                <w:rFonts w:ascii="Times New Roman" w:hAnsi="Times New Roman"/>
                <w:color w:val="000000"/>
                <w:sz w:val="20"/>
              </w:rPr>
              <w:t xml:space="preserve"> </w:t>
            </w:r>
          </w:p>
          <w:p>
            <w:pPr>
              <w:pStyle w:val="TableContents"/>
              <w:bidi w:val="0"/>
              <w:spacing w:before="0" w:after="283"/>
              <w:jc w:val="left"/>
              <w:rPr/>
            </w:pPr>
            <w:r>
              <w:rPr/>
              <w:t> </w:t>
            </w:r>
          </w:p>
        </w:tc>
      </w:tr>
    </w:tbl>
    <w:p>
      <w:pPr>
        <w:pStyle w:val="TextBody"/>
        <w:bidi w:val="0"/>
        <w:spacing w:before="480" w:after="480"/>
        <w:ind w:left="465" w:right="465" w:hanging="0"/>
        <w:jc w:val="center"/>
        <w:rPr/>
      </w:pPr>
      <w:r>
        <w:rPr/>
        <w:t>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The number of shares of our common stock to be outstanding after this offering and the concurrent private placement is based on 30,284,181 shares of our common stock outstanding as of December 31, 2025, including 166,550 shares of unvested restricted common stock, after giving effect to (i) the conversion of all outstanding shares of our convertible preferred stock into an aggregate of 24,596,000 shares of common stock immediately prior to the closing of this offering, (ii) the automatic exercise of outstanding warrants issued in connection with our Series D Preferred Stock Financing, or the Common Stock Warrants, on a net exercise basis, into an aggregate of 3,288,305 shares of our common stock immediately prior to the closing of this offering and (iii) the automatic conversion of all outstanding shares of our non-voting common stock into an aggregate of 8,359 shares of our common stock upon the closing of this offering, and excludes:</w:t>
      </w:r>
      <w:r>
        <w:rPr>
          <w:rFonts w:ascii="Times New Roman" w:hAnsi="Times New Roman"/>
          <w:color w:val="000000"/>
          <w:sz w:val="20"/>
        </w:rPr>
        <w:t xml:space="preserve">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4,631,713 shares of our common stock issuable upon the exercise of stock options outstanding as of December 31, 2025 under our 2021 Equity Incentive Plan, as amended to date, or the 2021 Plan, at a weighted average exercise price of $4.94 per share;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953,136 shares of our common stock reserved for future issuance under the 2021 Plan as of December 31, 2025 (which number includes 162,162 shares of our common stock issuable upon the exercise of stock options subsequently granted prior to the date of this prospectus), which shares will cease to be available for issuance at the time our 2026 Long-Term Incentive Plan, or the 2026 Plan, becomes effective;</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pPr>
      <w:r>
        <w:rPr>
          <w:rFonts w:ascii="Arial" w:hAnsi="Arial"/>
          <w:color w:val="000000"/>
          <w:sz w:val="20"/>
        </w:rPr>
        <w:t>6,232,376 shares of our common stock reserved for future issuance under the 2026 Plan, which will become effective on the date immediately preceding the date on which our common stock is listed (or approved for listing) on Nasdaq (which number includes options to purchase an aggregate of 3,433,534 shares of our common stock to be granted under the 2026 Plan to certain of our employees and directors upon the pricing of this offering, with an exercise price equal to the initial public offering price per share), as well as any automatic increases in the number of shares of our common stock reserved for future issuance under the 2026 Plan and any shares underlying outstanding stock awards granted under the 2021 Plan that expire or are repurchased, forfeited, cancelled or withheld, as more fully described in the section of this prospectus titled “</w:t>
      </w:r>
      <w:r>
        <w:rPr>
          <w:rFonts w:ascii="Arial" w:hAnsi="Arial"/>
          <w:i/>
          <w:color w:val="000000"/>
          <w:sz w:val="20"/>
        </w:rPr>
        <w:t>Executive Compensation—Equity Benefit Plans</w:t>
      </w:r>
      <w:r>
        <w:rPr>
          <w:color w:val="000000"/>
        </w:rPr>
        <w:t>”</w:t>
      </w:r>
      <w:r>
        <w:rPr>
          <w:rFonts w:ascii="Arial" w:hAnsi="Arial"/>
          <w:color w:val="000000"/>
          <w:sz w:val="20"/>
        </w:rPr>
        <w:t xml:space="preserve">;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pPr>
      <w:r>
        <w:rPr>
          <w:rFonts w:ascii="Arial" w:hAnsi="Arial"/>
          <w:color w:val="000000"/>
          <w:sz w:val="20"/>
        </w:rPr>
        <w:t>516,400 shares of common stock reserved for future issuance under our 2026 Employee Stock Purchase Plan, or the ESPP, which will become effective on the date immediately preceding the date on which our common stock is listed (or approved for listing) on Nasdaq, as well as any automatic increases in the number of shares of common stock reserved for future issuance under the ESPP, as more fully described in the section of this prospectus titled “</w:t>
      </w:r>
      <w:r>
        <w:rPr>
          <w:rFonts w:ascii="Arial" w:hAnsi="Arial"/>
          <w:i/>
          <w:color w:val="000000"/>
          <w:sz w:val="20"/>
        </w:rPr>
        <w:t>Executive Compensation—Equity Benefit Plans</w:t>
      </w:r>
      <w:r>
        <w:rPr>
          <w:color w:val="000000"/>
        </w:rPr>
        <w:t>”</w:t>
      </w:r>
      <w:r>
        <w:rPr>
          <w:rFonts w:ascii="Arial" w:hAnsi="Arial"/>
          <w:color w:val="000000"/>
          <w:sz w:val="20"/>
        </w:rPr>
        <w:t xml:space="preserve">; and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1,742 shares of our common stock issuable upon the exercise of an outstanding warrant to purchase Series A-2 convertible preferred stock held by Banc of California (formerly Pacific Western Bank), or the BOC Warrant, as of December 31, 2025, at an exercise price of $59.80 per share (after giving effect to the conversion of our convertible preferred stock into common stock).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Unless otherwise indicated, this prospectus assumes or gives effect to the following:</w:t>
      </w:r>
      <w:r>
        <w:rPr>
          <w:rFonts w:ascii="Times New Roman" w:hAnsi="Times New Roman"/>
          <w:color w:val="000000"/>
          <w:sz w:val="20"/>
        </w:rPr>
        <w:t xml:space="preserve">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filing and effectiveness of our ninth amended and restated certificate of incorporation, or our Certificate of Incorporation, to be effective immediately prior to the closing of this offering, and the adoption of our amended and restated bylaws, or our Bylaws, to be effective immediately prior to the closing of this offering;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issuance of 1,470,588 shares of our common stock in the concurrent private placement (assuming an initial public offering price of $17.00, the midpoint of the price range set forth on the cover page of this prospectus), which is to be completed concurrently with, and be contingent and conditioned upon consummation of, the closing of this offering;</w:t>
      </w:r>
    </w:p>
    <w:p>
      <w:pPr>
        <w:pStyle w:val="TextBody"/>
        <w:bidi w:val="0"/>
        <w:spacing w:before="120" w:after="0"/>
        <w:ind w:left="465" w:right="465" w:hanging="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left"/>
        <w:rPr/>
      </w:pPr>
      <w:r>
        <w:rPr/>
        <w:t>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conversion of all outstanding shares of our convertible preferred stock into an aggregate of 24,596,000 shares of our common stock immediately prior to the closing of this offering;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automatic exercise of the Common Stock Warrants, on a net exercise basis, into an aggregate of 3,288,305 shares of our common stock immediately prior to the closing of this offering;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automatic conversion of all outstanding shares of our non-voting common stock into an aggregate of 8,359 shares of our common stock upon the closing of this offering;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no exercise of the outstanding options or other securities described above after December 31, 2025;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1-for-9.7170 reverse stock split of our voting common stock effected on May 1, 2026 and the resulting adjustments to the respective conversion ratios for our non-voting common stock, convertible preferred stock and outstanding warrants;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 assumed initial public offering price of $17.00 per share, which is the midpoint of the price range set forth on the cover page of this prospectus; and </w:t>
      </w:r>
    </w:p>
    <w:p>
      <w:pPr>
        <w:pStyle w:val="TextBody"/>
        <w:bidi w:val="0"/>
        <w:spacing w:before="120" w:after="283"/>
        <w:ind w:left="1084" w:right="465"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no exercise by the underwriters of their option to purchase up to 1,986,000 additional shares of our common stock in this offering. </w:t>
      </w:r>
    </w:p>
    <w:p>
      <w:pPr>
        <w:pStyle w:val="TextBody"/>
        <w:bidi w:val="0"/>
        <w:spacing w:before="120" w:after="0"/>
        <w:ind w:left="465" w:right="465" w:hanging="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left"/>
        <w:rPr/>
      </w:pPr>
      <w:r>
        <w:rPr/>
        <w:t> </w:t>
      </w:r>
    </w:p>
    <w:p>
      <w:pPr>
        <w:pStyle w:val="TextBody"/>
        <w:bidi w:val="0"/>
        <w:spacing w:before="480" w:after="480"/>
        <w:ind w:left="465" w:right="465" w:hanging="0"/>
        <w:jc w:val="center"/>
        <w:rPr>
          <w:rFonts w:ascii="Times New Roman" w:hAnsi="Times New Roman"/>
          <w:sz w:val="20"/>
        </w:rPr>
      </w:pPr>
      <w:r>
        <w:rPr>
          <w:rFonts w:ascii="Arial" w:hAnsi="Arial"/>
          <w:b/>
          <w:color w:val="000000"/>
          <w:sz w:val="20"/>
        </w:rPr>
        <w:t>SUMMARY CONSOLIDATED FINANCIAL DATA</w:t>
      </w:r>
      <w:r>
        <w:rPr>
          <w:rFonts w:ascii="Times New Roman" w:hAnsi="Times New Roman"/>
          <w:color w:val="000000"/>
          <w:sz w:val="20"/>
        </w:rPr>
        <w:t xml:space="preserve"> </w:t>
      </w:r>
    </w:p>
    <w:p>
      <w:pPr>
        <w:pStyle w:val="TextBody"/>
        <w:bidi w:val="0"/>
        <w:spacing w:before="120" w:after="283"/>
        <w:ind w:left="465" w:right="465" w:firstLine="619"/>
        <w:jc w:val="left"/>
        <w:rPr>
          <w:rFonts w:ascii="Times New Roman" w:hAnsi="Times New Roman"/>
          <w:sz w:val="20"/>
        </w:rPr>
      </w:pPr>
      <w:r>
        <w:rPr>
          <w:rFonts w:ascii="Arial" w:hAnsi="Arial"/>
          <w:color w:val="000000"/>
          <w:sz w:val="20"/>
        </w:rPr>
        <w:t>The following tables set forth our summary historical consolidated financial data as of and for the periods ended on the dates indicated. We have derived the summary consolidated statements of operations and comprehensive loss data for the years ended December 31, 2025 and December 31, 2024 from our audited consolidated financial statements appearing elsewhere in this prospectus. You should read these data together with our financial statements and related notes included elsewhere in this prospectus and the section of the prospectus titled “</w:t>
      </w:r>
      <w:r>
        <w:rPr>
          <w:rFonts w:ascii="Arial" w:hAnsi="Arial"/>
          <w:i/>
          <w:color w:val="000000"/>
          <w:sz w:val="20"/>
        </w:rPr>
        <w:t>Management’s Discussion and Analysis of Financial Condition and Results of Operations</w:t>
      </w:r>
      <w:r>
        <w:rPr>
          <w:rFonts w:ascii="Arial" w:hAnsi="Arial"/>
          <w:color w:val="000000"/>
          <w:sz w:val="20"/>
        </w:rPr>
        <w:t>.” The summary consolidated financial data included in this section are not intended to replace the consolidated financial statements and are qualified in their entirety by our consolidated financial statements and the related notes included elsewhere in this prospectus. Our historical results for any prior period are not necessarily indicative of our future results.</w:t>
      </w:r>
      <w:r>
        <w:rPr>
          <w:rFonts w:ascii="Times New Roman" w:hAnsi="Times New Roman"/>
          <w:color w:val="000000"/>
          <w:sz w:val="20"/>
        </w:rPr>
        <w:t xml:space="preserve"> </w:t>
      </w:r>
    </w:p>
    <w:p>
      <w:pPr>
        <w:pStyle w:val="TextBody"/>
        <w:bidi w:val="0"/>
        <w:spacing w:before="480" w:after="480"/>
        <w:ind w:left="465" w:right="465" w:hanging="0"/>
        <w:jc w:val="left"/>
        <w:rPr/>
      </w:pPr>
      <w:r>
        <w:rPr/>
        <w:t> </w:t>
      </w:r>
    </w:p>
    <w:tbl>
      <w:tblPr>
        <w:tblW w:w="9275" w:type="dxa"/>
        <w:jc w:val="left"/>
        <w:tblInd w:w="465" w:type="dxa"/>
        <w:tblLayout w:type="fixed"/>
        <w:tblCellMar>
          <w:top w:w="28" w:type="dxa"/>
          <w:left w:w="28" w:type="dxa"/>
          <w:bottom w:w="28" w:type="dxa"/>
          <w:right w:w="28" w:type="dxa"/>
        </w:tblCellMar>
      </w:tblPr>
      <w:tblGrid>
        <w:gridCol w:w="5748"/>
        <w:gridCol w:w="146"/>
        <w:gridCol w:w="211"/>
        <w:gridCol w:w="1066"/>
        <w:gridCol w:w="146"/>
        <w:gridCol w:w="146"/>
        <w:gridCol w:w="211"/>
        <w:gridCol w:w="891"/>
        <w:gridCol w:w="710"/>
      </w:tblGrid>
      <w:tr>
        <w:trPr/>
        <w:tc>
          <w:tcPr>
            <w:tcW w:w="574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1" w:type="dxa"/>
            <w:tcBorders/>
            <w:shd w:fill="FFFFFF" w:val="clear"/>
            <w:vAlign w:val="center"/>
          </w:tcPr>
          <w:p>
            <w:pPr>
              <w:pStyle w:val="TableContents"/>
              <w:bidi w:val="0"/>
              <w:spacing w:before="0" w:after="283"/>
              <w:jc w:val="left"/>
              <w:rPr>
                <w:sz w:val="4"/>
                <w:szCs w:val="4"/>
              </w:rPr>
            </w:pPr>
            <w:r>
              <w:rPr>
                <w:sz w:val="4"/>
                <w:szCs w:val="4"/>
              </w:rPr>
            </w:r>
          </w:p>
        </w:tc>
        <w:tc>
          <w:tcPr>
            <w:tcW w:w="710" w:type="dxa"/>
            <w:tcBorders/>
            <w:shd w:fill="FFFFFF" w:val="clear"/>
            <w:vAlign w:val="center"/>
          </w:tcPr>
          <w:p>
            <w:pPr>
              <w:pStyle w:val="TableContents"/>
              <w:bidi w:val="0"/>
              <w:spacing w:before="0" w:after="283"/>
              <w:jc w:val="left"/>
              <w:rPr>
                <w:sz w:val="4"/>
                <w:szCs w:val="4"/>
              </w:rPr>
            </w:pPr>
            <w:r>
              <w:rPr>
                <w:sz w:val="4"/>
                <w:szCs w:val="4"/>
              </w:rPr>
            </w:r>
          </w:p>
        </w:tc>
      </w:tr>
      <w:tr>
        <w:trPr/>
        <w:tc>
          <w:tcPr>
            <w:tcW w:w="5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gridSpan w:val="6"/>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Arial" w:hAnsi="Arial"/>
                <w:b/>
                <w:color w:val="000000"/>
                <w:sz w:val="20"/>
              </w:rPr>
              <w:t>Year Ended</w:t>
            </w:r>
            <w:r>
              <w:rPr>
                <w:rFonts w:ascii="Times New Roman" w:hAnsi="Times New Roman"/>
                <w:color w:val="000000"/>
                <w:sz w:val="20"/>
              </w:rPr>
              <w:t xml:space="preserve"> </w:t>
            </w:r>
          </w:p>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71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74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 thousands, except share and per share data)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2025</w:t>
            </w:r>
            <w:r>
              <w:rPr>
                <w:rFonts w:ascii="Times New Roman" w:hAnsi="Times New Roman"/>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0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71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7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Consolidated Statements of Operations and Comprehensive Loss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Collaboration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4,472</w:t>
            </w:r>
          </w:p>
        </w:tc>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ind w:left="0" w:right="0" w:firstLine="259"/>
              <w:jc w:val="left"/>
              <w:rPr/>
            </w:pPr>
            <w:r>
              <w:rPr/>
              <w:t> </w:t>
            </w:r>
          </w:p>
        </w:tc>
      </w:tr>
      <w:tr>
        <w:trPr/>
        <w:tc>
          <w:tcPr>
            <w:tcW w:w="5748" w:type="dxa"/>
            <w:tcBorders/>
            <w:tcMar>
              <w:top w:w="0" w:type="dxa"/>
              <w:left w:w="0" w:type="dxa"/>
              <w:bottom w:w="0" w:type="dxa"/>
              <w:right w:w="0" w:type="dxa"/>
            </w:tcMar>
            <w:vAlign w:val="center"/>
          </w:tcPr>
          <w:p>
            <w:pPr>
              <w:pStyle w:val="TableContents"/>
              <w:bidi w:val="0"/>
              <w:spacing w:before="0" w:after="283"/>
              <w:ind w:left="259" w:right="0" w:firstLine="259"/>
              <w:jc w:val="left"/>
              <w:rPr>
                <w:rFonts w:ascii="Arial" w:hAnsi="Arial"/>
                <w:color w:val="000000"/>
                <w:sz w:val="20"/>
              </w:rPr>
            </w:pPr>
            <w:r>
              <w:rPr>
                <w:rFonts w:ascii="Arial" w:hAnsi="Arial"/>
                <w:color w:val="000000"/>
                <w:sz w:val="20"/>
              </w:rPr>
              <w:t>Research and development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126,616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112,579</w:t>
            </w:r>
          </w:p>
        </w:tc>
        <w:tc>
          <w:tcPr>
            <w:tcW w:w="710" w:type="dxa"/>
            <w:tcBorders/>
            <w:tcMar>
              <w:top w:w="0" w:type="dxa"/>
              <w:left w:w="0" w:type="dxa"/>
              <w:bottom w:w="0" w:type="dxa"/>
              <w:right w:w="0" w:type="dxa"/>
            </w:tcMar>
            <w:vAlign w:val="center"/>
          </w:tcPr>
          <w:p>
            <w:pPr>
              <w:pStyle w:val="TableContents"/>
              <w:bidi w:val="0"/>
              <w:spacing w:before="0" w:after="283"/>
              <w:ind w:left="0" w:right="0" w:firstLine="259"/>
              <w:jc w:val="left"/>
              <w:rPr/>
            </w:pPr>
            <w:r>
              <w:rPr/>
              <w:t> </w:t>
            </w:r>
          </w:p>
        </w:tc>
      </w:tr>
      <w:tr>
        <w:trPr/>
        <w:tc>
          <w:tcPr>
            <w:tcW w:w="5748" w:type="dxa"/>
            <w:tcBorders/>
            <w:shd w:fill="CFF0FC" w:val="clear"/>
            <w:tcMar>
              <w:top w:w="0" w:type="dxa"/>
              <w:left w:w="0" w:type="dxa"/>
              <w:bottom w:w="0" w:type="dxa"/>
              <w:right w:w="0" w:type="dxa"/>
            </w:tcMar>
            <w:vAlign w:val="center"/>
          </w:tcPr>
          <w:p>
            <w:pPr>
              <w:pStyle w:val="TableContents"/>
              <w:bidi w:val="0"/>
              <w:spacing w:before="0" w:after="283"/>
              <w:ind w:left="259" w:right="0" w:firstLine="259"/>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27,116</w:t>
            </w:r>
          </w:p>
        </w:tc>
        <w:tc>
          <w:tcPr>
            <w:tcW w:w="710" w:type="dxa"/>
            <w:tcBorders/>
            <w:shd w:fill="CFF0FC" w:val="clear"/>
            <w:tcMar>
              <w:top w:w="0" w:type="dxa"/>
              <w:left w:w="0" w:type="dxa"/>
              <w:bottom w:w="0" w:type="dxa"/>
              <w:right w:w="0" w:type="dxa"/>
            </w:tcMar>
            <w:vAlign w:val="center"/>
          </w:tcPr>
          <w:p>
            <w:pPr>
              <w:pStyle w:val="TableContents"/>
              <w:bidi w:val="0"/>
              <w:spacing w:before="0" w:after="283"/>
              <w:ind w:left="0" w:right="0" w:firstLine="259"/>
              <w:jc w:val="left"/>
              <w:rPr/>
            </w:pPr>
            <w:r>
              <w:rPr/>
              <w:t> </w:t>
            </w:r>
          </w:p>
        </w:tc>
      </w:tr>
      <w:tr>
        <w:trPr/>
        <w:tc>
          <w:tcPr>
            <w:tcW w:w="5748" w:type="dxa"/>
            <w:tcBorders/>
            <w:tcMar>
              <w:top w:w="0" w:type="dxa"/>
              <w:left w:w="0" w:type="dxa"/>
              <w:bottom w:w="0" w:type="dxa"/>
              <w:right w:w="0" w:type="dxa"/>
            </w:tcMar>
            <w:vAlign w:val="center"/>
          </w:tcPr>
          <w:p>
            <w:pPr>
              <w:pStyle w:val="TableContents"/>
              <w:bidi w:val="0"/>
              <w:spacing w:before="0" w:after="283"/>
              <w:ind w:left="259" w:right="0" w:firstLine="259"/>
              <w:jc w:val="left"/>
              <w:rPr>
                <w:rFonts w:ascii="Arial" w:hAnsi="Arial"/>
                <w:color w:val="000000"/>
                <w:sz w:val="20"/>
              </w:rPr>
            </w:pPr>
            <w:r>
              <w:rPr>
                <w:rFonts w:ascii="Arial" w:hAnsi="Arial"/>
                <w:color w:val="000000"/>
                <w:sz w:val="20"/>
              </w:rPr>
              <w:t>Change in fair value of contingent consideration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1,798</w:t>
            </w:r>
          </w:p>
        </w:tc>
        <w:tc>
          <w:tcPr>
            <w:tcW w:w="710" w:type="dxa"/>
            <w:tcBorders>
              <w:bottom w:val="single" w:sz="4" w:space="0" w:color="000000"/>
            </w:tcBorders>
            <w:tcMar>
              <w:top w:w="0" w:type="dxa"/>
              <w:left w:w="0" w:type="dxa"/>
              <w:right w:w="0" w:type="dxa"/>
            </w:tcMar>
            <w:vAlign w:val="center"/>
          </w:tcPr>
          <w:p>
            <w:pPr>
              <w:pStyle w:val="TableContents"/>
              <w:bidi w:val="0"/>
              <w:spacing w:before="0" w:after="283"/>
              <w:ind w:left="0" w:right="0" w:firstLine="518"/>
              <w:jc w:val="left"/>
              <w:rPr/>
            </w:pPr>
            <w:r>
              <w:rPr/>
              <w:t> </w:t>
            </w:r>
          </w:p>
        </w:tc>
      </w:tr>
      <w:tr>
        <w:trPr/>
        <w:tc>
          <w:tcPr>
            <w:tcW w:w="5748" w:type="dxa"/>
            <w:tcBorders/>
            <w:shd w:fill="CFF0FC" w:val="clear"/>
            <w:tcMar>
              <w:top w:w="0" w:type="dxa"/>
              <w:left w:w="0" w:type="dxa"/>
              <w:bottom w:w="0" w:type="dxa"/>
              <w:right w:w="0" w:type="dxa"/>
            </w:tcMar>
            <w:vAlign w:val="center"/>
          </w:tcPr>
          <w:p>
            <w:pPr>
              <w:pStyle w:val="TableContents"/>
              <w:bidi w:val="0"/>
              <w:spacing w:before="0" w:after="283"/>
              <w:ind w:left="518" w:right="0" w:firstLine="518"/>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160,085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141,493</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(157,109)</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(137,021)</w:t>
            </w:r>
          </w:p>
        </w:tc>
        <w:tc>
          <w:tcPr>
            <w:tcW w:w="7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8,489</w:t>
            </w:r>
          </w:p>
        </w:tc>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7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4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w:t>
            </w:r>
          </w:p>
        </w:tc>
        <w:tc>
          <w:tcPr>
            <w:tcW w:w="710" w:type="dxa"/>
            <w:tcBorders>
              <w:bottom w:val="single" w:sz="4" w:space="0" w:color="000000"/>
            </w:tcBorders>
            <w:tcMar>
              <w:top w:w="0" w:type="dxa"/>
              <w:left w:w="0" w:type="dxa"/>
              <w:right w:w="0" w:type="dxa"/>
            </w:tcMar>
            <w:vAlign w:val="center"/>
          </w:tcPr>
          <w:p>
            <w:pPr>
              <w:pStyle w:val="TableContents"/>
              <w:bidi w:val="0"/>
              <w:spacing w:before="0" w:after="283"/>
              <w:ind w:left="0" w:right="0" w:firstLine="518"/>
              <w:jc w:val="left"/>
              <w:rPr/>
            </w:pPr>
            <w:r>
              <w:rPr/>
              <w:t> </w:t>
            </w:r>
          </w:p>
        </w:tc>
      </w:tr>
      <w:tr>
        <w:trPr/>
        <w:tc>
          <w:tcPr>
            <w:tcW w:w="5748" w:type="dxa"/>
            <w:tcBorders/>
            <w:shd w:fill="CFF0FC" w:val="clear"/>
            <w:tcMar>
              <w:top w:w="0" w:type="dxa"/>
              <w:left w:w="0" w:type="dxa"/>
              <w:bottom w:w="0" w:type="dxa"/>
              <w:right w:w="0" w:type="dxa"/>
            </w:tcMar>
            <w:vAlign w:val="center"/>
          </w:tcPr>
          <w:p>
            <w:pPr>
              <w:pStyle w:val="TableContents"/>
              <w:bidi w:val="0"/>
              <w:spacing w:before="0" w:after="283"/>
              <w:ind w:left="518" w:right="0" w:firstLine="518"/>
              <w:jc w:val="left"/>
              <w:rPr>
                <w:rFonts w:ascii="Arial" w:hAnsi="Arial"/>
                <w:color w:val="000000"/>
                <w:sz w:val="20"/>
              </w:rPr>
            </w:pPr>
            <w:r>
              <w:rPr>
                <w:rFonts w:ascii="Arial" w:hAnsi="Arial"/>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8,169</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59"/>
              <w:jc w:val="left"/>
              <w:rPr/>
            </w:pPr>
            <w:r>
              <w:rPr/>
              <w:t> </w:t>
            </w:r>
          </w:p>
        </w:tc>
      </w:tr>
      <w:tr>
        <w:trPr/>
        <w:tc>
          <w:tcPr>
            <w:tcW w:w="5748" w:type="dxa"/>
            <w:tcBorders/>
            <w:tcMar>
              <w:top w:w="0" w:type="dxa"/>
              <w:left w:w="0" w:type="dxa"/>
              <w:bottom w:w="0" w:type="dxa"/>
              <w:right w:w="0" w:type="dxa"/>
            </w:tcMar>
            <w:vAlign w:val="center"/>
          </w:tcPr>
          <w:p>
            <w:pPr>
              <w:pStyle w:val="TableContents"/>
              <w:bidi w:val="0"/>
              <w:spacing w:before="0" w:after="283"/>
              <w:ind w:left="259" w:right="0" w:firstLine="259"/>
              <w:jc w:val="left"/>
              <w:rPr>
                <w:rFonts w:ascii="Arial" w:hAnsi="Arial"/>
                <w:color w:val="000000"/>
                <w:sz w:val="20"/>
              </w:rPr>
            </w:pPr>
            <w:r>
              <w:rPr>
                <w:rFonts w:ascii="Arial" w:hAnsi="Arial"/>
                <w:color w:val="000000"/>
                <w:sz w:val="20"/>
              </w:rPr>
              <w:t>Loss before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(149,574)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(128,852)</w:t>
            </w:r>
          </w:p>
        </w:tc>
        <w:tc>
          <w:tcPr>
            <w:tcW w:w="7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(benefit)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(148,647)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(129,321)</w:t>
            </w:r>
          </w:p>
        </w:tc>
        <w:tc>
          <w:tcPr>
            <w:tcW w:w="7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tcBorders/>
            <w:shd w:fill="CFF0FC" w:val="clear"/>
            <w:tcMar>
              <w:top w:w="0" w:type="dxa"/>
              <w:left w:w="0" w:type="dxa"/>
              <w:bottom w:w="0" w:type="dxa"/>
              <w:right w:w="0" w:type="dxa"/>
            </w:tcMar>
            <w:vAlign w:val="center"/>
          </w:tcPr>
          <w:p>
            <w:pPr>
              <w:pStyle w:val="TableContents"/>
              <w:bidi w:val="0"/>
              <w:spacing w:before="0" w:after="283"/>
              <w:ind w:left="0" w:right="0" w:firstLine="518"/>
              <w:jc w:val="left"/>
              <w:rPr/>
            </w:pPr>
            <w:r>
              <w:rPr/>
              <w:t> </w:t>
            </w:r>
          </w:p>
        </w:tc>
      </w:tr>
      <w:tr>
        <w:trPr/>
        <w:tc>
          <w:tcPr>
            <w:tcW w:w="5748" w:type="dxa"/>
            <w:tcBorders/>
            <w:tcMar>
              <w:top w:w="0" w:type="dxa"/>
              <w:left w:w="0" w:type="dxa"/>
              <w:bottom w:w="0" w:type="dxa"/>
              <w:right w:w="0" w:type="dxa"/>
            </w:tcMar>
            <w:vAlign w:val="center"/>
          </w:tcPr>
          <w:p>
            <w:pPr>
              <w:pStyle w:val="TableContents"/>
              <w:bidi w:val="0"/>
              <w:spacing w:before="0" w:after="283"/>
              <w:ind w:left="518" w:right="0" w:firstLine="518"/>
              <w:jc w:val="left"/>
              <w:rPr>
                <w:rFonts w:ascii="Arial" w:hAnsi="Arial"/>
                <w:color w:val="000000"/>
                <w:sz w:val="20"/>
              </w:rPr>
            </w:pPr>
            <w:r>
              <w:rPr>
                <w:rFonts w:ascii="Arial" w:hAnsi="Arial"/>
                <w:color w:val="000000"/>
                <w:sz w:val="20"/>
              </w:rPr>
              <w:t>Foreign currency translation adjustment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w:t>
            </w:r>
          </w:p>
        </w:tc>
        <w:tc>
          <w:tcPr>
            <w:tcW w:w="710" w:type="dxa"/>
            <w:tcBorders/>
            <w:tcMar>
              <w:top w:w="0" w:type="dxa"/>
              <w:left w:w="0" w:type="dxa"/>
              <w:bottom w:w="0" w:type="dxa"/>
              <w:right w:w="0" w:type="dxa"/>
            </w:tcMar>
            <w:vAlign w:val="center"/>
          </w:tcPr>
          <w:p>
            <w:pPr>
              <w:pStyle w:val="TableContents"/>
              <w:bidi w:val="0"/>
              <w:spacing w:before="0" w:after="283"/>
              <w:ind w:left="0" w:right="0" w:firstLine="518"/>
              <w:jc w:val="left"/>
              <w:rPr/>
            </w:pPr>
            <w:r>
              <w:rPr/>
              <w:t> </w:t>
            </w:r>
          </w:p>
        </w:tc>
      </w:tr>
      <w:tr>
        <w:trPr/>
        <w:tc>
          <w:tcPr>
            <w:tcW w:w="5748" w:type="dxa"/>
            <w:tcBorders/>
            <w:shd w:fill="CFF0FC" w:val="clear"/>
            <w:tcMar>
              <w:top w:w="0" w:type="dxa"/>
              <w:left w:w="0" w:type="dxa"/>
              <w:bottom w:w="0" w:type="dxa"/>
              <w:right w:w="0" w:type="dxa"/>
            </w:tcMar>
            <w:vAlign w:val="center"/>
          </w:tcPr>
          <w:p>
            <w:pPr>
              <w:pStyle w:val="TableContents"/>
              <w:bidi w:val="0"/>
              <w:spacing w:before="0" w:after="283"/>
              <w:ind w:left="518" w:right="0" w:firstLine="518"/>
              <w:jc w:val="left"/>
              <w:rPr>
                <w:rFonts w:ascii="Arial" w:hAnsi="Arial"/>
                <w:color w:val="000000"/>
                <w:sz w:val="20"/>
              </w:rPr>
            </w:pPr>
            <w:r>
              <w:rPr>
                <w:rFonts w:ascii="Arial" w:hAnsi="Arial"/>
                <w:color w:val="000000"/>
                <w:sz w:val="20"/>
              </w:rPr>
              <w:t>Unrealized gain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comprehensive income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w:t>
            </w:r>
          </w:p>
        </w:tc>
        <w:tc>
          <w:tcPr>
            <w:tcW w:w="7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(147,061)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(129,804)</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attributable to common stockholders: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(148,647)</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(130,401)</w:t>
            </w:r>
          </w:p>
        </w:tc>
        <w:tc>
          <w:tcPr>
            <w:tcW w:w="7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Net loss per share attributable to common stockholders, basic and diluted</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(148.21)</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common shares outstanding, basic and diluted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3,038,064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879,834</w:t>
            </w:r>
          </w:p>
        </w:tc>
        <w:tc>
          <w:tcPr>
            <w:tcW w:w="7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Pro forma net loss per share attributable to common stockholders, basic and diluted (unaudited)</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48"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Pro forma weighted-average shares of common stock outstanding basic</w:t>
            </w:r>
          </w:p>
          <w:p>
            <w:pPr>
              <w:pStyle w:val="TableContents"/>
              <w:bidi w:val="0"/>
              <w:spacing w:before="0" w:after="283"/>
              <w:jc w:val="left"/>
              <w:rPr/>
            </w:pPr>
            <w:r>
              <w:rPr>
                <w:color w:val="000000"/>
              </w:rPr>
              <w:t>   </w:t>
            </w:r>
            <w:r>
              <w:rPr>
                <w:rFonts w:ascii="Arial" w:hAnsi="Arial"/>
                <w:color w:val="000000"/>
                <w:sz w:val="20"/>
              </w:rPr>
              <w:t>and diluted (unaudited)</w:t>
            </w:r>
            <w:r>
              <w:rPr>
                <w:rFonts w:ascii="Arial" w:hAnsi="Arial"/>
                <w:color w:val="000000"/>
                <w:sz w:val="13"/>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27,561,183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480" w:after="480"/>
        <w:ind w:left="465" w:right="10257" w:hanging="0"/>
        <w:jc w:val="left"/>
        <w:rPr/>
      </w:pPr>
      <w:r>
        <w:rPr/>
        <w:t> </w:t>
      </w:r>
    </w:p>
    <w:p>
      <w:pPr>
        <w:pStyle w:val="TextBody"/>
        <w:bidi w:val="0"/>
        <w:spacing w:before="40" w:after="283"/>
        <w:ind w:left="465" w:right="465" w:hanging="0"/>
        <w:jc w:val="left"/>
        <w:rPr>
          <w:rFonts w:ascii="Arial" w:hAnsi="Arial"/>
          <w:color w:val="000000"/>
          <w:sz w:val="18"/>
        </w:rPr>
      </w:pPr>
      <w:r>
        <w:rPr>
          <w:rFonts w:ascii="Arial" w:hAnsi="Arial"/>
          <w:color w:val="000000"/>
          <w:sz w:val="18"/>
        </w:rPr>
        <w:t>(1)</w:t>
      </w:r>
    </w:p>
    <w:p>
      <w:pPr>
        <w:pStyle w:val="TextBody"/>
        <w:bidi w:val="0"/>
        <w:spacing w:before="40" w:after="283"/>
        <w:jc w:val="left"/>
        <w:rPr>
          <w:rFonts w:ascii="Arial" w:hAnsi="Arial"/>
          <w:color w:val="000000"/>
          <w:sz w:val="18"/>
        </w:rPr>
      </w:pPr>
      <w:r>
        <w:rPr>
          <w:rFonts w:ascii="Arial" w:hAnsi="Arial"/>
          <w:color w:val="000000"/>
          <w:sz w:val="18"/>
        </w:rPr>
        <w:t xml:space="preserve">See Note 2 and Note 17 to our audited financial statements included elsewhere in this prospectus for an explanation of the method used to calculate historical net loss attributable to common stockholders per share, basic and diluted, and the weighted-average number of shares of common stock used in the computation of the per share amounts. </w:t>
      </w:r>
    </w:p>
    <w:p>
      <w:pPr>
        <w:pStyle w:val="TextBody"/>
        <w:bidi w:val="0"/>
        <w:spacing w:before="480" w:after="480"/>
        <w:jc w:val="left"/>
        <w:rPr>
          <w:rFonts w:ascii="Arial" w:hAnsi="Arial"/>
          <w:color w:val="000000"/>
          <w:sz w:val="18"/>
        </w:rPr>
      </w:pPr>
      <w:r>
        <w:rPr>
          <w:rFonts w:ascii="Arial" w:hAnsi="Arial"/>
          <w:color w:val="000000"/>
          <w:sz w:val="18"/>
        </w:rPr>
        <w:t>(2)</w:t>
      </w:r>
    </w:p>
    <w:p>
      <w:pPr>
        <w:pStyle w:val="TextBody"/>
        <w:bidi w:val="0"/>
        <w:spacing w:before="480" w:after="480"/>
        <w:jc w:val="left"/>
        <w:rPr/>
      </w:pPr>
      <w:r>
        <w:rPr>
          <w:rFonts w:ascii="Arial" w:hAnsi="Arial"/>
          <w:color w:val="000000"/>
          <w:sz w:val="18"/>
        </w:rPr>
        <w:t>Unaudited pro forma net loss per share, basic and diluted, attributable to common stockholders, is calculated giving effect to the conversion of all outstanding shares of our convertible preferred stock into shares of our common stock. Unaudited pro forma net loss per share attributable to common stockholders does not include the shares expected to be sold and related proceeds to be received in this offering</w:t>
      </w:r>
      <w:r>
        <w:rPr>
          <w:color w:val="000000"/>
        </w:rPr>
        <w:t xml:space="preserve"> </w:t>
      </w:r>
      <w:r>
        <w:rPr>
          <w:rFonts w:ascii="Arial" w:hAnsi="Arial"/>
          <w:color w:val="000000"/>
          <w:sz w:val="18"/>
        </w:rPr>
        <w:t xml:space="preserve">and the concurrent private placement. Unaudited pro forma net loss per share attributable to common stockholders for the year ended December 31, 2025 was calculated using the weighted average number of shares of common stock outstanding, including the pro forma effect of the conversion of all outstanding shares of our convertible preferred stock into shares of our common stock, as if such conversion had occurred at the beginning of the respective period. </w:t>
      </w:r>
    </w:p>
    <w:p>
      <w:pPr>
        <w:pStyle w:val="TextBody"/>
        <w:bidi w:val="0"/>
        <w:spacing w:before="120" w:after="0"/>
        <w:ind w:left="465" w:right="465" w:hanging="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0" w:after="283"/>
        <w:ind w:left="465" w:right="465" w:hanging="0"/>
        <w:jc w:val="left"/>
        <w:rPr/>
      </w:pPr>
      <w:r>
        <w:rPr/>
        <w:t> </w:t>
      </w:r>
    </w:p>
    <w:p>
      <w:pPr>
        <w:pStyle w:val="TextBody"/>
        <w:bidi w:val="0"/>
        <w:spacing w:before="480" w:after="480"/>
        <w:ind w:left="465" w:right="465" w:hanging="0"/>
        <w:jc w:val="left"/>
        <w:rPr/>
      </w:pPr>
      <w:r>
        <w:rPr/>
        <w:t> </w:t>
      </w:r>
    </w:p>
    <w:tbl>
      <w:tblPr>
        <w:tblW w:w="8974" w:type="dxa"/>
        <w:jc w:val="left"/>
        <w:tblInd w:w="465" w:type="dxa"/>
        <w:tblLayout w:type="fixed"/>
        <w:tblCellMar>
          <w:top w:w="28" w:type="dxa"/>
          <w:left w:w="28" w:type="dxa"/>
          <w:bottom w:w="28" w:type="dxa"/>
          <w:right w:w="28" w:type="dxa"/>
        </w:tblCellMar>
      </w:tblPr>
      <w:tblGrid>
        <w:gridCol w:w="4456"/>
        <w:gridCol w:w="146"/>
        <w:gridCol w:w="211"/>
        <w:gridCol w:w="856"/>
        <w:gridCol w:w="166"/>
        <w:gridCol w:w="146"/>
        <w:gridCol w:w="231"/>
        <w:gridCol w:w="939"/>
        <w:gridCol w:w="166"/>
        <w:gridCol w:w="146"/>
        <w:gridCol w:w="247"/>
        <w:gridCol w:w="1073"/>
        <w:gridCol w:w="191"/>
      </w:tblGrid>
      <w:tr>
        <w:trPr/>
        <w:tc>
          <w:tcPr>
            <w:tcW w:w="44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c>
          <w:tcPr>
            <w:tcW w:w="939"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7" w:type="dxa"/>
            <w:tcBorders/>
            <w:shd w:fill="FFFFFF" w:val="clear"/>
            <w:vAlign w:val="center"/>
          </w:tcPr>
          <w:p>
            <w:pPr>
              <w:pStyle w:val="TableContents"/>
              <w:bidi w:val="0"/>
              <w:spacing w:before="0" w:after="283"/>
              <w:jc w:val="left"/>
              <w:rPr>
                <w:sz w:val="4"/>
                <w:szCs w:val="4"/>
              </w:rPr>
            </w:pPr>
            <w:r>
              <w:rPr>
                <w:sz w:val="4"/>
                <w:szCs w:val="4"/>
              </w:rPr>
            </w:r>
          </w:p>
        </w:tc>
        <w:tc>
          <w:tcPr>
            <w:tcW w:w="1073"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4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81" w:type="dxa"/>
            <w:gridSpan w:val="10"/>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Actual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Pro Forma</w:t>
            </w:r>
            <w:r>
              <w:rPr>
                <w:rFonts w:ascii="Arial" w:hAnsi="Arial"/>
                <w:b/>
                <w:color w:val="000000"/>
                <w:sz w:val="11"/>
              </w:rPr>
              <w:t>(1)(3)</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Pro Forma</w:t>
            </w:r>
          </w:p>
          <w:p>
            <w:pPr>
              <w:pStyle w:val="TableContents"/>
              <w:bidi w:val="0"/>
              <w:spacing w:before="0" w:after="283"/>
              <w:jc w:val="center"/>
              <w:rPr>
                <w:rFonts w:ascii="Times New Roman" w:hAnsi="Times New Roman"/>
                <w:sz w:val="16"/>
              </w:rPr>
            </w:pPr>
            <w:r>
              <w:rPr>
                <w:rFonts w:ascii="Arial" w:hAnsi="Arial"/>
                <w:b/>
                <w:color w:val="000000"/>
                <w:sz w:val="16"/>
              </w:rPr>
              <w:t>As Adjusted</w:t>
            </w:r>
            <w:r>
              <w:rPr>
                <w:rFonts w:ascii="Arial" w:hAnsi="Arial"/>
                <w:b/>
                <w:color w:val="000000"/>
                <w:sz w:val="11"/>
              </w:rPr>
              <w:t>(2)(3)</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70" w:type="dxa"/>
            <w:gridSpan w:val="9"/>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Sheet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marketable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216,556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216,556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445,030</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Working capital</w:t>
            </w:r>
            <w:r>
              <w:rPr>
                <w:rFonts w:ascii="Arial" w:hAnsi="Arial"/>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392,719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269,788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269,788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498,198</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deficit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(568,139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(568,139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(568,139)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(deficit)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(488,278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443,754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80" w:after="480"/>
        <w:ind w:left="465" w:right="465" w:hanging="0"/>
        <w:jc w:val="left"/>
        <w:rPr>
          <w:rFonts w:ascii="Arial" w:hAnsi="Arial"/>
          <w:color w:val="000000"/>
          <w:sz w:val="18"/>
        </w:rPr>
      </w:pPr>
      <w:r>
        <w:rPr>
          <w:rFonts w:ascii="Arial" w:hAnsi="Arial"/>
          <w:color w:val="000000"/>
          <w:sz w:val="18"/>
        </w:rPr>
        <w:t>(1)</w:t>
      </w:r>
    </w:p>
    <w:p>
      <w:pPr>
        <w:pStyle w:val="TextBody"/>
        <w:bidi w:val="0"/>
        <w:spacing w:before="480" w:after="480"/>
        <w:jc w:val="left"/>
        <w:rPr>
          <w:rFonts w:ascii="Arial" w:hAnsi="Arial"/>
          <w:color w:val="000000"/>
          <w:sz w:val="18"/>
        </w:rPr>
      </w:pPr>
      <w:r>
        <w:rPr>
          <w:rFonts w:ascii="Arial" w:hAnsi="Arial"/>
          <w:color w:val="000000"/>
          <w:sz w:val="18"/>
        </w:rPr>
        <w:t xml:space="preserve">Pro forma amounts give effect to the conversion of all outstanding shares of our convertible preferred stock into an aggregate of 24,596,000 shares of our common stock and the related reclassification of the carrying value of the convertible preferred stock to permanent equity immediately prior to the closing of this offering. </w:t>
      </w:r>
    </w:p>
    <w:p>
      <w:pPr>
        <w:pStyle w:val="TextBody"/>
        <w:bidi w:val="0"/>
        <w:spacing w:before="480" w:after="480"/>
        <w:jc w:val="left"/>
        <w:rPr>
          <w:rFonts w:ascii="Arial" w:hAnsi="Arial"/>
          <w:color w:val="000000"/>
          <w:sz w:val="18"/>
        </w:rPr>
      </w:pPr>
      <w:r>
        <w:rPr>
          <w:rFonts w:ascii="Arial" w:hAnsi="Arial"/>
          <w:color w:val="000000"/>
          <w:sz w:val="18"/>
        </w:rPr>
        <w:t>(2)</w:t>
      </w:r>
    </w:p>
    <w:p>
      <w:pPr>
        <w:pStyle w:val="TextBody"/>
        <w:bidi w:val="0"/>
        <w:spacing w:before="480" w:after="480"/>
        <w:jc w:val="left"/>
        <w:rPr>
          <w:rFonts w:ascii="Arial" w:hAnsi="Arial"/>
          <w:color w:val="000000"/>
          <w:sz w:val="18"/>
        </w:rPr>
      </w:pPr>
      <w:r>
        <w:rPr>
          <w:rFonts w:ascii="Arial" w:hAnsi="Arial"/>
          <w:color w:val="000000"/>
          <w:sz w:val="18"/>
        </w:rPr>
        <w:t xml:space="preserve">Pro forma as adjusted amounts give effect to (i) the pro forma adjustments set forth in footnote (1) above, (ii) the issuance and sale of shares of our common stock in this offering at the assumed initial public offering price of $17.00 per share, which is the midpoint of the price range set forth on the cover page of this prospectus, after deducting the underwriting discounts and commissions and estimated offering expenses payable by us and (iii) the issuance and sale of 1,470,588 shares of common stock in a concurrent private placement at a price per share equal to the assumed initial public offering price per share of the shares offered in this offering, or $17.00, which is the midpoint of the price range set forth on the cover page of this prospectus, after deducting placement agent fees and estimated private placement expenses payable by us. Each $1.00 increase or decrease in the assumed initial public offering price of $17.00 per share would increase or decrease, as applicable, the pro forma as adjusted amount of each of our cash, cash equivalents and marketable securities, working capital, total assets and total stockholders’ (deficit) equity by approximately $12,313, assuming that the number of shares offered by us in this offering, as set forth on the cover page of this prospectus, remains the same and after deducting the underwriting discounts and commissions, placement agent fees and estimated expenses payable by us. Each increase or decrease of 1.0 million shares in the number of shares offered by us at the assumed initial public offering price of $17.00 per share would increase or decrease, as applicable, the pro forma as adjusted amounts of each of our cash, cash equivalents and marketable securities, working capital, total assets and total stockholders’ (deficit) equity by approximately $15,810, after deducting the underwriting discounts and commissions, placement agent fees and estimated expenses payable by us. </w:t>
      </w:r>
    </w:p>
    <w:p>
      <w:pPr>
        <w:pStyle w:val="TextBody"/>
        <w:bidi w:val="0"/>
        <w:spacing w:before="480" w:after="480"/>
        <w:jc w:val="left"/>
        <w:rPr>
          <w:rFonts w:ascii="Arial" w:hAnsi="Arial"/>
          <w:color w:val="000000"/>
          <w:sz w:val="18"/>
        </w:rPr>
      </w:pPr>
      <w:r>
        <w:rPr>
          <w:rFonts w:ascii="Arial" w:hAnsi="Arial"/>
          <w:color w:val="000000"/>
          <w:sz w:val="18"/>
        </w:rPr>
        <w:t>(3)</w:t>
      </w:r>
    </w:p>
    <w:p>
      <w:pPr>
        <w:pStyle w:val="TextBody"/>
        <w:bidi w:val="0"/>
        <w:spacing w:before="480" w:after="480"/>
        <w:jc w:val="left"/>
        <w:rPr>
          <w:rFonts w:ascii="Arial" w:hAnsi="Arial"/>
          <w:color w:val="000000"/>
          <w:sz w:val="18"/>
        </w:rPr>
      </w:pPr>
      <w:r>
        <w:rPr>
          <w:rFonts w:ascii="Arial" w:hAnsi="Arial"/>
          <w:color w:val="000000"/>
          <w:sz w:val="18"/>
        </w:rPr>
        <w:t xml:space="preserve">The pro forma and pro forma as adjusted information discussed above is illustrative only and will be adjusted based on the actual initial public offering price and other terms of this offering and the concurrent private placement determined at pricing. </w:t>
      </w:r>
    </w:p>
    <w:p>
      <w:pPr>
        <w:pStyle w:val="TextBody"/>
        <w:bidi w:val="0"/>
        <w:spacing w:before="480" w:after="480"/>
        <w:jc w:val="left"/>
        <w:rPr>
          <w:rFonts w:ascii="Arial" w:hAnsi="Arial"/>
          <w:color w:val="000000"/>
          <w:sz w:val="18"/>
        </w:rPr>
      </w:pPr>
      <w:r>
        <w:rPr>
          <w:rFonts w:ascii="Arial" w:hAnsi="Arial"/>
          <w:color w:val="000000"/>
          <w:sz w:val="18"/>
        </w:rPr>
        <w:t>(4)</w:t>
      </w:r>
    </w:p>
    <w:p>
      <w:pPr>
        <w:pStyle w:val="TextBody"/>
        <w:bidi w:val="0"/>
        <w:spacing w:before="480" w:after="480"/>
        <w:jc w:val="left"/>
        <w:rPr>
          <w:rFonts w:ascii="Arial" w:hAnsi="Arial"/>
          <w:color w:val="000000"/>
          <w:sz w:val="18"/>
        </w:rPr>
      </w:pPr>
      <w:r>
        <w:rPr>
          <w:rFonts w:ascii="Arial" w:hAnsi="Arial"/>
          <w:color w:val="000000"/>
          <w:sz w:val="18"/>
        </w:rPr>
        <w:t xml:space="preserve">We define working capital as current assets less current liabilities. See our financial statements and the related notes included elsewhere in this prospectus for further details regarding our current assets and current liabilities. </w:t>
      </w:r>
    </w:p>
    <w:p>
      <w:pPr>
        <w:pStyle w:val="TextBody"/>
        <w:bidi w:val="0"/>
        <w:spacing w:before="120" w:after="0"/>
        <w:ind w:left="465" w:right="465" w:hanging="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5" w:name="risk_factors"/>
      <w:bookmarkEnd w:id="5"/>
      <w:r>
        <w:rPr>
          <w:rFonts w:ascii="Arial" w:hAnsi="Arial"/>
          <w:b/>
          <w:color w:val="000000"/>
          <w:sz w:val="20"/>
        </w:rPr>
        <w:t>RISK FACTORS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i/>
          <w:color w:val="000000"/>
          <w:sz w:val="20"/>
        </w:rPr>
        <w:t>An investment in our common stock involves a high degree of risk. In deciding whether to invest, you should carefully consider and read the following risk factors, as well as the financial and other information contained in this prospectus, including in the section of this prospectus titled “Management’s Discussion and Analysis of Financial Condition and Results of Operations” and in our consolidated financial statements and related notes included elsewhere in this prospectus. Any of the following risks could have a material adverse effect on our business, financial condition, results of operations or prospects and cause the value of our stock to decline, which could cause you to lose all or part of your investment. Additional risks and uncertainties of which we are unaware, or that we currently deem immaterial, also may become important factors that affect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Risks Related to Our Business, Limited Operating History and Financial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We are a clinical-stage biotechnology company with a limited operating history and a history of incurring substantial net losses, have no products approved for commercial sale, have never generated revenue from product sales and may never be profitable.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a clinical-stage biotechnology company with a limited operating history. We were formed in April 2021 and have devoted substantially all of our resources since that time to research and development activities for our product candidates, including OD-001 and OD-002, and our other development programs, recruiting management and technical staff, raising capital, producing materials for preclinical studies and clinical trials, developing and establishing our intellectual property portfolio, developing our research and development tools and technologies, entering into collaboration agreements, acquiring companies or assets to further our development programs and building infrastructure to support such activities. Our most advanced product candidate, OD-001, is in an ongoing phase 2a trial with other trials planned to commence in the second half of 2026, and all of our other product candidates remain in preclinical or non-clinical development.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continue to incur significant research and development and other expenses related to our ongoing operations. The success of our business depends primarily upon our ability to identify, develop and commercialize our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do not have any products approved for sale and have not generated any revenue from product sales or royalties to date. We do not know whether we will be able to develop any product candidates that succeed through preclinical and clinical development or products of commercial value. All of our historical revenue was generated from certain collaboration agreements we had entered into. We do not expect to generate product revenues unless and until we obtain marketing approval for a product candidate. Consequently, it may be more difficult to evaluate our business and predictions about our future success and viability may not be as accurate as they could be if we had a longer operating history. Investing in biotechnology product development is highly speculative because of the significant risk that, despite significant investment, any potential product candidate will fail to demonstrate adequate effect or an acceptable safety profile, gain regulatory approval and become commercially viable.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incurred net losses since our inception through December 31, 2025. Net losses and negative cash flows have had, and will continue to have, an adverse effect on our stockholders’ equity and working capital. For the years ended December 31, 2025 and 2024, we reported a net loss of $148.6 million and $129.3 million, respectively. As of December 31, 2025, we had an accumulated deficit of $568.1 million. We expect to continue to incur significant losses for the foreseeable future, and we expect these losses to increase as we continue research and development efforts for our product candidates, advance our product candidates through preclinical studies and clinical trials and seek regulatory approvals for our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anticipate that our expenses will increase substantially as we:</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continue to progress the development of our product candidates, including our two most advanced programs: OD-001 and OD-002;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invest in our target selection programs and develop any additional product candidates, including the cost of acquiring any necessary rights from third parties to develop those product candidates or entering into partnering relationships to further the development of any such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and expand the manufacturing of preclinical and clinical supply of our current and future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seek regulatory approvals for any of our current product candidates or any future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 sales, marketing, manufacturing and distribution infrastructure to commercialize any product candidates for which we may obtain marketing approval, if any; </w:t>
      </w:r>
    </w:p>
    <w:p>
      <w:pPr>
        <w:pStyle w:val="TextBody"/>
        <w:bidi w:val="0"/>
        <w:spacing w:before="12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attract, hire and retain qualified clinical, scientific, operations and management personnel;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add and maintain operational, financial and information management systems;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protect, maintain, enforce and expand our rights in our intellectual property portfolio or acquire or in-license intellectual property and technologies from third parties;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experience any delays in our preclinical studies or clinical trials and regulatory approval for our product candidates, including as a result of macroeconomic conditions, geopolitical conflicts or other factors;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incur additional legal, accounting or other expenses in operating our business, including the costs associated with operating as a public company following the completion of this offering.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To become and remain profitable, we must develop and, either directly or through collaborators,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if we obtain marketing approval, obtaining market acceptance for such products and satisfying any post-marketing requirements. We may not succeed in any or all of these activities and, even if we do, we may not generate revenue that is significant or large enough to achieve profitability. If we do achieve profitability, we may not be able to sustain or increase profitability on a quarterly or annual basis. Our failure to become and remain profitable would decrease our value and the price of our common stock, and could impair our ability to raise capital, maintain our research and development efforts, expand our business or continue our operations. A decline in the value of our common stock also could cause you to lose all or part of your investment.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Even if we succeed in commercializing one or more of our product candidates, we will continue to incur substantial research and development and other expenditures to develop and market additional product candidates. We also may encounter unforeseen expenses, difficulties, complications, delays and other unknown factors that may adversely affect our business, financial condition, results of operations and prospects. The size of our future net losses will depend, in part, on the rate of future growth of our expenses and our ability to generate revenue. Our prior losses and expected future losses have had and will continue to have an adverse effect on our stockholders’ deficit and working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Even if this offering and the concurrent private placement are successful, 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Developing pharmaceutical products, including conducting preclinical studies and clinical trials, is a time-consuming, expensive and uncertain process that takes years to complete. Our operations have consumed substantial amounts of cash since our inception. We expect to continue spending substantial amounts of cash to advance our current and future preclinical and clinical development programs and seek regulatory approval for our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of December 31, 2025, we had $216.6 million in cash, cash equivalents and marketable securities. We expect that the net proceeds from this offering</w:t>
      </w:r>
      <w:r>
        <w:rPr>
          <w:rFonts w:ascii="Times New Roman" w:hAnsi="Times New Roman"/>
          <w:color w:val="000000"/>
          <w:sz w:val="20"/>
        </w:rPr>
        <w:t xml:space="preserve"> </w:t>
      </w:r>
      <w:r>
        <w:rPr>
          <w:rFonts w:ascii="Arial" w:hAnsi="Arial"/>
          <w:color w:val="000000"/>
          <w:sz w:val="20"/>
        </w:rPr>
        <w:t>and the concurrent private placement, together with our existing cash, cash equivalents and short-term marketable securities will be sufficient to fund our operations into the second half of 2028. We have based this estimate on assumptions that may prove to be wrong, and we could utilize our available capital resources sooner than we expect. Additionally, because the design and outcome of our planned and anticipated preclinical studies and clinical trials are highly uncertain, we cannot reasonably estimate the actual amounts necessary to successfully complete the development and commercialization of any product candidate.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future capital requirements will depend on, and could increase significantly as a result of, many factors, including: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progress, results and costs of drug discovery, preclinical development, laboratory testing and planned clinical trials for our current or future product candidates, including additional expenses attributable to adjusting our development plans;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prioritization and number of our research and development programs and clinical trials required for regulatory approval of our current or future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timing and outcome of regulatory review of our current or future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establish or maintain collaboration or license agreements and the achievement of milestones or occurrence of other developments that trigger payments under any existing or additional collaboration or license agreements; </w:t>
      </w:r>
    </w:p>
    <w:p>
      <w:pPr>
        <w:pStyle w:val="TextBody"/>
        <w:bidi w:val="0"/>
        <w:spacing w:before="12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associated with acquiring or licensing additional product candidates, technologies or assets, including the timing and amount of any milestones, royalties or other payments due in connection with acquisitions and licenses;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continuing to invest in our suite of tools and drug discovery efforts to identify novel targets and drugs;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potential increase in the number of our employees or expansion of our physical facilities to support preclinical studies and clinical trials;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associated with being a public company;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securing manufacturing arrangements for clinical and commercial production and establishing or contracting for sales and marketing capabilities, if we obtain regulatory clearances to market our current or future product candidates, including the cost of any third-party products used as combination agents in our clinical trials;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effect of competing technological and market developments;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and timing of future commercialization activities, including marketing, sales and distribution, for any of our product candidates for which we receive marketing approval;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amount of revenue, if any, received from commercial sales of our product candidates, should any of our product candidates receive marketing approval;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patients’ willingness to pay out-of-pocket for any approved products in the absence of coverage or adequate reimbursement from third-party payors;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impact of inflation, as well as other factors, including economic uncertainty and geopolitical tensions, which may exacerbate the magnitude of the factors discussed above.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Until such time as we can generate significant revenue from sales of our product candidates, if ever, we will be required to obtain further funding through public or private equity offerings, debt financings, collaborations and licensing arrangements or other sources. Adequate additional financing may not be available to us on acceptable terms, or at all. Our failure to raise capital as and when needed or on acceptable terms would have a negative impact on our financial condition and our ability to pursue our business strategy. As a result, we may have to delay, reduce the scope of, suspend or eliminate one or more of our research-stage programs, clinical trials or future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Raising additional capital may cause dilution to our stockholders, restrict our operations or require us to relinquish rights to our technologies or current or future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Even if we believe that we will have sufficient funds for our current or future operating plans, we may seek additional capital if market conditions are favorable or if there are specific strategic considerations for doing so. To the extent that we raise such additional capital through the sale of equity or convertible debt securities, our stockholders’ ownership interest will be diluted and the terms of such securities may include liquidation or other preferences that adversely affect the rights of our existing stockholders. Debt financing, if available, may involve agreements that include covenants limiting or restricting our ability to take specific actions, such as incurring additional debt, making capital expenditures or declaring and distributing dividends, and may be secured by all or a portion of our assets.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we raise funds by entering into collaborations, strategic alliances or licensing arrangements with third parties, we may have to relinquish additional valuable rights to our technologies, future revenue streams, research programs or product candidates, or grant licenses on terms that may not be favorable to us, any of which may harm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Further, if banks and financial institutions with whom we hold accounts enter receivership or become insolvent in the future in response to financial conditions affecting the banking system and financial markets, our ability to access our existing cash may be threatened and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Our business depends entirely on the success of our product candidates and development programs, including OD-001 and OD-002, and we cannot guarantee that any or all of our current or future product candidates will successfully complete clinical development, receive regulatory approval or be successfully commercialized. If we are unable to develop, receive regulatory approval for and ultimately successfully commercialize our product candidates,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currently have no products approved for commercial sale or for which regulatory approval to market has been sought. We have invested the majority of our efforts and financial resources in the development of our product candidates and development programs, each of which is still in preclinical or clinical development, and expect that we will continue to invest heavily in the development of these product candidates, as well as in any future product candidates we may develop. Our business and our ability to generate revenue are substantially dependent on our ability to develop, obtain regulatory approval for and then successfully commercialize our product candidates, which may never occur.</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product candidates and development programs will require substantial additional preclinical and clinical development time, regulatory approval, commercial manufacturing arrangements, the establishment of a commercial organization, significant marketing efforts and further investment before we can generate any revenue from product sales. We cannot assure you that we will meet our timelines for our current or future clinical trials, which may be delayed or not completed for a number of reasons. Our product candidates are susceptible to the risks of failure inherent at any stage of product development, including the appearance of unexpected adverse events or failure to achieve primary endpoints in clinical trials.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Even if our product candidates are successful in clinical trials, we will not be permitted to market or promote any of our product candidates until we receive regulatory approval from the U.S. Food and Drug Administration, or the FDA, or comparable foreign regulatory authorities, and we may never receive regulatory approval to allow us to successfully commercialize 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FDA or comparable foreign regulatory authorities may also consider their approvals of competing products concurrently with their review of our investigational new drug applications, or INDs, clinical trial applications, or CTAs, or other submissions. That review may lead to changes in the review requirements that had been previously communicated to us and our interpretation thereof, including changes to requirements for clinical data or clinical trial design. Such changes could delay approval or necessitate the withdrawal of our INDs, CTAs or other submissions.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our product candidates are approved for marketing by applicable regulatory authorities, our ability to generate revenue from any approved products will depend on our ability to:</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receive regulatory approval for the targeted patient populations and claims that are necessary or desirable for successful marketing;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manufacture products through contract manufacturing organizations, or CMOs, in sufficient quantities and at acceptable quality and manufacturing cost to meet commercial demand at launch and thereafter;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price our products competitively such that third-party and government reimbursement supports broad product adoption;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demonstrate the superiority of our products compared to the standard of care, as well as other therapies in development;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create market demand for our products through our own marketing and sales activities, and any other arrangements to promote these products that we may otherwise establish;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and maintain agreements with wholesalers, distributors, pharmacies and group purchasing organizations on commercially reasonable terms;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 maintain, protect and enforce patent and other intellectual property rights and regulatory exclusivity for our products;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maintain compliance with applicable laws, regulations and guidance specific to commercialization, including interactions with healthcare professionals, patient advocacy groups and communication of healthcare economic information to payors and formularies;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achieve market acceptance of our products by patients, the medical community and third-party payors; </w:t>
      </w:r>
    </w:p>
    <w:p>
      <w:pPr>
        <w:pStyle w:val="TextBody"/>
        <w:bidi w:val="0"/>
        <w:spacing w:before="12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maintain a distribution and logistics network capable of product storage within our specifications and regulatory guidelines, and further capable of timely product delivery to commercial clinical sites;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ensure that our product will be used as directed and that additional unexpected safety risks will not arise. </w:t>
      </w:r>
    </w:p>
    <w:p>
      <w:pPr>
        <w:pStyle w:val="TextBody"/>
        <w:bidi w:val="0"/>
        <w:spacing w:before="240" w:after="283"/>
        <w:jc w:val="left"/>
        <w:rPr>
          <w:rFonts w:ascii="Times New Roman" w:hAnsi="Times New Roman"/>
          <w:sz w:val="20"/>
        </w:rPr>
      </w:pPr>
      <w:r>
        <w:rPr>
          <w:rFonts w:ascii="Arial" w:hAnsi="Arial"/>
          <w:b/>
          <w:i/>
          <w:color w:val="000000"/>
          <w:sz w:val="20"/>
        </w:rPr>
        <w:t>Our management has concluded that there is substantial doubt as to our ability to continue as a going concern. If we cannot continue as a going concern, our stockholders may lose some or all of their investment.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audited consolidated financial statements included elsewhere in this prospectus were prepared assuming that we will continue as a going concern. The going concern basis of presentation assumes that we will continue in operation for the foreseeable future and will be able to realize our assets and satisfy our liabilities in the normal course of business and do not include any adjustments to reflect the possible future effects on the recoverability and classification of assets or amounts and classification of liabilities that may result from our inability to continue as a going concern. As reflected in the audited consolidated financial statements, we have incurred significant operating losses in the past, and we expect to continue to incur significant operating losses and negative cash flows for the foreseeable future. To date, we have relied primarily on preferred stock financings to fund our operations. For the years ended December 31, 2025 and 2024, we reported a net loss of $148.6 million and $129.3 million, respectively. As of December 31, 2025, we had an accumulated deficit of $568.1 million. Our management concluded that, based on our expected operating losses and negative cash flows, there is substantial doubt about our ability to continue as a going concern for the 12 months after the date our audited consolidated financial statements were issued. After this offering</w:t>
      </w:r>
      <w:r>
        <w:rPr>
          <w:rFonts w:ascii="Times New Roman" w:hAnsi="Times New Roman"/>
          <w:color w:val="000000"/>
          <w:sz w:val="20"/>
        </w:rPr>
        <w:t xml:space="preserve"> </w:t>
      </w:r>
      <w:r>
        <w:rPr>
          <w:rFonts w:ascii="Arial" w:hAnsi="Arial"/>
          <w:color w:val="000000"/>
          <w:sz w:val="20"/>
        </w:rPr>
        <w:t>and the concurrent private placement, we expect to continue raising additional financing and may not achieve the funding we require such that substantial doubt about our ability to continue as a going concern continues. Changing circumstances, some of which may be beyond our control, could cause us to consume capital significantly faster than we currently anticipate, and we may need to seek additional funds sooner than planned.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 If we cannot continue as a going concern, our stockholders may lose some or all of their investment in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business entails a significant risk of product liability and an inability to obtain sufficient insurance coverage for those or other claims could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we conduct preclinical studies and clinical trials of our current or future product candidates, we are exposed to significant product liability risks inherent in the development, testing, manufacturing and marketing of new treatments. Product liability claims could delay or prevent completion of our development programs. If we succeed in marketing products, such claims could result in an investigation by the FDA or comparable foreign regulatory authorities focused on the safety and efficacy of our current or future product candidates, our manufacturing processes and facilities or our marketing programs. Such an investigation may potentially result in a recall of our products or a more serious enforcement action, limitations on the approved indications for which the product may be used or suspension or withdrawal of approvals. Regardless of the merits or eventual outcome, product liability claims may also result in decreased demand for our product candidates,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products that we may develop and a decline in our stock price. We may need to obtain higher levels of product liability insurance for later stages of clinical development or marketing any of our product candidates. Any insurance we may obtain to cover product liability or other claims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or other claims that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future success depends on our ability to retain and to continue to receive adequate attention from our key leaders, as well as on our ability to attract, retain and motivate qualified personnel.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highly dependent upon Gary D. Glick, Ph.D., our founder, President and Chief Executive Officer, and Jeffrey M. Leiden, M.D., Ph.D., the Chair of our board of directors, and losing the services of either of these individuals could delay or prevent the successful development of our product candidates, the initiation or completion of our preclinical studies and clinical trials or the commercialization of our product candidates. Dr. Glick’s employment agreement with us is terminable by him at will and, therefore, we may not be able to retain his services as expected. Dr. Leiden serves as a director and must be re-elected by our stockholders to continue serving on our board of directors. He may also resign from service as a director at any time. In addition, because we do not currently maintain “key person” life insurance on the lives of our executives or any of our employees, we may not have adequate compensation for the loss of the services of these individuals.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Our success also depends on our ability to continue to receive adequate attention from our key leaders as we execute on our growth strategy. For example, in addition to his services to Odyssey as CEO, Dr. Glick began serving as Executive Chair of Charm Therapeutics Limited, or Charm, a biotechnology company focused on developing a new generation of menin inhibitors for acute myeloid leukemia, in January 2022. While, to date, the amount of time Dr. Glick has devoted to Charm has not changed, Dr. Glick became interim CEO of Charm in June 2025. It is possible that, in the future, unforeseen developments at Charm could require Dr. Glick to divert his attention for a period of time from his role at Odyssey in order to fulfill his responsibilities at Charm. None of our other key leaders currently has an outside role that we believe could detract from their ability to fulfill their ongoing responsibilities to us.</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Finally, our success also depends in part on our continued ability to attract, retain and motivate highly qualified management and clinical and scientific personnel. We may not be successful in continuing to attract or retain qualified management and scientific and clinical personnel in the future due to the intense competition for qualified personnel among biopharmaceutical, biotechnology and other businesses and academic institutions, particularly in the greater Boston area.</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If we are not able to attract, integrate, retain and motivate necessary personnel to accomplish our business objectives, or if members of our team are required to devote substantial amounts of time to other professional responsibilities that limit their ability to devote necessary time to our affairs, we may experience constraints that significantly impede the achievement of our business objectives, our ability to raise additional capital and our ability to implement our business strategy.</w:t>
      </w:r>
    </w:p>
    <w:p>
      <w:pPr>
        <w:pStyle w:val="TextBody"/>
        <w:bidi w:val="0"/>
        <w:spacing w:before="240" w:after="283"/>
        <w:jc w:val="left"/>
        <w:rPr>
          <w:rFonts w:ascii="Times New Roman" w:hAnsi="Times New Roman"/>
          <w:sz w:val="20"/>
        </w:rPr>
      </w:pPr>
      <w:r>
        <w:rPr>
          <w:rFonts w:ascii="Arial" w:hAnsi="Arial"/>
          <w:b/>
          <w:i/>
          <w:color w:val="000000"/>
          <w:sz w:val="20"/>
        </w:rPr>
        <w:t>We will need to grow our organization, and we may experience difficulties in managing our growth and expanding our operations, which could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of March 31, 2026, we had 100 full-time employees. As our development and commercialization plans and strategies progress, and as we transition into operating as a public company, we expect to expand our employee base for managerial, operational, financial and other resources. In addition, as our product candidates enter and advance through preclinical studies and clinical trials, we will need to expand our development and regulatory capabilities and contract with other organizations to provide manufacturing and other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Our inability to successfully manage our growth and expand our operations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employees, independent contractors, consultants, commercial partners and vendors may engage in misconduct or other improper activities, including noncompliance with regulatory standards and requirements, which could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exposed to the risk of fraud or other misconduct by our employees, contractors and partners. Misconduct by these parties could include failures to comply with FDA regulations or comparable foreign regulations, to provide accurate information to the FDA or comparable foreign regulatory authorities, to comply with federal, state or foreign healthcare fraud and abuse laws and regulations, to report financial information or data timely, completely or accurately, to disclose unauthorized activities to us or to comply with comparable foreign requirements.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and Medicaid or comparable foreign equivalents, integrity oversight and reporting obligations and the curtailment or restructuring of our operations.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the normal course of business, we periodically enter into commercial, service, collaboration, licensing, consulting and other agreements that contain indemnification provisions. With respect to our commercial agreements, we sometimes indemnify our vendors from any third-party product liability claims that could result from the production, use or consumption of the product, as well as for alleged infringements of any patent or other intellectual property right by a third party.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our obligations under an indemnification provision exceed or do not qualify for applicable insurance coverage or if we were denied insurance coverage, our business, financial condition, results of operations and prospects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results of operations and prospects could be adversely affected.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We may be required to make contingent or deferred payments to collaborators or in connection with acquisitions and in-licenses of technology. Such payments may have an adverse impact on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entered into, and may in the future enter into, collaborations, acquisitions and in-licensing arrangements that contemplate contingent or deferred payments. In the event we are deemed to have achieved certain milestones in connection with such contingent or deferred payments, we may be required to pay such amounts in full or in part. For example, if certain contingencies are satisfied, we may be required to make a payment of up to $30.0 million to the former shareholders of Rahko Limited, or Rahko, a company we acquired in 2021. Additionally, upon the achievement of certain development, commercial, regulatory and sales milestones for each of our NLRP1 and MDA5 programs, we may be required to pay up to $30.0 million in contingent payments once for each such program to the former members of IFM Discovery, LLC, or IFM, a company we acquired in 2022. See the section of this prospectus titled “</w:t>
      </w:r>
      <w:r>
        <w:rPr>
          <w:rFonts w:ascii="Arial" w:hAnsi="Arial"/>
          <w:i/>
          <w:color w:val="000000"/>
          <w:sz w:val="20"/>
        </w:rPr>
        <w:t>Management’s Discussion and Analysis of Financial Condition and Results of Operations—Contractual Obligations and Commitments</w:t>
      </w:r>
      <w:r>
        <w:rPr>
          <w:rFonts w:ascii="Times New Roman" w:hAnsi="Times New Roman"/>
          <w:color w:val="000000"/>
          <w:sz w:val="20"/>
        </w:rPr>
        <w:t xml:space="preserve">” </w:t>
      </w:r>
      <w:r>
        <w:rPr>
          <w:rFonts w:ascii="Arial" w:hAnsi="Arial"/>
          <w:color w:val="000000"/>
          <w:sz w:val="20"/>
        </w:rPr>
        <w:t>for additional information regarding our deferred consideration obligations. Contingent or deferred payments may have an adverse impact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become subject to litigation, which could result in substantial costs and divert management’s attention and resources from our business.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From time to time, we may become involved in litigation or other legal proceedings relating to claims arising from the ordinary course of business or otherwise, including claims related to employment matters, security of patient and employee personal data, product liability, intellectual property rights and contractual relations with current or past collaborators or licensors. For example, we and the former shareholders of Rahko may disagree about whether this offering satisfies the contractual prerequisites that would require us to make a substantial contingent consideration payment to them. In the event of a disagreement, the former Rahko shareholders could seek to recover for non-payment through litigation. See the section of this prospectus titled “</w:t>
      </w:r>
      <w:r>
        <w:rPr>
          <w:rFonts w:ascii="Arial" w:hAnsi="Arial"/>
          <w:i/>
          <w:color w:val="000000"/>
          <w:sz w:val="20"/>
        </w:rPr>
        <w:t>Management’s Discussion and Analysis of Financial Condition and Results of Operations—Contractual Obligations and Commitments</w:t>
      </w:r>
      <w:r>
        <w:rPr>
          <w:rFonts w:ascii="Times New Roman" w:hAnsi="Times New Roman"/>
          <w:color w:val="000000"/>
          <w:sz w:val="20"/>
        </w:rPr>
        <w:t xml:space="preserve">” </w:t>
      </w:r>
      <w:r>
        <w:rPr>
          <w:rFonts w:ascii="Arial" w:hAnsi="Arial"/>
          <w:color w:val="000000"/>
          <w:sz w:val="20"/>
        </w:rPr>
        <w:t>for additional information regarding our contingent consideration obligations. Any litigation we become party to could be costly and time-consuming and we cannot assure you that we would ultimately prevail. If we receive an adverse judgment in any litigation, we could be required to pay substantial damages that may not be covered by our insurance in full or at all. Expenses and damages relating to litigation can be difficult to predict. Regardless of its merit, litigation can be complex, extend for a protracted period of time, divert management’s attention and resources and be expensive. Litigation initiated by us could also result in counterclaims against us, which could increase the costs associated with the litigation and result in our payment of damages or other judgments against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current operations are concentrated predominantly in two locations, and we or the third parties upon whom we depend may be adversely affected by natural or manmade disasters.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current operations are concentrated predominantly in Boston, Massachusetts and Ann Arbor, Michigan. Any unplanned event, such as a flood, explosion,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may have significant negative consequences on our financial condition, results of operations and prospects. Any similar impacts of natural or manmade disasters on our third-party CMOs, contract research organizations, or CROs, or other third parties on whom we rely could cause delays in our clinical trials and may have a material and adverse effect on our ability to operate our business and have significant negative consequences on our financial condition, results of operations and prospects. If any such natural or manmade accidents or incidents occurred and prevented us from using our clinical sites, impacted clinical supply or the conduct of our clinical trials, damaged critical infrastructure, such as the manufacturing facilities of our third-party CMOs, or otherwise disrupted operations, it may be difficult or, in certain cases, impossible, for us to continue our business for a substantial period 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Our artificial intelligence, or AI, and machine learning, or ML, platform leverages internal data as well as data from third parties. Defects in, or loss of access to, our databases or those of third parties may impair our ability to discover additional targets and develop our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use our AI/ML platform to improve our target discovery programs by improving the hit finding and lead optimization process for our small-molecule product candidates. Our AI/ML platform accesses third-party databases. If access to this data is lost or limited, or if this data becomes outdated, it may delay or otherwise adversely affect our ability to develop our product candidates. Our competitors may render our approach obsolete, by advances in existing technological approaches or the development of new or different approaches, potentially eliminating the advantages in our drug discovery process that we believe we derive from our research approach and proprietary technologies.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proprietary software tools and data sets are inherently complex and may contain defects or errors. Errors may result from the interface of our hardware or proprietary software tools with our data or third-party systems and data. The risk of errors is particularly significant when new software or hardware is first introduced or when new versions or enhancements of existing software or hardware are implemented. Any errors, defects, disruptions or other performance problems with our software, hardware or data sets could hurt our ability to gather valuable insights that we intend to use to assist in developing our current and future product candidates and drive our drug discoveries. We outsource all of the core network infrastructure relating to our AI/ML platform to third-party hosting services. We have limited control, if any, over any of these third parties, and we cannot guarantee that such third-party providers will not experience system interruptions, outages or delays or deterioration in their performance. We have experienced, and expect that in the future we may again experience, interruptions, delays and outages in service and availability from time to time due to a variety of factors, including infrastructure changes, human or software errors, website hosting disruptions and capacity constraints.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Furthermore, the development and use of AI/ML present various privacy and security risks that may impact our business. AI/ML are subject to privacy and data security laws, as well as increasing regulation and scrutiny. For example, several jurisdictions around the globe, including Europe and certain U.S. states, have proposed, enacted or are considering laws governing the development and use of AI/ML, such as the EU’s AI Act and the Colorado Artificial Intelligence Act.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higher. Certain of our activities subject us to the EU AI Act and, depending on how the EU AI Act is implemented and interpreted, we may have to adapt our business practices, contractual arrangements, and services to comply with such obligations. We expect other jurisdictions will adopt similar laws. Additionally,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or retrain our AI/ML or prevent or limit our use of AI/ML. For example, the Federal Trade Commission, or the FTC, has required other companies to turn over (or disgorge) valuable insights or trainings generated through the use of AI/ML where they allege the company has violated privacy and consumer protection laws. If we cannot use AI/ML or our use is restricted, our preclinical research and development programs may be less efficient, or we may be at a competitive disadvantage.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occurrence of any of these events could prevent us from leveraging our AI/ML capability and software to help us develop our product candidates more efficiently than existing industry tools and have a material adverse effect on our business, financial condition, results of operations or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Unfavorable global economic conditions, including any adverse macroeconomic conditions or geopolitical events, could adversely affect our business, financial condition, results of operations or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results of operations could be adversely affected by general conditions in the global economy and in the global financial markets. The global credit and financial markets have experienced extreme volatility and disruptions in the past several years. A severe or prolonged economic downturn, or global financial or political crises, could result in a variety of risks to our business, including delayed clinical trials or preclinical studies, delayed approval of our product candidates, delayed ability to obtain patents and other intellectual property protection, weakened demand for our product candidates, if approved, or our ability to raise additional capital when needed on acceptable terms, if at all. The extent of the impact of these conditions on our operational and financial performance, including our ability to execute on our business strategies and initiatives in the expected timeframe, as well as that of third parties upon whom we rely, will depend on future developments, which are uncertain and cannot be predicted. A weak or declining economy also could strain our suppliers, possibly resulting in supply disruption. Any of the foregoing could harm our business and we cannot anticipate all of the ways in which the current economic climate and financial market conditions could adversely impact our business. Furthermore, continued market volatility or a general economic downturn could cause our stock price to decline.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Events involving limited liquidity, defaults, non-performance or other adverse developments that affect financial institutions, or concerns or rumors about any events of these kinds or other similar risks, have in the past and may in the future lead to market-wide liquidity problems. If any of the banks that hold our cash deposits were to be placed into receivership, we may be unable to access our cash and cash equivalents and short-term marketable securities, which would adversely affect our business. In addition, if any of the third parties on whom we rely to conduct certain aspects of our preclinical studies or clinical trials are unable to access funds through certain financial institutions, such parties’ ability to fulfill their obligations to us could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Risks Related to Research, Development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Our two most advanced product candidates are currently in a phase 2a clinical trial and IND-enabling studies, respectively. We have never successfully completed any large-scale or pivotal clinical trials with our product candidates, and we may be unable to do so for any product candidates we develop.</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of the date of this prospectus, we have only one product candidate in clinical development and our next most advanced product candidate is currently in IND-enabling studies. All of our other development programs are in the preclinical or drug discovery stage. Odyssey has not yet successfully completed any large-scale or pivotal clinical trials, obtained regulatory approvals, manufactured a commercial scale product (or arranged for a third party to do so on our behalf) or conducted sales and marketing activities necessary for successful commercialization of any of our product candidates. Odyssey’s experience conducting clinical trials with its product candidates is limited. Aside from OD-001, our product candidate currently in clinical development for the treatment of ulcerative colitis, or UC, all of our other development programs will need to progress through IND-enabling studies and receive authorization from the FDA or a comparable foreign regulatory authority to proceed under an IND, CTA or other submission prior to initiating clinical development. We may not be able to file INDs, CTAs or other submissions for any of our other product candidates on the timelines we expect, or at all. Even if we submit an IND, CTA or other submission for a product candidate, the FDA or a comparable foreign regulatory authority may not clear the IND, CTA or other submission and allow us to begin clinical trials in a timely manner or at all. The timing of submissions of INDs, CTAs or other submissions for our product candidates will be dependent on further preclinical and manufacturing success. Commencing each of these clinical trials is subject to finalizing the trial design based on discussions with the FDA and comparable foreign regulatory authorities. Any guidance we receive from the FDA or comparable foreign regulatory authorities is subject to change. These regulatory authorities could change their position, including, on the acceptability of our trial designs or the clinical endpoints selected, which may require us to complete additional clinical trials or impose stricter approval conditions than we currently expect.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be delayed in obtaining marketing approval for our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not obtain marketing approval at all;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obtain approval for indications or patient populations that are not as broad as intended or desired;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be subject to post-marketing requirements; or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be required to have the product removed from the market after obtaining marketing approval. </w:t>
      </w:r>
    </w:p>
    <w:p>
      <w:pPr>
        <w:pStyle w:val="TextBody"/>
        <w:bidi w:val="0"/>
        <w:spacing w:before="240" w:after="283"/>
        <w:jc w:val="left"/>
        <w:rPr>
          <w:rFonts w:ascii="Times New Roman" w:hAnsi="Times New Roman"/>
          <w:sz w:val="20"/>
        </w:rPr>
      </w:pPr>
      <w:r>
        <w:rPr>
          <w:rFonts w:ascii="Arial" w:hAnsi="Arial"/>
          <w:b/>
          <w:i/>
          <w:color w:val="000000"/>
          <w:sz w:val="20"/>
        </w:rPr>
        <w:t>Preclinical and clinical development involves a lengthy and expensive process, with an uncertain outcome. We or our collaborators may incur additional costs or experience delays in completing, or ultimately be unable to complete, the development and commercialization of our current product candidates or any future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All of our product candidates are either in preclinical development or, in the case of OD-001, in a phase 2a clinical trial. The risk that our product candidates fail to successfully proceed through clinical development is high. We expect it will be many years before we commercialize any product candidate, if ever. The product candidates we are developing are novel and unproven, which makes it difficult to accurately predict the challenges we may face with respect to our product candidates as they proceed through development. It is also impossible to predict whether our clinical trials will proceed through registrational trials and when or if any of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Commencing any future clinical trials is subject to finalizing the trial design and submitting an application to the FDA or a comparable foreign regulatory authority. Even after we make our submission, the FDA or comparable foreign regulatory authority could disagree that we have satisfied their requirements to commence our clinical trials or disagree with our trial design, which may require us to complete additional studies or trials, amend our protocols or impose stricter conditions on the commencement of clinical trials.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expect to continue to rely in part on our collaborators, CROs and clinical trial sites to ensure the proper and timely conduct of our clinical trials, including the participant enrollment process, and we have limited influence over their performance. We or our collaborators may experience delays in initiating or completing clinical trials due to unforeseen events or otherwise, that could delay or prevent our ability to receive marketing approval or commercialize our current and any future product candidates, including: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regulators, such as the FDA or comparable foreign regulatory authorities, Institutional Review Boards, or IRBs, or ethics committees may impose additional requirements before permitting us to initiate a clinical trial, may not authorize us or our investigators to commence or conduct a clinical trial at a prospective trial site, may not allow us to amend trial protocols or require that we modify or amend our clinical trial protocols;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delays in reaching, or failing to reach, agreement on acceptable terms with trial sites and CROs, the terms of which can be subject to extensive negotiation and may vary significantly;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clinical trial sites deviating from trial protocol or dropping out of a trial;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number of participants required for clinical trials may be larger than we anticipate, enrollment in clinical trials may be slower than we anticipate or participants may drop out or fail to return for post-treatment follow-up at a higher rate than we anticipate;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clinical trials may be greater than we anticipate or we may have insufficient funds for a clinical trial or to pay the substantial user fees required by the FDA upon the submission of a biologic license application, or BLA, or new drug application, or NDA;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quality or quantity of data relating to our product candidates or other materials necessary to conduct our clinical trials may be inadequate to initiate or complete a given clinical trial;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reports from clinical testing of other therapies may raise safety, tolerability or efficacy concerns about our product candidates;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and may in the future experience participant withdrawals or discontinuations from our trials.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could also encounter delays if a clinical trial is suspended, put on clinical hold or terminated by us, the IRBs of the institutions where such trials are being conducted, the FDA or comparable foreign regulatory authorities, or if a clinical trial is recommended for suspension or termination by a data safety monitoring board or data monitoring committee, or DSMB, for such trial. A suspension or termination may be imposed due to a number of factors, including failure to conduct the clinical trial in accordance with regulatory requirements or our clinical protocols, failure by our CROs to perform in accordance with good clinical practices, or GCPs, or applicable regulatory guidelines in other countries, inspection of the clinical trial operations or trial site by the FDA or comparable foreign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 Clinical trials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may also conduct preclinical and clinical research in collaboration with academic, pharmaceutical and biotechnology entities in which we combine our development efforts with those of our collaborators. Such collaborations may be subject to additional delays because of the management of the trials, contract negotiations, the need to obtain agreement from multiple parties and may increase our future costs and expenses.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The regulatory approval processes of the FDA and comparable foreign regulatory authorities are lengthy, time consuming and inherently unpredictable, and if we are ultimately unable to obtain regulatory approval for our product candidates or obtain limited regulatory approval, our business will be substantially harmed.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All of our current product candidates and any future product candidates will be subject to extensive governmental regulations relating to research, testing, development, manufacturing, approval, recordkeeping, reporting, labeling, storage, packaging, advertising and promotion, pricing, post-approval monitoring, marketing, sale and distribution of products. Rigorous preclinical studies, clinical trials and an extensive regulatory approval process are required to be completed successfully in the United States and in many foreign jurisdictions before a new product may be marketed. Satisfaction of these and other regulatory requirements is costly, time-consuming, uncertain and subject to unanticipated delays. It is possible that none of our product candidates will obtain the regulatory approvals necessary for us to begin selling them and any delay or failure in obtaining required approvals could adversely affect our ability to generate revenue from the particular product candidate for which we are seeking approval.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time required to obtain approval by the FDA and comparable foreign regulatory authorities is unpredictable but typically takes many years following the commencement of clinical trials and depends upon numerous factors, including the discretion of the regulatory authorities. Odyssey has not obtained regulatory approval for any product candidate and it is possible that any product candidates we may seek to develop in the future will never obtain regulatory approval. Neither we nor any future collaborator is permitted to market any of our product candidates in the United States or elsewhere until we receive regulatory approval of our product candidates through an NDA or BLA from the FDA or similar marketing application in another jurisdiction. The FDA and other comparable foreign regulatory authorities may delay, limit or deny approval of our product candidates for many reasons, including: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be able to demonstrate to the satisfaction of the FDA or other comparable foreign regulatory authorities that any of our product candidates are safe and effective for any indication;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results of clinical trials may not meet the level of statistical significance or clinical significance required by the FDA or comparable foreign regulatory authorities for approval;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disagree with the number, design, size, conduct or implementation of our clinical trials;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not find the data from preclinical studies and clinical trials sufficient to demonstrate that the benefits of any of our product candidates outweigh their safety risks;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disagree with our interpretation of data from preclinical studies or clinical trials, or may not accept data generated at our clinical trial sites;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data collected from preclinical studies and clinical trials of any of our product candidates may not be sufficient to support the submission of an IND, CTA or other application for regulatory approval;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may have difficulty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may require development of a risk evaluation and mitigation strategy, or REMS, and foreign regulatory authorities may require a risk management plan, or RMP, as a condition of approval for new products, among other additional requirements;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identify deficiencies in the manufacturing processes or facilities of third-party manufacturers with which we enter into agreements for clinical and commercial supplies; </w:t>
      </w:r>
    </w:p>
    <w:p>
      <w:pPr>
        <w:pStyle w:val="TextBody"/>
        <w:bidi w:val="0"/>
        <w:spacing w:before="12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change their approval policies or adopt new regulations;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FDA or comparable foreign regulatory authorities may require simultaneous approval for both adults and for children and adolescents, which may delay approval, or we may have successful clinical trial results for adults but not children and adolescents, or vice versa.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Any of these regulatory authorities may also change the requirements for the approval of a product candidate even after reviewing and providing comments or advice on a protocol for a clinical trial. The FDA or comparable foreign regulatory authorities may require that we conduct additional clinical, preclinical,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comparable foreign regulatory authorities for granting approval.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the FDA or comparable foreign regulatory authorities may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such as the implementation of a REMS, RMP or comparable foreign risk management approaches. The FDA or comparable foreign regulatory authorities may not accept the labeling claims that we believe would be necessary or desirable for the successful commercialization of our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Further, the FDA or comparable foreign regulatory authorities may respond to any BLA, NDA or comparable marketing application that we may submit by defining requirements that we do not anticipate. Such responses could delay clinical development of any of our product candidates or any future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also subject to numerous foreign regulatory requirements governing the conduct of clinical trials, manufacturing and marketing authorization, pricing and third-party reimbursement, and may in the future become subject to additional ones. The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in foreign jurisdictions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If we encounter difficulties enrolling patients in clinical trials, our clinical development activities could be delayed or otherwise adversely affected, which could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successful and timely completion of clinical trials will require that we enroll a sufficient number of patients who remain in a trial until its conclusion. We may not be able to initiate, continue or complete clinical trials that may be required by the FDA or comparable foreign regulatory authorities to obtain regulatory approval for any of our product candidates if we are unable to locate, enroll and retain a sufficient number of eligible patients to participate in these clinical trials. Patient enrollment, a significant factor in the timing to conduct and complete clinical trials, is affected by many factors, including: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size and nature of the patient population;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severity of the disease under investigation;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eligibility criteria for the trial;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proximity of patients to clinical sites;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design of the clinical protocol;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to obtain and maintain patient consents;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 the case of a combination study with another product, the ability of such product to be used as a combination therapy;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ability to recruit clinical trial investigators with the appropriate competencies and experience;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risk that patients enrolled in clinical trials will drop out of the trials before the administration of our product candidates or trial completion; </w:t>
      </w:r>
    </w:p>
    <w:p>
      <w:pPr>
        <w:pStyle w:val="TextBody"/>
        <w:bidi w:val="0"/>
        <w:spacing w:before="12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availability of competing clinical trials;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availability of new drugs approved for the indication the clinical trial is investigating;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clinicians’ and patients’ perceptions as to the potential advantages of the drug being studied in relation to other available therapies;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 factors outside of our control, such as the effects of global economic conditions and volatility in the credit and financial markets, inflationary pressures, the Russian invasion of Ukraine, the conflicts in the Middle East and other geopolitical conditions.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For example, as of the date of this prospectus, we have enrolled patients in our phase 2a signal seeking trial for OD-001 at multiple sites, including sites in Ukraine. We are also considering, subject to the receipt of necessary approvals from the applicable regulatory authorities, enrolling patients at sites in the Middle East for future clinical trials. To the extent military conflicts, political unrest, unstable economic conditions or other events adversely impact our ability to enroll patients or complete enrollments in process or adversely impacts the ability of our suppliers to produce and distribute the supplies we need for our OD-001 phase 2a clinical trial or in future clinical trials, we may be required to enroll patients at other sites which could increase the cost or delay the timing for completing such trial.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also may encounter difficulties in identifying and enrolling patients with a stage of disease appropriate for ongoing or future clinical trials. In addition, the process of finding and diagnosing patients may prove costly. Other pharmaceutical companies with more resources and greater experience in drug development and commercialization are targeting similar treatments, and this competition reduces the number and types of patients available to us, as some patients who might have opted to enroll in our trials may instead opt to enroll in a trial being conducted by one of our competitors. In addition, some of the diseases our product candidates are designed to address have existing treatments which may make it more difficult to recruit patients. Because the number of qualified clinical investigators and clinical trial sites is also limited, we expect to conduct some of our clinical trials at the same clinical trial sites that some of our competitors use, which will reduce the number of patients who are available for our clinical trials at such clinical trial sites, and may delay or make it more difficult to fully enroll our clinical trials. We also rely on CROs and clinical trial sites to enroll subjects in our clinical trials and, while we have agreements governing their services, we will have limited influence over their actual performance.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These factors may make it difficult for us to enroll and retain enough patients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Positive results from preclinical studies and early clinical trials of our current or future product candidates are not necessarily predictive of the results of later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Differences in trial design between early-stage clinical trials and later-stage clinical trials make it difficult to extrapolate the results of earlier clinical trials to later clinical trials. In addition, the data from our preclinical comparison studies discussed in the section of this prospectus titled “</w:t>
      </w:r>
      <w:r>
        <w:rPr>
          <w:rFonts w:ascii="Arial" w:hAnsi="Arial"/>
          <w:i/>
          <w:color w:val="000000"/>
          <w:sz w:val="20"/>
        </w:rPr>
        <w:t>Business</w:t>
      </w:r>
      <w:r>
        <w:rPr>
          <w:rFonts w:ascii="Times New Roman" w:hAnsi="Times New Roman"/>
          <w:color w:val="000000"/>
          <w:sz w:val="20"/>
        </w:rPr>
        <w:t xml:space="preserve">” </w:t>
      </w:r>
      <w:r>
        <w:rPr>
          <w:rFonts w:ascii="Arial" w:hAnsi="Arial"/>
          <w:color w:val="000000"/>
          <w:sz w:val="20"/>
        </w:rPr>
        <w:t>may not be replicated in clinical trials, and our competitors may advance different compounds than those we studied. For example, historical remission rates observed in early clinical trials are not necessarily indicative of remission rates observed in future placebo-controlled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We may be unable to establish clinical endpoints that applicable regulatory authorities would consider clinically meaningful.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 If we fail to produce positive results in our planned preclinical studies or clinical trials of any of our current or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future product candidates, the development timeline and regulatory approval and commercialization prospects for our current or future product candidates, and, correspondingly, our business and financial prospects, would be materially adversely affected.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current RIPK2 phase 2a clinical trial utilizes an “open-label” trial design and we may utilize this for future clinical trials for this or future product candidates. An “open-label” clinical trial is one where both the patient and investigator know whether the patient is receiving the investigational product candidate or either an existing approved drug or placebo.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value in general. In addition, the information we choose to publicly disclose regarding a particular study or clinical trial is based on what is typically a significant volume of data and other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financial condition, results of operations or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approach to clinical development relies on developing product candidates across a number of inflammatory diseases. We may not be successful in our efforts to discover additional product candidates or we may expend our limited resources to pursue a particular product candidate in specific indications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Given our broad approach seeking to identify multiple novel targets in a wide variety of indications, we will need to carefully allocate our limited financial and managerial resources among our selected product candidates in certain selected indications. As a result, we may forgo or delay pursuit of opportunities with other product candidates, or other indications for our existing product candidates that later prove to have greater commercial potential. If we are unable to discover and develop additional product candidates, our ability to commercialize product candidates or partner product candidates may be negatively impacted.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If our product candidates, if approved, do not achieve broad market acceptance, the revenue that we generate from their sales will be limited.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currently developing product candidates targeting inflammatory bowel disease, or IBD, and a number of autoimmune diseases, including systemic lupus erythematosus. In the future, we may develop additional product candidates targeting a range of other inflammatory and autoimmune diseases. However, Odyssey has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degree of market acceptance of any of our product candidates will depend on a number of factors, some of which are beyond our control, including: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safety, side effect profile, efficacy, tolerability, cost and ease of administration of our product candidates and any approved products we use as part of a combination treatment, if any;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clinical indications for which the products are approved and the approved claims that we may make for the products;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limitations or warnings contained in the product’s FDA-approved labeling, including potential limitations or warnings for such products that may be more restrictive than other competitive products;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distribution and use restrictions imposed by the FDA or comparable foreign regulatory authorities with respect to such product candidates or to which we agree as part of a mandatory REMS or RMP or voluntary risk management plan;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the standard of care for the targeted indications for such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availability of adequate coverage and reimbursement by third parties, such as insurance companies and other healthcare payors, and by government healthcare programs, including Medicare and Medicaid;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extent and strength of our marketing and distribution of such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safety, efficacy and other potential advantages of, and availability of, alternative treatments already used or that may later be approved for any of our intended indications;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of market introduction of such product candidates, as well as competitive products;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reluctance of physicians to switch their patients’ current standard of care;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extent and strength of our third-party manufacturer and supplier support;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adverse publicity about our product or favorable publicity about competitive products;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product liability claims.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The market opportunities for our product candidates and forecasts of market growth may not be accurate, and the actual market for our product candidates may be smaller than we estimate. Even if the markets in which we compete achieve the forecasted growth, our business may not grow at similar rates, or at all.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precise incidence and prevalence for all the conditions we aim to address with our product candidates are unknown. Our estimates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products, scientific literature, surveys of clinics, patient foundations or market research, and may prove to be incorrect in general, or as to their applicability to our business. Further, new trials may change the estimated incidence or prevalence of these diseases. Even if the markets in which we compete meet our size estimates and growth forecasts, our business may not grow at similar rates, or at all. The total addressable market across all of our product candidates will ultimately depend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upon, among other things, the diagnosis criteria included in the final label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United States,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face substantial competition, which may result in others discovering, developing or commercializing drugs before or more successfully than we do.</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development and commercialization of new drugs is highly competitive. We face and will continue to face competition from third parties, including larger and better-funded pharmaceutical, biopharmaceutical and biotechnological companies, developing treatments for the indications that we have decided to pursue.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Many of our competitors have significantly greater financial, technical, manufacturing, supply, marketing and sales resources or experience than we have.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and establishing clinical trial sites and participants registration for clinical trials, as well as in acquiring technologies complementary to, or necessary for, our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If we do not achieve our projected development goals in the timeframes we announce and expect, the commercialization of our programs may be delayed and our expenses may increase and, as a result, our stock price may decline.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as well as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Use of our product candidates could be associated with side effects, adverse events or safety risks, which could cause us to suspend or discontinue clinical trials, cause us to abandon a product candidate, delay or preclude approval, prevent market acceptance, limit the commercial profile of an approved label or result in other significant negative consequences that could severely harm our business, results of operations, financial condition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Before obtaining regulatory approvals for the commercial sale of any of our product candidates, we must demonstrate through lengthy, complex and expensive preclinical studies and clinical trials that our current product candidates, including OD-001 and OD-002, our lead product candidates, and any future product candidates are both safe, pure and potent and effective for use in such product candidate’s target indication. Clinical testing is expensive, can take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many years to complete and its outcome is inherently uncertain. Failure can occur at any time during the clinical trial process. Product candidates in later stages of clinical trials may fail to generate desired safety and efficacy data despite having progressed through preclinical studies and initial clinical trials. It is not uncommon in the biopharmaceutical and biotechnology industries to suffer significant setbacks in advanced clinical trials due to lack of efficacy or unacceptable safety issues, notwithstanding promising results in earlier trials.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materially harm our business, results of operations, financial condition and prospects and may cause us to interrupt, delay or abandon the development of any such product candidate or limit development to more narrow uses or subpopulation.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Patients in our ongoing and planned clinical trials may in the future suffer significant adverse events or other side effects not observed in our preclinical studies or previous clinical trials. For example, while no serious adverse effects, or SAEs, have been observed as of the date of this prospectus, it is possible that testing in additional human subjects with IBD may, either in monotherapy or in combination with other agents, reveal greater side effects in our clinical program for OD-001 than observed in our clinical testing to date. We will continue to learn more about our product candidates and potential side effects as they advance through clinical development. In addition, if our product candidates are used in combination with other therapies, our product candidates may exacerbate adverse events associated with the therapy. Patients treated with our product candidates may also be undergoing other medical treatments, which can cause side effects or adverse events that are unrelated to our product candidate, but may still impact the success of our clinical trials.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the FDA, other comparable foreign regulatory authorities or an IRB or ethics committee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or comparable foreign regulatory authorities could require us to adopt a REMS or RMP, as applicable, to ensure that the benefits of treatment with such product candidate outweigh the risks for each potential patient, which may include, among other things, a communication plan to healthcare practitioners, patient education, extensive patient monitoring or distribution systems and processes that are highly controlled, restrictive and more costly than what is typical for the industry. Other potentially significant negative consequences include:</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forced to suspend marketing of that product, or decide to remove the product from the marketplace, if approved;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authorities may withdraw or change their approvals of that product;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authorities may require additional warnings on the label or limit access of that product to selective specialized centers with additional safety reporting and with requirements that patients be geographically close to these centers for all or part of their treatment;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required to create a medication guide outlining the risks of the product for patients, or to conduct post-marketing studies;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be required to change the way the product is administered;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could be subject to fines, injunctions, or the imposition of criminal or civil penalties, or be sued and held liable for harm caused to subjects or patients;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product may become less competitive, and our reputation may suffer.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Any of these events could diminish the usage or otherwise limit the commercial success of our product candidates and prevent us from achieving or maintaining market acceptance of the affected product candidate, if approved by applicable regulatory authorities.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Changes in product candidate manufacturing, formulation or analytical methods may result in additional costs or delay, which could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product candidates are developed through preclinical studies to later-stage clinical trials toward approval and future commercialization, it is common that various aspects of the development program, such as manufacturing methods, formulation or analytical methods, are altered in an effort to optimize processes and results. Any of these changes could cause our product candidates to perform differently and affect the results of planned clinical trials or other future clinical trials conducted with the altered materials or utilizing different analytical methods. Such changes also may require additional testing, or notification to, or authorization by, the FDA or a comparable foreign regulatory authority. This could delay completion of clinical trials, require the conduct of bridging clinical trials or studies, require the repetition of one or more clinical trials, increase clinical trial costs, delay approval of our product candidates or jeopardize our ability to commence product sales and generate revenue.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A variety of risks associated with conducting research and clinical trials abroad, including in China and Ukraine, and seeking to market our product candidates internationally, could materially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plan to globally develop our product candidates. In addition, our enrollment timelines for our product candidates depend on initiating clinical trial sites outside of the United States. Accordingly, we expect that we will be subject to additional risks related to operating in foreign countries, including: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differing regulatory requirements in foreign countries;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differing standards with respect to data integrity;</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differing standards and privacy requirements for the conduct of clinical trials;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increased difficulties in managing the logistics and transportation of storing and shipping product candidates to the patient at the relevant trial site abroad;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imposition of new laws and regulations, including those relating to labor conditions, quality, and safety standards, imports, duties, taxes, and other charges on imports, as well as trade restrictions, tariffs and restrictions on currency exchange or the transfer of funds;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economic weakness, including inflation, or political instability in particular foreign economies and markets;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compliance with tax, employment, immigration and labor laws for employees living or traveling abroad;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difficulties staffing, workforce uncertainty and managing foreign operations;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differing payor reimbursement regimes, governmental payors or patient self-pay systems and price controls;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liability under the Foreign Corrupt Practices Act of 1977, or the FCPA, or comparable foreign regulations;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challenges with obtaining any local supply of drugs or agents used with our product candidates, which are required by certain local clinical trial sites before conducting any study;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business interruptions resulting from health epidemics or pandemics, or natural or man-made disasters, including earthquakes, tsunamis, fires, medical epidemics or geo-political developments, including war and terrorism;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failure to observe local or international GCPs, including data integrity, rules leading to rejection of safety or effectiveness data by drug regulatory authorities;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failure to observe local data privacy or security rules leading to prohibitions on data transfer. </w:t>
      </w:r>
    </w:p>
    <w:p>
      <w:pPr>
        <w:pStyle w:val="TextBody"/>
        <w:bidi w:val="0"/>
        <w:spacing w:before="12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For example, our phase 1 healthy participant trial for OD-001 was conducted in Australia and, as of the date of this prospectus, we have enrolled patients in our phase 2a signal seeking trial for OD-001 at multiple sites in Australia, Canada, Jordan, Moldova, New Zealand, Poland and Ukraine. We are also considering, subject to the receipt of necessary approvals from the applicable regulatory authorities, enrolling patients at sites in the Middle East and other jurisdictions globally for future clinical trials. To the extent military conflicts, political unrest, unstable economic conditions or other events adversely impact our ability to enroll patients or complete enrollments in process or adversely impact the ability of our suppliers to produce and distribute the supplies we need for our OD-001 phase 2a clinical trial or future clinical trials, we may be required to enroll patients at other sites which could increase the cost or delay the timing for completing such trial.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also engaged CROs active in China and Ukraine to assist with discovery and research activities. Disruptions to our preclinical development programs or increased costs have in the past and may in the future result from changes in the policies of the U.S. or Chinese governments, political unrest, unstable economic conditions in China or Ukraine and disruption from the war in Ukraine. For example, a further trade war between the U.S. and China could lead to tariffs, legislation or regulations that impact our ability to continue relying on these CROs or increase the cost of doing so. Additionally, legislation and regulations, such as the BIOSECURE Act, could restrict our ability to enter into long-term commercial agreements with certain CMOs.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are conducting and intend to conduct certain of our clinical trials globally. However, the FDA and comparable foreign regulatory authorities may not accept data from such trials, in which case our development plans will be delayed, which could materially harm our business.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phase 1 healthy participant trial for OD-001 was conducted in Australia and we are conducting our phase 2a signal seeking trial for OD-001 in Australia, Canada, Jordan, Moldova, New Zealand, Poland and Ukraine. In addition, we currently intend to conduct additional future clinical trials in a number of countries around the world, including countries in the Middle East. The acceptance of data from clinical trials conducted outside the United States or another jurisdiction by the FDA or comparable foreign regulatory authorities may be subject to certain conditions or may not be accepted at all, including as a basis for later-stage clinical trials. In cases where data from foreign clinical trials is intended to serve as the basis for marketing approval in the United States, the FDA will generally not approve the application on the basis of foreign data alone unless (among other prerequisites) (i) the data are applicable to the U.S. population and U.S. medical practice; (ii) the trials were performed by clinical investigators of recognized competence in accordance with applicable GCPs; and (iii) the data may be considered valid without the need for an on-site inspection by the FDA or, if the FDA considers such as inspection to be necessary, the FDA is able to validate the data through an on-site inspection or other appropriate means. Additionally, the FDA’s clinical trial requirements, including sufficient size of patient populations and statistical power,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The manufacturing process for any products that we may develop is subject to the FDA or comparable foreign regulatory authority approval process, and we currently, and will need to continue to, contract with manufacturers who can meet our and all applicable FDA or comparable foreign regulatory authority requirements on an ongoing basis.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manufacturing process for any products that we may develop is subject to the FDA or comparable foreign authority approval process, and any contractors with which we contract for manufacturing must meet all applicable FDA or comparable foreign regulatory authority requirements on an ongoing basis. If we or our CMOs are unable to reliably produce products to specifications acceptable to the FDA or comparable foreign regulatory authority, we may not obtain or maintain the approvals we need to commercialize such products. Even if we obtain regulatory approval for any of our product candidates, there is no assurance that either we or our CMOs will be able to manufacture the approved product in accordance with requirements from the FDA or comparable foreign regulatory authority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result in sanctions being imposed on us (including clinical holds, fines, injunctions, civil penalties, delays, suspension or withdrawal of approvals, license revocation, suspension of production or recalls of the product candidates or marketed biologics, operating restrictions and criminal prosecutions), delay approval of our product candidates, impair commercialization efforts, increase our cost of goods, any of which would have an adverse effect on our business, financial condition, results of operations and prospects. Our future success depends on our ability to manufacture our products, on a timely basis with acceptable manufacturing costs, while at the same time maintaining good quality and complying with applicable regulatory requirements. An inability to do so could have a</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material adverse effect on our business, financial condition, results of operations and prospects. In addition, we could incur higher manufacturing costs if manufacturing processes or standards change, and we could need to replace, modify, design or build and install equipment, all of which would require additional capital expenditures.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rely on third-party CMOs to manufacture and supply drug substance and drug product for our clinical trial for OD-001 and we expect to rely on third-party CMOs for our future clinical trials.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Reliance on third-party manufacturers entails exposure to risks to which we would not be subject if we manufactured our product candidates ourselves, including: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inability to negotiate manufacturing and quality agreements with third parties under commercially reasonable terms;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reduced day-to-day control over the manufacturing process for our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reduced control over the protection of our trade secrets and know-how from misappropriation or inadvertent disclosure;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termination or nonrenewal of manufacturing agreements with third parties in a manner or at a time that may be costly or damaging to us or result in delays in the development or commercialization of our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disruptions to the operations of our third-party manufacturers or suppliers caused by conditions unrelated to our business or operations, including the bankruptcy of the manufacturer or supplier;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international or multi-national activities that are related to business activities outside of our scope, but may have an impact on a CMO’s ability to conduct business in a manner consistent with governmental or our regulatory and ethical standards;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synchronize operations and standards to ensure that all aspects of manufacturing are consistent without deviations across facilities.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If our CMOs were to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Moreover, if we are unable to manufacture or contract for a sufficient supply of our product candidates on acceptable terms, or if we encounter delays or difficulties in the scale-up of our manufacturing processes, our preclinical and human clinical testing schedule would be delayed. This in turn would delay the submission of product candidates for regulatory approval and thereby delay the market introduction and subsequent sales of any products that receive regulatory approval, which would have a material adverse effect on our business, financial condition, results of operations and prospects. In addition, if any of our product candidates are approved for sale, our inability to manufacture or contract for a sufficient supply of such potential future products on acceptable terms would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recall, operating restrictions, suits under the civil False Claims Act, or FCA, corporate integrity agreements, consent decrees or withdrawal of product approval.</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We intend to pursue the development of certain of our product candidates in combination with other therapies, and regulatory approval, safety or supply issues with these other therapies may delay or prevent the development and approval of our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explored and may continue to explore the use of certain of our product candidates in combination with other therapies, including those that may not yet be approved. For example, we are planning to assess, as part of a planned phase 2a combination basket trial, the effect of OD-001 in combination with vedolizumab and potentially other standard of care therapies. If we choose to develop a product candidate for use in combination with an approved therapy,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third-party payors. The occurrence of any of these risks could result in our product candidates, if approved, being removed from the market or being less successful commercially.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While vedolizumab is approved by regulatory authorities in major markets, including the FDA and EMA, it has not received marketing approval in some countries where we intend to conduct our clinical trials. If we are unable to use the standard of care agents in our planned phase 2a combination trial for OD-001 in countries where the standard of care agents have not been approved or in our ongoing phase 2a signal seeking trial for OD-001, which includes a vedolizumab maintenance and induction period we may be required to enroll additional patients at existing sites or identify new trial sites, resulting in potential delays in the trial and additional expenses. As a result, our clinical development activities could be delayed or otherwise adversely affected, which could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novel discoveries and technologies that are important to our business. We cannot assure you that any future issued patents will afford sufficient protection of our product candidates or their intended uses against competitors, nor can we assure you that the patents issued will not be infringed, designed around or invalidated by third parties, or that we can effectively prevent others from commercializing competitive technologies, products or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Obtaining and enforcing patents is expensive and time-consuming, and we may not be able to file, prosecute, maintain, enforce or license all necessary or desirable patent applications or maintain or enforce patents that may issue based on our patent applications, at a reasonable cost or in a timely manner. Public disclosures by us or third parties may preclude our ability to obtain or maintain patent applications and patents. It is also possible that we will fail to identify patentable aspects of our research and development results before it is too late to obtain patent protection. Although we enter into non-disclosure and confidentiality agreements with parties who have access to confidential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technologies or product candidates. We may also depend on current or future collaborators or licensors to take necessary action to comply with patent protection requirements with respect to any licensed intellectual property. Noncompliance with such requirements could result in abandonment or lapse of the patent or patent application, resulting in partial or complete loss of patent rights in the relevant jurisdiction.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Composition of matter patents for biological and pharmaceutical product candidates often provide a strong form of intellectual property protection for those types of products, as such patents provide protection without regard to any method of use. However, we cannot be certain that the claims in our pending patent applications directed to composition of matter of our product candidates will be considered patentable by the United States Patent and Trademark Office, or the USPTO, or by patent offices in foreign countries, or that the claims in any of our issued patents will be considered valid and enforceable by courts in the United States or foreign countries. Method of use patents protect the use of a product for the methods claimed in the patents. This type of patent does not prevent a competitor from making and marketing a product that is identical to our product candidates for an indication that is outside the scope of the patented method. Moreover, even if competitors do not actively promote their product for our patented indications, clinicians may prescribe these products “off-label.” Although off-label prescriptions may infringe or contribute to the infringement of method of use patents, the practice is common and such infringement is difficult to prevent or prosecute.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patent position of biopharmaceutical companies generally is highly uncertain, involves complex legal and factual questions and has in recent years been the subject of much litigation, resulting in court decisions, including U.S. Supreme Court decisions, which have increased uncertainty as to the ability to enforce patent rights in the future. As a result, the issuance, scope, validity, enforceability and commercial value of any patent rights are highly uncertain. Our pending and future owned or in-licensed patent applications may not result in patents being issued that protect our technologies or product candidates, effectively prevent others from commercializing our technologies or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patent application process is subject to numerous risks and uncertainties, and there can be no assurance that we (or any collaborators or licensors) will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If a third party can establish that we were not the first to make or the first to file for patent protection of such inventions, our owned or licensed patent applications may not issue as patents and even if issued, may be challenged and invalidated or rendered unenforceable. As a result, the issuance, inventorship, scope, validity, enforceability and commercial value of our patent rights are highly uncertain.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issuance of a patent is not conclusive as to its inventorship, scope, validity or enforceability and our pending patent applications, and those of any collaborators or licensors, may be challenged in the USPTO or patent offices abroad.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our issued patents may be subject to post-grant review, or PGR, proceedings, oppositions, derivations, reexaminations, interferences, inter partes review, or IPR, proceedings or other similar proceedings, in the United States or elsewhere, challenging our patent rights or the patent rights of others. Such submissions may also be made prior to a patent’s issuance, precluding the granting of a patent based on one or more of our owned or licensed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 third party may also claim that our current or future owned or licensed patent rights are invalid or unenforceable in a litigation. The outcome following legal assertions of invalidity and unenforceability is unpredictable. An adverse result in any legal proceeding could put one or more of our current or future owned or in-licensed patents at risk of being invalidated or interpreted narrowly and could allow third parties to commercialize our products and compete directly with us, without payment to us.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given the amount of time required for the development, testing and regulatory review of new product candidates, patents protecting such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also rely upon a combination of trade secrets, know-how and confidentiality agreements to protect the intellectual property related to our product candidates and technologies and to prevent third parties from copying and surpassing our achievements, thus eroding our competitive position in our market.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cannot ensure that patent rights relating to inventions described and claimed in our pending patent applications will issue, or that patents that issue in the future will not be challenged and rendered invalid or unenforceable.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patent application process is subject to numerous risks and uncertainties, and there can be no assurance that we or any of our potential future collaborators will be successful in protecting our product candidates by obtaining and defending patents. We have several patent applications in our portfolio; however, we cannot predict:</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and when patents may issue based on our patent applications;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of protection of any patent issuing based on our patent applications;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whether the claims of any issued patent will provide protection against competitors;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whether or not third parties will find ways to invalidate or circumvent our patent rights;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whether we will need to initiate litigation or administrative proceedings to enforce and/or defend our patent rights which will be costly whether we win or lose; or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whether the patent applications will result in issued patents with claims that cover each of our product candidates or uses thereof in the United States or in other foreign countries.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may be subject to a third-party pre-issuance submission of prior art to the USPTO or become involved in PGR procedures, oppositions, derivations, revocation, reexaminations, IPR or derivation proceedings, in the United States or elsewhere, challenging our patent rights or the patent rights of others. An adverse determination in any such challenge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 Furthermore, if the breadth or strength of protection provided by our patents and patent applications is threatened, regardless of the outcome, it could dissuade companies from collaborating with us to license, develop or commercialize current or future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may rely on more than one patent to provide multiple layers of patent protection for our product candidates. If the latest-expiring patent is invalidated or held unenforceable, in whole or in part, the overall protection for the product candidate may be adversely affected. For example, if the latest-expiring patent is invalidated, the overall patent term for our product candidate could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pending and future patent applications may not result in patents being issued that protect our product candidates, in whole or in part, or which effectively prevent others from commercializing competitive products.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Assuming the other requirements for patentability are met, currently, the first to file a patent application is generally entitled to the patent. Because patent applications in the United States and most other countries are confidential for a period of time after filing, and some remain so until issued, we cannot be certain that we were the first to file any patent application related to our product candidates. Further, in cases where a particular compound of interest is in the public domain, third parties may be able to obtain patents on improvements or other inventions relating to such compound if they were to discover the same patentable inventions relating to such compounds after us but manage to file a patent application before we do. In addition, we may enter into non-disclosure and confidentiality agreements with parties who have access to confidential or patentable aspects of our research and development output, including any polymorphs and variants, such as our employees, collaborators, consultants, advisors and other third parties; however, any of these parties may breach the agreements and disclose such output before a patent application is filed, thereby jeopardizing our ability to obtain patent protection. Furthermore, if third parties have filed patent applications related to our product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candidates or technology, a derivation proceeding in the United States can be initiated by a third party to determine who invented any of the subject matter covered by the claims of our patent applications. Therefore, we cannot be certain that we were the first to make the inventions claimed in our patents or pending patent applications, or that we were the first to file for patent protection of such inventions.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ours. Our competitors and other third parties may also seek approval to market their own products similar to or otherwise competitive with our products. Alternatively, our competitors or other third parties may seek to market generic or biosimilar versions of any approved products and, in so doing, claim that future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may find that our competitors are competing in a non-infringing manner. Thus, even if we have valid and enforceable patents, these patents still may not provide protection against competing products or processes sufficient to achieve our business objectives.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Moreover, some of our patents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not be successful in obtaining or maintaining necessary rights to develop current and any future product candidates on acceptable terms.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Because some of our programs may involve additional product candidates that may require the use of proprietary rights held by third parties, the growth of our business may depend in part on our ability to acquire, in-license or use these proprietary rights. Our product candidates also may require specific formulations to work effectively and efficiently and these rights may be held by others.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expenses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we may have limited control over the maintenance and prosecution of any current or future in-licensed intellectual property. A licensor may not successfully prosecute any patent applications to which we are licensed in a manner consistent with the best interests of our business. We may also have limited control over the manner in which any licensor initiates an infringement proceeding against a third-party infringer or defends any intellectual property that is licensed to us. It is possible that a licensor’s infringement proceeding or defense activities may be less vigorous than those we would have conducted ourselves. We may also enter into future license agreements under which we are a sub-licensee. If any sub-licensor fails to comply with its obligations under its upstream license agreement with its licensor, the licensor may have the right to terminate the upstream license, which could terminate the sub-license. If this were to occur, we would no longer have rights to the applicable intellectual property unless we are able to secure our own direct license with the owner of the relevant rights, which we may not be able to do on reasonable terms, or at all.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Additionally, we sometimes collaborate with academic institutions and governmental authorities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financial condition, results of operations and prospects could be adversely affected.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licensing and acquisition of third-party intellectual property rights is a highly competitive area, and companies, which may be more established or have greater resources than we do, also may be pursuing strategies to license or acquire third-party intellectual property rights that we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Any product candidates licensed from third parties may be subject to retained rights.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Third-parties who have collaborated with us by contributing intellectual property or with whom we may collaborate with or license intellectual property from in the future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may also at times choose to collaborate with academic institutions to accelerate our preclinical research or development. The United States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not identify relevant third-party patents or may incorrectly interpret the relevance, scope or expiration of a third-party patent, which might adversely affect our ability to develop and market our product candidates. We may infringe the intellectual property rights of others, which may prevent or delay our drug development efforts and prevent us from commercializing, or increase the costs of commercializing, our products.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technologies or product candidates or will prevent, limit or otherwise interfere with our ability to make, use or sell our technologies and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scope of a patent claim in the United States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 party’s pending application will issue with claims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commercial success depends significantly on our ability to operate without infringing the patents and other intellectual property rights of third parties. For example, there could be issued patents of which we are not aware that our current or potential future product candidates infringe. There also could be patents that we believe we do not infringe but that we may ultimately be found to infringe. Competitors may file continuing patent applications claiming priority to already issued patents in the form of continuation, divisional or continuation-in-part applications, in order to maintain the pendency of a patent family and attempt to cover our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Third parties may assert that we are employing their proprietary technology without authorization and may sue us for patent or other intellectual property infringement. These lawsuits are costly and could adversely affect our business, financial condition, results of operations and prospects and divert the attention of managerial and scientific personnel. If we are sued for patent infringement, we would need to demonstrate that our product candidates, potential products or methods either do not infringe the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 If a court holds that any third-party patents are valid, enforceable and cover our products or their use, the holders of any of these patents may be able to block our ability to commercialize our products unless we acquire or obtain a license under the applicable patents or until the patents expire.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cannot provide any assurances that third-party patents and other intellectual property rights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or other forms of compensation to third parties, which could be significant. We may not be able to enter into licensing arrangements or make other arrangements at a reasonable cost or on reasonable terms, or at all. Any inability to secure licenses or alternative technology could result in delays in the introduction of our products or lead to prohibition of the manufacture or sale of products by us.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and adversely affect our business, financial condition, results of operations and prospects. Any claims by third parties that we have misappropriated their confidential information or trade secrets could have a similar material and adverse effect on our business, financial condition, results of operations and prospects. In addition, any uncertainties resulting from the initiation and continuation of any litigation could have a material adverse effect on our ability to raise the funds necessary to continue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be involved in lawsuits to protect or enforce our patents or other intellectual property, which could be expensive, time-consuming and unsuccessful.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Competitors or other third parties may infringe our patents, trademarks or other intellectual property, or those of our collaborators or licensing partners.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In addition, the U.S. Supreme Court recently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Our future owned or in-licensed patents may be subject to challenge and subsequent invalidation or significant narrowing of claim scope in proceedings before the USPTO, or during litigation, under the revised criteria, which also could make it more difficult to obtain patents.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may not be able to detect infringement against our future owned or in-licensed patents, as the case may be, which may be especially difficult for manufacturing processes or formulation patents. Even if we detect infringement by a third party of our future owned or in-licensed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future owned or in-licensed patents, as the case may be, against such third party.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another party questions the patentability of any of our claims in our future owned or in-licensed U.S. patents, the third party can request that the USPTO review the patent claims such as in an IPR, ex parte re-exam or PGR proceeding. These proceedings are expensive and may result in a loss of scope of some claims or a loss of the entire patent. In addition to potential USPTO proceedings, we may become a party to patent opposition proceedings at the European Patent Office or similar proceedings in other foreign patent offices, where either our future owned or in-licensed foreign patents are challenged.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the future, we may be involved in similar proceedings challenging the patent rights of others, and the outcome of such proceedings is highly uncertain. An adverse determination in any such proceeding may result in our inability to manufacture or commercialize products without infringing third-party patent rights. The costs of these opposition or similar proceedings could be substantial and may result in a loss of scope of some claims or a loss of the entire patent. Even if we ultimately prevail in any such claims or proceedings, the monetary cost of such litigation and the diversion of the attention of our management and scientific personnel could outweigh any benefit we receive as a result of the claims or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become subject to claims challenging the inventorship or ownership of our patents and other intellectual property or claims asserting that our employees, consultants or advisors have wrongfully used or disclosed alleged trade secrets of their current or former employers.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may be subject to claims that former employees, collaborators or other third parties have an interest in our patents or other intellectual property, or those of our collaborators or licensors, as an inventor or co-inventor. The failure to name the proper inventors on a patent application can result in the patents issuing thereon being unenforceable or invalid.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property. Such an outcome could adversely affect our business, financial condition, results of operations and prospects. Even if we are successful in defending against such claims, litigation could result in substantial costs and be a distraction to management and other employees.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Even if we are successful in defending against such claims, litigation could result in substantial costs and be a distraction to management.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light of the advent of AI-assisted inventions, it is possible third parties could challenge our future patents as invalid for lack of a human inventor. The law regarding AI-assisted inventions and inventorship is evolving rapidly and allegations of improper inventorship of our AI-assisted inventions could pose a challenge to the validity and/or enforceability of our future patents throughout the world.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Patent terms may be inadequate to protect our competitive position on products or product candidates for an adequate amount of time. If we do not obtain patent term extension for our product candidates, our business may be materially harmed.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any patents we may own or license may not provide us with sufficient and continuing rights to exclude others from commercializing products similar or identical to ours.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Depending upon the timing, duration and specifics of any FDA marketing approval of any of our product candidates, any issued U.S. patents that we may own in the future may be eligible for limited patent term restoration, or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an approved method for using it or a method for manufacturing it may be extended. Similar patent term restoration provisions to compensate for commercialization delay caused by regulatory review are also available in certain foreign jurisdictions, such as in Europe under a Supplemental Protection Certificate.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rely on our outside counsel to pay these fees due to the USPTO and non-U.S. governmental patent agencies. The USPTO and various non-U.S. governmental patent agencies require compliance with a number of procedural, documentary, fee payment and other similar provisions during the patent application process. We employ reputable law firms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Changes in patent law in the United States and other jurisdictions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or the AIA, signed into law on September 16, 2011, could increase those uncertainties and costs surrounding the prosecution of our patent applications and the enforcement or defense of our future issued patents. The AIA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 xml:space="preserve">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and patents that we might obtain in the future. For example, in the case, </w:t>
      </w:r>
      <w:r>
        <w:rPr>
          <w:rFonts w:ascii="Arial" w:hAnsi="Arial"/>
          <w:i/>
          <w:color w:val="000000"/>
          <w:sz w:val="20"/>
        </w:rPr>
        <w:t>Assoc. for Molecular Pathology v. Myriad Genetics, Inc.</w:t>
      </w:r>
      <w:r>
        <w:rPr>
          <w:rFonts w:ascii="Arial" w:hAnsi="Arial"/>
          <w:color w:val="000000"/>
          <w:sz w:val="20"/>
        </w:rPr>
        <w:t xml:space="preserve">, the U.S. Supreme Court held that claims to certain DNA molecules are not patentable. In </w:t>
      </w:r>
      <w:r>
        <w:rPr>
          <w:rFonts w:ascii="Arial" w:hAnsi="Arial"/>
          <w:i/>
          <w:color w:val="000000"/>
          <w:sz w:val="20"/>
        </w:rPr>
        <w:t>Amgen Inc. v. Sanofi</w:t>
      </w:r>
      <w:r>
        <w:rPr>
          <w:rFonts w:ascii="Arial" w:hAnsi="Arial"/>
          <w:color w:val="000000"/>
          <w:sz w:val="20"/>
        </w:rPr>
        <w:t>, the Federal Circuit held that claims with functional language may pose high hurdles in fulfilling the enablement requirement. 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in June 2023, a new Unitary Patent system was introduced, which significantly impacts European patents, including those granted before the introduction of the system. Under the Unitary Patent system, after a European patent is granted, the default is that the patent will be a part of the Unitary Patent system, thereby resulting in a Unitary Patent having unitary effect; the patent proprietor, however, can, in some instances, opt out of the Unitary Patent system and opt for the traditional state-by-state national validation instead. Each Unitary Patent is subject to the jurisdiction of the Unitary Patent Court, or UPC. As the UPC is a new court system, there is little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to the protection afforded by patents, we rely on trade secret protection and confidentiality agreements to protect proprietary information and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or information. If a competitor independently develops a technology that we protect as a trade secret and files a patent application on that technology, then we may not be able to patent that technology in the future and we may require a license from the competitor to use our own technology or know-how. If the license is not available on commercially viable terms, then we may not be able to launch our product candidate. 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If our trade secrets are not adequately protected, our business, financial condition, results of operations and prospects could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If our trademarks and trade names are not adequately protected, then we may not be able to build brand and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registered or unregistered trademarks or trade names may be challenged, infringed, circumvented, declared merely descriptive or generic or determined to be infringing on other marks. The use of our registered and unregistered marks may also be limited by certain agreements with third parties. During trademark registration proceedings, we may receive rejections of our applications by the USPTO or in other foreign jurisdictions. Although we are given an opportunity to respond to those rejections, we may be unable to overcome them. In addition, in the USPTO and in comparable agencies in many foreign jurisdictions, third parties are given an opportunity to oppose pending trademark applications and to seek to cancel registered trademarks. In the USPTO, cancellation proceedings may be filed against our trademarks, once registered, which may result in our trademarks not surviving those proceedings. In foreign jurisdictions,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may not be able to protect our rights to these trademarks and trade names, which we need to build brand and name recognition among potential partners or future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brand and name recognition based on our trademarks and trade names, then we may not be able to compete effectively and our business may be adversely affected. Our efforts to enforce or protect our proprietary rights related to trademarks, trade names, domain names, social media handles or other intellectual property may be ineffective and could result in substantial costs and diversion of resources and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Intellectual property rights do not necessarily address all potential threats to our business.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others may be able to develop products that are similar to our product candidates but that are not covered by the claims of our patent applications and any patents that we may own or license; </w:t>
      </w:r>
    </w:p>
    <w:p>
      <w:pPr>
        <w:pStyle w:val="TextBody"/>
        <w:bidi w:val="0"/>
        <w:spacing w:before="12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our licensors or collaborators might not have been the first to make the inventions covered by the issued patents or patent application that we may own or license;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or our licensors or collaborators might not have been the first to file patent applications covering certain of our inventions;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it is possible that the pending patent applications we own or license will not lead to issued patents;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issued patents that we may own or license may be held invalid or unenforceable as a result of legal challenges by our competitors;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develop additional proprietary technologies that are patentable;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patents of others may have an adverse effect on our business;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fail to adequately protect and police our trademarks and trade secrets;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choose not to file a patent application in order to maintain certain trade secrets or know-how, and a third party may subsequently file a patent application covering such intellectual property.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Should any of these events occur, it could significantly harm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have limited foreign intellectual property rights and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have a different scope and strength than those in the United States. Moreover, obtaining this type of protection in a timely manner, or at all, may be affected by factors or events beyond our control, such as a prolonged economic downturn or global financial or political crises.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and other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Disclosure of this nature could have a material adverse effect on our business. In addition, certain countries outside of the United States have compulsory licensing laws under which a patent owner may be compelled to grant licenses to third parties. In those countries, we may have limited remedies if patents are infringed or if we are compelled to grant a license to a third party, which could materially diminish the value of those patents. In addition, many countries limit the enforceability of patents against government authorities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Risks Related to 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Even if we are able to commercialize any product candidates, those products may become subject to unfavorable pricing regulations, third-party reimbursement practices or healthcare reform initiatives, which could harm our business.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regulations that govern marketing approvals, pricing and reimbursement for new drug products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are able to generate from the sale of the product in that particular country. Adverse pricing limitations may hinder our ability to recoup our investment in one or more product candidates, even if our product candidates obtain marketing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Coverage and reimbursement may be limited or unavailable in certain market segments for our product candidates, if approved, which could make it difficult for us to sell any product candidates profitably.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success of our product candidates, if approved, depends on the availability of coverage and adequate reimbursement from third-party payors. We cannot be certain that coverage and reimbursement will be available for, or accurately estimate the potential revenue from, our product candidates or assure that coverage and reimbursement will continue to be available for any product that we may develop that receives coverage and adequate reimbursement from one or more third-party payors. Patients who are provided medical treatment for their conditions generally rely on third-party payors to reimburse all or part of the costs associated with their treatment. Accordingly, coverage and adequate reimbursement from governmental healthcare programs, such as Medicare and Medicaid, and commercial payors is critical to new product acceptance.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Government authorities and third-party payors, such as private health insurers and health maintenance organizations, decide which drugs and treatments they will cover and the amount of reimbursement. These groups have attempted to control costs by limiting coverage and the amount of reimbursement for particular medications. Coverage and reimbursement by a third-party payor may depend upon a number of factors, including the third-party payor’s determination that use of a product is:</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covered benefit under its health plan;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safe, effective and medically necessary;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appropriate for the specific patient;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cost-effective;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neither experimental nor investigational.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Patients are unlikely to use our product candidates unless coverage is provided and reimbursement is adequate to cover a significant portion of the cost of our product candidates. There is significant uncertainty related to third-party payor coverage and reimbursement of newly approved products. It is difficult to predict at this time what third-party payors will decide with respect to the coverage and reimbursement for our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Specifically, the Centers for Medicare &amp; Medicaid Services, or CMS, imposes rebates on many Medicare Part B and Medicare Part D products to penalize price increases that outpace inflation on an annual basis. The Department of Health and Human Services, or HHS, has also been empowered to negotiate the price of certain single-source drugs that have been on the market for at least seven years and single-source biologics that have been on the market for at least 11 years covered under Medicare as part of the Medicare Drug Price Negotiation Program. Each year, up to 20 products will be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selected by HHS for the Medicare Drug Price Negotiation Program. Products subject to the Medicare Drug Price Negotiation Program are expected to experience a significant reduction in reimbursement from the Medicare program, and potential negative pricing effects in other market channels, on a per unit basis.</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marketing cost disclosure, transparency measures and other measures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Additionally,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related to research and development, manufacturing and sale and distribution efforts.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expect to experience pricing pressures in connection with the sale of all of our product candidates due to the trend toward managed healthcare, the increasing influence of health maintenance organizations, cost containment initiatives and additional legislative changes. Net prices for drugs may be reduced by mandatory discounts or rebates required by government healthcare programs or third-party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relationships with healthcare providers and physicians and third-party payors may be subject to applicable anti-kickback, fraud and abuse and other healthcare laws and regulations, which could expose us to criminal sanctions, civil penalties, contractual damages, reputational harm and diminished profits and future earnings.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Healthcare providers, physicians and third-party payors in the United States and elsewhere play a primary role in the recommendation and prescription of pharmaceutical products. Any arrangements we may have with healthcare providers, third-party payors and customers can expose us to broadly applicable fraud and abuse and other healthcare laws and regulations. Such laws and regulations may constrain the business or financial arrangements and relationships through which we research and, if approved, sell, market and distribute our product candidates. In particular, the research of our product candidates, as well as the promotion, sales, marketing and business arrangements of our product candidates, is subject to extensive laws designed to prevent fraud, misconduct, kickbacks, self-dealing and other abusive practices. These laws and regulations may restrict or prohibit a wide range of pricing, discounting, marketing and promotion, sales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serious harm to our reputation. The applicable federal, state and foreign healthcare laws and regulations that may affect our ability to operate include, but are not limited to:</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federal Anti-Kickback Statute, which prohibits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federal Anti-Kickback Statute has been interpreted to apply to arrangements between pharmaceutical manufacturers on the one hand and prescribers, purchasers and formulary managers on the other;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federal civil and criminal false claims laws, including the FCA, which prohibit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w:t>
      </w:r>
    </w:p>
    <w:p>
      <w:pPr>
        <w:pStyle w:val="TextBody"/>
        <w:bidi w:val="0"/>
        <w:spacing w:before="12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619" w:right="0" w:hanging="0"/>
        <w:jc w:val="left"/>
        <w:rPr/>
      </w:pPr>
      <w:r>
        <w:rPr>
          <w:rFonts w:ascii="Arial" w:hAnsi="Arial"/>
          <w:color w:val="000000"/>
          <w:sz w:val="20"/>
        </w:rPr>
        <w:t>to the federal government, or knowingly and improperly avoiding or decreasing or concealing an obligation to pay money to the federal government. Manufacturers can be held liable under the FCA even when they do not submit claims directly to government healthcare programs if they are deemed to “cause” the submission of false or fraudulent claims. In addition,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r>
        <w:rPr>
          <w:color w:val="00000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the healthcare fraud statute under HIPAA without actual knowledge of the statute or specific intent to violate it;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furthermore, HIPAA, as amended by the Health Information Technology for Economic and Clinical Health Act, or HITECH, and their respective implementing regulations, also imposes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civil monetary penalties statute,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federal price reporting laws, which require manufacturers to calculate and report complex pricing metrics to government programs that may be used in the calculation of reimbursement or discounts on approved products;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federal Physician Payments Sunshine Act and its implementing regulations, which require some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certain non-physician practitioners (such as physician assistants and nurse practitioners) and teaching hospitals, as well as ownership and investment interests held by physicians and their immediate family members;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analogous state and foreign laws and regulations, such as state anti-kickback and false claims laws, which may apply to claims involving healthcare items or services reimbursed by non-governmental third-party payors, including private insurers, and may be broader in scope than their federal equivalents;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state and local laws that require the registration of pharmaceutical sales representatives.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distribution of pharmaceutical products is subject to additional requirements and regulations, including extensive licensing, record keeping, storage and security requirements intended to prevent the unauthorized sale of pharmaceutical products.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scope and enforcement of each of these laws is uncertain and subject to rapid change in the current environment of healthcare reform. Federal, state and foreign enforcement bodies have recently increased their scrutiny of interactions between healthcare companies and healthcare providers, which has led to a number of investigations, prosecutions, convictions, significant fines and penalties and settlements in the healthcare industry. Ensuring that business arrangements comply with applicable healthcare laws, as well as responding to possible investigations by government authorities, can be time- and resource-consuming and may divert our management’s attention from the operation of our business.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us to incur significant legal expenses and divert management’s attention from the operation of our business. Prohibitions or restrictions on sales or withdrawal of future marketed products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attempt to seek approval from the FDA for one or more of our product candidates through the use of the accelerated approval pathway. If we are unable to obtain accelerated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We may in the future seek an accelerated approval for one or more of our product candidates. Under the accelerated approval pathway, the FDA may approve a product candidate for a serious or life-threatening disease or condition with unmet medical need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Products granted accelerated approval are subject to certain post-marketing requirements, which typically include a requirement to conduct one or more post-approval studies to confirm the clinical benefit of the product. In addition, during the pre-approval review period, FDA regulations require that sponsors of products granted accelerated approval submit copies of all promotional materials intended to be used within 120 days following marketing approval. After 120 days following marketing approval, unless otherwise informed by the FDA, the sponsor must submit all promotional materials at least 30 days prior to use. There can be no assurance that we will be able to use the accelerated approval pathway or any other form of expedited development, review or approval for any of our product candidates. For example, the FDA may not agree with our conclusion that an endpoint we select is reasonably likely to predict clinical benefit, and thus the FDA may not agree that accelerated approval is appropriate based on that endpoint (even if the results on that endpoint are statistically significant). Also, if any of our competitors were to receive full approval for an indication for which we are seeking accelerated approval before we receive accelerated approval for any one of our product candidates, the indication we are seeking may no longer qualify as a condition for which there is an unmet medical need, and our product candidate may become ineligible for accelerated approval.</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 failure to obtain accelerated approval would result in a longer time period to commercialization of such product candidate, if any, could increase the cost of development of such product candidate and could harm our competitive position in the marketplace. Even if we are able to obtain accelerated approval, if we do not complete the required post-approval studies, or if the FDA determines that the completed post-approval studies do not confirm clinical benefit, then FDA may withdraw approval of our product using expedited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seek a Breakthrough Therapy or Fast Track designation for current or future product candidates, but we might not receive such designation, and even if we do, we may not maintain such designation. Such designation may not lead to faster development, regulatory review or approval, and will not increase the likelihood that the product candidate will receive marketing approval.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may seek a Breakthrough Therapy or Fast Track designation for our current or future product candidates. A Breakthrough Therapy is defined as a drug or biologic that is intended, alone or in combination with one or more other drugs,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or biologics designated as Breakthrough Therapies by the FDA may also be eligible for priority review if supported by clinical data at the time the NDA or BLA is submitted to the FDA. The FDA also has a Fast Track program that is intended to expedite or facilitate the process for reviewing new drugs and biological products that meet certain criteria. New drugs and biological products are eligible for Fast Track designation if they are intended to treat a serious or life-threatening condition and preclinical or clinical data demonstrate the potential to address unmet medical needs for the disease or condition. Fast Track designation applies to the combination of the product and the specific indication for which it is being studied.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FDA has broad discretion as to whether or not to grant Breakthrough Therapy or Fast Track designation to any product candidate. Accordingly, even if we believe that a product candidate meets the criteria for designation as a Breakthrough Therapy or a Fast Track designation, the FDA may disagree and instead determine not to make such a designation. Even if we receive a Breakthrough Therapy or Fast Track designation, the receipt of that designation may not result in a faster development or regulatory review or approval process compared to drugs considered for approval under conventional FDA procedures and does not assure ultimate approval by the FDA. In addition, even if a product candidate qualifies as a Breakthrough Therapy or for the Fast Track program, the FDA may later decide that it no longer meets the conditions for qualification or decide that the time period for FDA review or approval will not be shortened. The failure to obtain a Breakthrough Therapy or Fast Track designation for any product candidates we may develop, or the inability to maintain that designation for the duration of the applicable period, could reduce our ability to make sufficient sales of the applicable product candidate to balance our expenses incurred to develop it, which would have a negative impact on our operational results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Recently enacted legislation, future legislation and other healthcare reform measures may increase the difficulty and cost for us to obtain marketing approval for and commercialize our product candidates and may affect the prices we may set.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For example, in March 2010, the Patient Protection and Affordable Care Act, as amended by the Health Care and Education Reconciliation Act, or, collectively, the ACA, was enacted in the United States, which substantially changed the way healthcare is financed by both governmental and private insurers in the United States and significantly affected the pharmaceutical industry.</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In addition, 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 Further,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pStyle w:val="TextBody"/>
        <w:bidi w:val="0"/>
        <w:spacing w:before="120" w:after="283"/>
        <w:ind w:left="0" w:right="0" w:firstLine="619"/>
        <w:jc w:val="left"/>
        <w:rPr>
          <w:rFonts w:ascii="Arial" w:hAnsi="Arial"/>
          <w:color w:val="000000"/>
          <w:sz w:val="20"/>
        </w:rPr>
      </w:pPr>
      <w:r>
        <w:rPr>
          <w:rFonts w:ascii="Arial" w:hAnsi="Arial"/>
          <w:color w:val="000000"/>
          <w:sz w:val="20"/>
        </w:rPr>
        <w:t>The current administration is pursuing policies to reduce regulations and expenditures across government agencies including at HHS, the FDA, CMS and related agencies. These actions, presently directed by executive orders, memoranda or proposed rules from the Office of Management and Budget, may propose policy changes that create additional uncertainty for our business. For example, the current administration has announced agreements with several pharmaceutical companies that require the drug manufacturers to offer Most-Favored Nation pricing equal to or lower than those paid in other developed nations for certain prescription drugs under Medicaid and for certain newly launched products across all market channels in the U.S., with additional mandates for direct-to-patient discounts through a direct to consumer platform, or TrumpRx, and repatriation of certain foreign revenues. In late 2025, HHS proposed three payment models that would test MFN pricing in Medicaid, Medicare Part D, and Medicare Part B. On November 6, 2025, CMS announced the “GENErating cost Reductions fOr U.S.”, or GENEROUS, model under which manufacturers can provide MFN pricing to state Medicaid agencies on a voluntary basis. On December 19, 2025, CMS published proposed rules for two mandatory drug pricing models for Medicare: the “GlobalBenchmark for Efficient Drug Pricing”, or GLOBE, model for products payable under Medicare Part B and the “GuardingU.S. Medicare Against Rising Drug Costs”, or GUARD, model for products covered under Medicare Part D. If GLOBE and GUARD are finalized, pharmaceutical manufacturers would be required to pay MFN-based rebates on eligible products for 25% of eligible Medicare beneficiaries during the applicable testing period.</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the current administration has taken other action that could affect our business such as (1) directing agencies to reduce agency workforce and cut programs; (2) directing HHS and other agencies to lower prescription drug costs through a variety of initiatives; (3) considering the imposition of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 xml:space="preserve">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w:t>
      </w:r>
      <w:r>
        <w:rPr>
          <w:rFonts w:ascii="Arial" w:hAnsi="Arial"/>
          <w:i/>
          <w:color w:val="000000"/>
          <w:sz w:val="20"/>
        </w:rPr>
        <w:t>Loper Bright</w:t>
      </w:r>
      <w:r>
        <w:rPr>
          <w:rFonts w:ascii="Times New Roman" w:hAnsi="Times New Roman"/>
          <w:color w:val="000000"/>
          <w:sz w:val="20"/>
        </w:rPr>
        <w:t xml:space="preserve"> </w:t>
      </w:r>
      <w:r>
        <w:rPr>
          <w:rFonts w:ascii="Arial" w:hAnsi="Arial"/>
          <w:color w:val="000000"/>
          <w:sz w:val="20"/>
        </w:rPr>
        <w:t>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expect these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It is unclear what impact, if any, the current presidential administration may have on such measures.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Even if we receive marketing approval for our current or future product candidates in the United States, we may never receive regulatory approval to market our product candidates outside of the United States.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plan to seek regulatory approval of our current or future product candidates outside of the United States in the future.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foreign regulatory approvals and compliance with foreign regulatory requirements could result in significant delays, difficulties and costs for us and could delay or prevent the introduction of any of our product candidates in certain countries. Regulatory and marketing approval in one country does not ensure regulatory and marketing approval in another, but a failure or delay in obtaining regulatory and marketing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The U.S. Congress, the current presidential administration or any new administration may make substantial changes to fiscal, tax, healthcare, trade and other federal policies that may adversely affect our business.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Changes to U.S. policy implemented by the U.S. Congress and new presidential administrations, including the current administration, have impacted and will in the future impact, among other things, the U.S. and global economy, international trade relations, unemployment, immigration, healthcare, taxation, the U.S. regulatory environment, inflation and other areas. For example, since the newest presidential administration has taken office, it has taken significant steps to, among other things, freeze some federal funding and reduce the size of the federal workforce. In addition, the current presidential administration has announced new tariffs on imported materials and goods from certain foreign countries, including Canada, Mexico and China. It is not possible to predict the outcome of this congressional, executive or regulatory activity, any of which could adversely affect us. Similarly, we cannot predict whether pending or future federal or state legislation or court proceedings will change various aspects of current government programs, nor can we predict the impact any changes of this nature will have on our business operations or financial results, but the effects could be materially adverse. In addition, changes in the leadership of the FDA and other federal agencies under the current presidential administration may result in changes in the funding, operations and policies of the FDA and other federal agencies, which may negatively impact, among other things, our clinical development plans, timelines and the cost of product development.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The increasing use of social media platforms presents new risks and challenges.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Social media is increasingly being used to communicate about clinical development programs and the diseases our product candidates are being developed to treat. We may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disclosures of this nature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subject to U.S. and foreign anti-corruption, anti-money laundering, export control, sanctions and other trade laws and regulations, which are collectively referred to as Trade Laws. Anti-corruption laws generally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expect our non-U.S. activities to increase over time, including the engagement of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If we expand our operations outside of the United States, we must dedicate additional resources to comply with numerous laws and regulations in each jurisdiction in which we plan to operate. The FCPA prohibits any U.S. persons, as well as their employees, agents and other collaborators, from paying, offering, authorizing payment or offering of anything of value, directly or indirectly, to any foreign official, political party or candidate and other related parties for the purpose of influencing any act or decision of the foreign entity or to obtain, retain, or direct business. The FCPA also obligates companies whose securities are publicly listed in the United States to comply with certain accounting provisions requiring the company to maintain books and records that accurately and fairly reflect all of the company’s transactions, including those of its international subsidiaries, and to devise and maintain an adequate system of internal accounting controls for international operations.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Export control and economic sanctions laws may restrict, or even prohibit, the provision of certain items, technology and services to countries, governments and persons targeted by sanctions programs. Governmental regulation of the import or export of our product candidates, or our failure to obtain any required import or export authorization for our product candidates, when applicable, could harm our operations.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research and development costs.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failure to comply with Trade Laws may result in substantial civil and criminal fines and penalties, imprisonment, the loss of trade privileges, suspension or debarment from government contracting, reputational harm and other consequences. The Securities and Exchange Commission, or the SEC, also may suspend or bar issuers from trading securities on U.S. exchanges for violations of the FCPA’s accounting provisions.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If we fail to comply with environmental, health and safety laws and regulations, we could become subject to fines or penalties or incur costs that could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risk of contamination or injury from these materials, which could cause an interruption of our future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used by our third-party manufacturers for handling and disposing of these materials generally comply with the standards prescribed by these laws and regulations, this may not be the case, and we may not eliminate the risk of accidental contamination or injury from these materials. In such an event, we may be held liable for any resulting damages and such liability could exceed our resources and state, federal or other applicable authorities may curtail our use of certain materials or interrupt our business operations. Furthermore, environmental laws and regulations are complex, change frequently and have tended to become more stringent. We cannot predict the impact of such changes or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Further, the current presidential administration has undertaken efforts to reduce the size and spending of the federal government. As part of this initiative, the administration has taken action aimed at reducing the workforce of the federal government and eliminating other expenditures, such as facility leases used by the federal government and its component agencies. While these and other actions taken by the current presidential administration could be viewed as a part of a larger goal of de-regulation, a consequence of these developments and other actions taken by the current presidential administration generally could be reduced resources, employees and contractors at the FDA. In addition, these efforts have led to a number of experienced government officials being fired, resigning from or otherwise departing government service, including many with significant institutional knowledge.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Disruptions at the FDA and other agencies may also slow the time necessary for new drugs to be reviewed or approved by necessary government agencies, which would adversely affect our business, financial condition, results of operations and prospects. For example, over the last several years, the U.S. government has shut down several times, including most recently for an extended period in 2025, and certain regulatory agencies, such as the FDA, have had to furlough critical employees and stop critical activities. If another prolonged government shutdown occurs or there are other changes which limit the FDA’s ability to perform its necessary activities in a timely manner, it could significantly impact the ability of the FDA to timely review and process our regulatory submissions, which could have a material adverse effect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Risks Related to Data Privacy and Information Security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If our information technology systems, or those used by our CROs, CMOs, clinical sites or other vendors, contractors or consultants with whom we work, or our data, are or were compromised, we could experience adverse consequences resulting from such compromise, including but not limited to regulatory investigations or action, litigation, fines and penalties, disruptions of our business operations, reputational harm and other adverse consequences.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the ordinary course of our business, we, and the third parties with whom we work, collect, receive, store, process, generate, use, transfer, disclose, make accessible, protect, secure, dispose of, transmit and share, which we collectively refer to as process, personal data and other sensitive information, including proprietary and confidential business data, trade secrets, intellectual property, data we collect about trial participants in connection with clinical trials, sensitive third-party data, business plans, transactions and financial information, which we collectively refer to as sensitive data. As a result, we and the third parties with whom we work face a variety of evolving threats that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information technology systems and those of our CROs, CMOs, clinical sites and other vendors, contractors and consultants with whom we work are vulnerable to cyberattacks, computer viruses, bugs, worms or other malicious codes, malware (including as a result of advanced persistent threat intrusions) and other attacks by computer hackers, brute force attacks, application security attacks, social engineering (including through deep fakes, which may be increasingly more difficult to identify as fake, and phishing attacks), supply chain attacks and vulnerabilities through our third-party service providers, denial-of-service attacks, credential stuffing, credential harvesting, personnel misconduct or error, supply-chain attacks, software bugs, server malfunctions, software or hardware failures, loss of data or other information technology assets, adware, attacks facilitated or enhanced by AI, telecommunications failures, earthquakes, fires, floods and other similar threats. Remote work has increased these risks to our information technology systems and sensitive data, as our employees utilize network connections, computers and devices outside our premises or network, including working at home, while in transit, and in public locations.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These types of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In particular, ransomware attacks, including those from organized criminal threat actors, nation-states and nation-state-supported actors, are becoming increasingly prevalent and severe and can lead to significant interruptions, delays or outages in our operations, loss of sensitive data, loss of income, significant extra expenses to restore data or systems, reputational loss and the diversion of funds. To alleviate the negative impact of a ransomware attack, it may be preferable to make extortion payments, but we may be unwilling or unable to do so (including, for example, if applicable laws or regulations prohibit such payments).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During times of war and other major conflicts, we and the third parties with whom we work may be vulnerable to a heightened risk of attacks for geopolitical reasons, including retaliatory cyberattacks, that could materially disrupt our systems and operations, supply chain and ability to continue our research and development efforts or produce, sell and distribute our product candidates, if approved. For example, certain third parties with whom we work to support our business are located in potentially unstable regions and regions experiencing (or expected to experience) geopolitical or other conflicts, including Ukraine, which was attacked by Russia in February 2022 through various means, including cyberattacks. 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Furthermore, future business transactions (such as acquisitions) could expose us to additional cybersecurity risks and vulnerabilities, as our systems could be negatively affected by vulnerabilities present in the systems and technologies of any acquired entities. Additionally, we may discover security issues that were not found during due diligence of such acquired entities, and it may be difficult to integrate companies into our information technology environment and security program.</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It may be difficult 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our reliance on third-party partners could introduce new cybersecurity risks and vulnerabilities. We rely on third-party partners and technologies to operate critical business systems and to process sensitive data in a variety of contexts, including cloud-based infrastructure, encryption and authentication technology, employee email and other functions. We also rely on third-party partners to assist with our clinical trials, provide other products or services or otherwise to operate our business. Our ability to monitor these third parties’ information security practices is limited, and these third parties may not have adequate information security measures in place. If our third-party partners experience a security incident or other interruption, we could experience adverse consequences. While we may be entitled to damages if our third-party service partners fail to satisfy their privacy or security-related obligations to us, any award may be insufficient to cover our damages, or we may be unable to recover any such award. In addition, supply-chain attacks have increased in frequency and severity, and we cannot guarantee that third parties’ infrastructure in our supply chain or our third-party partners’ supply chains have not been compromised or that they do not contain exploitable defects or bugs that could result in a breach of or disruption to our information technology systems (including our services) or the third-party information technology systems that support us and our services.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We actively implement measures designed to identify, protect, detect, respond to and recover from vulnerabilities within our information systems, including those related to hardware, software and third-party providers. Despite our efforts, we have not and may not in the future detect and remediate all such vulnerabilities including on a timely basis. In some cases, we have and may in the future experience delays in developing and deploying necessary remediation measures and security patches. These undetected or unaddressed vulnerabilities could be exploited, potentially leading to security incidents, which could have a material adverse effect on our business, financial condition, results of operations and prospects. For example, we have been the target of unsuccessful phishing attempts in the past and expect such attempts will continue in the future. The introduction of AI has increased the sophistication of incoming attacks. We have introduced new tools to protect Odyssey from evolving threats that target human behavior. At times, however, threat actors evolve more rapidly than the tools meant to protect against them. As such, evolving threats pose a risk to the integrity of our data and cyber infrastructure.</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Any of the previously identified or similar threats have in the past and may in the future cause another security incident or other interruption that have in the past and may in the future result in unauthorized, unlawful or accidental acquisition, modification, destruction, loss, alteration, encryption or disclosure of, or access to, our sensitive data or our information technology systems, or those of the third parties with whom we work. A security incident or other interruption could disrupt our ability (and that of third parties with whom we work) to provide our services, including clinical trials, or continue our target discovery programs.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expended significant resources and modified our business activities (including our clinical trial activities) to try to protect against security incidents and will continue to do so. Certain data privacy and security obligations have required us to implement and maintain specific security measures or industry-standard or reasonable security measures to protect our information technology systems and sensitive data.</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costs related to significant security breaches or disruptions could be material and cause us to incur significant expenses. If the information technology systems of our CROs, CMOs, clinical sites and other vendors, contractors and consultants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any incidents of this nature were to occur and cause interruptions in our operations, it could result in a disruption of our business, operations and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incident were to result in the loss of or damage to our sensitive data or applications, or inappropriate disclosure of sensitive data, we could incur liability and the further development of any product candidates could be delayed. Applicable data privacy and security obligations may require us, or we may voluntarily choose, to notify relevant stakeholders, including affected individuals, future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or oversight, restrictions on processing sensitive data, litigation, indemnification obligations, negative publicity, reputational harm, monetary fund diversions, diversion of management attention, financial loss and other similar harms. Security incidents and material attendant consequences may negatively impact our ability to grow and operate our business and may result in a loss of confidence in us and our ability to conduct clinical trials, which could delay the clinical development of our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contracts may not always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Additionally, our sensitive data could be leaked, disclosed or revealed as a result of, or in connection with, our employees’, personnel’s or vendors’ use of generative AI and/or automated decision-making technologies.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We and the third parties with whom we work are subject to stringent and evolving U.S. and foreign laws, regulations and rules, contractual obligations, industry standards, policies and other obligations related to data privacy and security. Any actual or perceived failure to comply with these obligations could lead to government enforcement actions (which could include civil or criminal penalties), private litigation (including class claims), negative publicity or other adverse consequences that could negatively affect our operating results and business.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the ordinary course of business, we and our partners process sensitive data. As a result, we and our partners are subject to numerous data privacy and security obligations, such as various federal, state and foreign laws and regulations, guidance, industry standards, external and internal privacy and security policies, contractual requirements and other obligations relating to data privacy and security. In the United States, numerous federal, state and local governments have enacted laws and regulations, including state data breach notification laws, state health information privacy laws, federal and state consumer protection laws (e.g., Section 5 of the Federal Trade Commission Act, or the FTCA) and other similar regulations (e.g., wiretapping) that govern the processing of sensitive data, including health-related information. For example, HIPAA, as amended by HITECH, imposes specific requirements relating to the privacy, security and transmission of individually identifiable protected health information.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Even when HIPAA does not apply, according to the FTC failing to take appropriate steps to keep consumers’ personal information secure may constitute unfair acts or practices in or affecting commerce in violation of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Certain states also impose stricter requirements for processing certain personal data, including sensitive information, such as conducting data privacy impact assessments. Failure to comply with these laws, where applicable, can result in significant statutory fines. For example, the California Consumer Privacy Act of 2018, or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to recover significant statutory damages for certain data breaches, thereby potentially increasing risks associated with a data breach. The CCPA and other comprehensive U.S. state privacy laws exempt some data processed in the context of clinical trials, but these developments may further complicate compliance efforts and increase legal risk and compliance costs for us and the third parties with whom we work. Similar privacy laws are being considered at the federal level, which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 The existence of comprehensive privacy laws in different states in the country make our compliance obligations more complex and costly and may increase the likelihood that we may be subject to enforcement actions or otherwise incur liability for noncompliance.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Outside the United States, an increasing number of laws and regulations, including Australia’s Privacy Act, the European Union’s General Data Protection Regulation, or the EU GDPR, and the United Kingdom’s General Data Protection Regulation, or UK GDPR, and, together with the EU GDPR, the GDPR, also apply to our processing of sensitive data, including health-related and other personal data.</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GDPR imposes stringent requirements for processing personal data. The GDPR, together with national legislation, regulations and guidelines of the European Economic Area, or EEA, member states and the United Kingdom governing the processing of personal data, imposes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temporary or definitive bans on data processing, private litigation related to processing of personal data brought by classes of data subjects or consumer protection organizations authorized at law to represent their interests, and potential fines for noncompliance of up to €20 million (£17.5 million) or 4% of the annual global revenues of the noncompliant company, whichever is greater.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we may be unable to transfer personal data from the EEA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United Kingdom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United Kingdom to the United States in compliance with law, such as the EEA’s standard contractual clauses, the United Kingdom’s International Data Transfer Agreement / Addendum, and the EU-U.S. Data Privacy Framework, or the Framework, and the United Kingdom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Implementing mechanisms to endeavor to ensure compliance with the GDPR and relevant local legislation in EEA member states and the United Kingdom may be onerous and may interrupt or delay our development activities, and adversely affect our business, financial condition, results of operations and prospects. In addition to the foregoing, a breach of the GDPR or other applicable data privacy, data protection and security laws and regulations could result in regulatory investigations, reputational damage and orders to cease or change our use of data, enforcement notices or potential civil claims including class-action-type litigation.</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certain transactions or agreements with certain third parties in the future.</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employees and personnel use AI modeling and/or automated decision-making tools to assist in our discovery efforts and product development. The disclosure and use of personal data in AI technologies is subject to various privacy laws and other privacy obligations. Governments have passed and are likely to pass additional laws regulating generative AI and/or automated decision-making technologies. Our use of this technology could result in additional compliance costs, regulatory investigations and actions and lawsuits. If we are unable to use AI and/or automated decision-making technologies, our drug discovery efforts may be less efficient and our ability to further expand our pipeline may be impaired.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bound by other contractual obligations related to data privacy and security, and our efforts to comply with those obligations may not be successful.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publish privacy policies, marketing materials and other statements, such as compliance with certain certifications or self-regulatory principles, regarding data privacy and security. Regulators in the United States are increasingly scrutinizing these statements, and if these policies, materials or statements are found to be deficient, lacking in transparency, deceptive, misleading, unfair or misrepresentative of our practices, we may be subject to investigation, enforcement actions by regulators or other adverse consequences.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Compliance with U.S. and foreign data privacy and security laws, rules and regulations could require us to take on more onerous obligations in our contracts, require us to engage in costly compliance exercises, restrict our ability to collect, use and disclose sensitive data, or, in some cases, impact our or our partners’ or suppliers’ ability to operate in certain jurisdictions. Each of these constantly evolving laws can be subject to varying interpretations. Any actual or perceived failure to comply with U.S. and foreign data protection laws and regulations could result in government investigations and enforcement actions (which could include civil or criminal penalties), fines, private litigation or adverse publicity and could negatively affect our operating results and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rely and intend to rely in the future on third-party clinical investigators, CROs and clinical data management organizations to conduct, supervise and monitor preclinical studies and clinical trials of our current or future product candidates. Because we currently rely and intend to continue to rely on these third parties, we will have less control over the timing, quality and other aspects of preclinical studies and clinical trials than we would have if we were to conduct them independently. These parties are not, and will not be, our employees and we will have limited control over the amount of time and resources that they dedicate to our programs. Additionally, these parties may have contractual relationships with other entities (some of whom may be our competitors), which may draw time and resources from our programs. For example, we rely on CROs located or operating in China and Ukraine, among others, to conduct certain of our preclinical research and discovery activities and/or our clinical trials. It is unknown how the status of current or future U.S.-China relations or the ongoing conflict in Ukraine will affect our ability to rely on these CROs to conduct our current and future preclinical studies or clinical trials.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Securing marketing approval requires the submission of extensive preclinical and clinical data and supporting information to regulatory authorities for each indication to establish the product candidate’s safety or efficacy for that indication. Securing marketing approval also requires the submission of information about the product manufacturing process to, and inspection of manufacturing facilities and clinical trial sites by, applicable regulatory authorities.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is conducted in accordance with good laboratory practices, or GLPs, and clinical trials are conducted in accordance with GCPs.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an NDA or BLA is submitted to the FDA) of trial sponsors, clinical investigators, trial sites and certain third parties, including CROs.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regulatory authority will determine that any of our clinical trials complies with GCPs. Moreover, our business may be significantly impacted if our CROs, clinical investigators or other third parties violate federal or state healthcare fraud and abuse or false claims laws and regulations or healthcare privacy and security laws.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marketing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any of our relationships with these third parties terminate, we may not be able to enter into alternative arrangements or do so on commercially reasonable terms. Switching or adding additional contractors or vendors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regulatory approval of one or more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currently rely, and expect to continue to rely, on third-party contract developers and manufacturers to manufacture bulk drug substances, drug products, raw materials, samples, components and other materials for our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Reliance on third-party CMOs may expose us to different risks than if we were to manufacture product candidates ourselves. There can be no assurance that our preclinical and clinical development supplies will not be limited, interrupted, terminated or will be of satisfactory quality or be available at acceptable prices, including as we expand the size and number of clinical trials. In addition, replacing a CMO could require significant effort and time because there may be a limited number of qualified replacements.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manufacturing process for our product candidates is subject to review by the FDA and other foreign regulatory authorities to the extent applicable. We and our suppliers and manufacturers must meet applicable manufacturing requirements and undergo rigorous facility and process validation tests required by regulatory authorities in order to comply with regulatory standards, such as current good manufacturing practices, or cGMPs. Securing marketing approval also requires the submission of information about the product manufacturing process to, and inspection of manufacturing facilities by, the FDA and foreign regulatory authorities. If our CMOs cannot successfully manufacture material that conforms to our specifications and the strict regulatory requirements of the FDA or comparable foreign regulatory authorities, we may not be able to rely on their facilities for the manufacture of elements of our product candidates. Moreover, we do not conduct the manufacturing process ourselves and are dependent on our CMOs for manufacturing in compliance with current regulatory requirements. If any of our manufacturers fail to comply with those requirements or to perform its obligations in relation to quality, timing or otherwise, or if our projected manufacturing capacity or supply of materials becomes limited, delayed, interrupted or more costly than anticipated, we may be forced to enter into an agreement with another third party, which we may not be able to do in a timely manner or on reasonable terms, or at all. In some cases, the technical skills or technology required to manufacture our product candidates may be unique or proprietary to the original manufacturer and we may have difficulty transferring such to another third party.</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These factors would increase our reliance on a CMO or require us to obtain a license from that CMO to enable us to manufacture, or to have another third party manufacture, our product candidates. If we are required to change CMOs for any reason, we will be required to verify that the new CMO maintains facilities and procedures that comply with applicable quality standards and regulations and guidelines and we may be required to repeat some of the development program. The delays and costs associated with the verification of a new CMO could negatively affect our ability to develop product candidates in a timely manner or within budget.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expect to continue to rely on third-party CMOs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foreign regulatory authorities, including for continued compliance with cGMPs,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other applicable foreign regulatory authorities could adversely affect our business in a number of ways, including: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 inability to initiate or continue preclinical studies or clinical trials of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delay in submitting regulatory applications, or receiving regulatory approvals, for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loss of the cooperation of existing or future collaborators;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 the event of approval to market and commercialize a product candidate, an inability to meet commercial demands for our products;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requirements to cease distribution of the products, product seizure, detention or recall, operating restrictions, suits under the civil FCA, corporate integrity agreements, consent decrees or withdrawal of product approval.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Additionally, our CMOs may experience difficulties due to resource constraints or as a result of labor disputes, unstable political environments, natural disasters, epidemics or outbreaks, among other things. If our CMOs were to encounter any of these difficulties, our ability to provide our product candidates to participants in preclinical and clinical trials, or to provide product for treatment of participants if approved, would be jeopardized.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The operations of our suppliers, some of which are located outside of the United States, are subject to additional risks that are beyond our control and that could harm our business, financial condition, results of operations and prospects.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Certain of our suppliers are located outside of the United States. As a result, we are subject to risks associated with doing business abroad, including: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political unrest, terrorism, labor disputes and economic instability resulting in the disruption of trade from foreign countries in which our products are manufactured;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greater challenges and increased costs with enforcing and periodically auditing or reviewing our suppliers’ and manufacturers’ compliance with cGMPs or status acceptable to the FDA or foreign regulatory authorities;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reduced protection for intellectual property rights, including trademark protection, in some countries;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disruptions in operations due to global, regional, or local public health crises or other emergencies or natural disasters;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disruptions or delays in shipments; and </w:t>
      </w:r>
    </w:p>
    <w:p>
      <w:pPr>
        <w:pStyle w:val="TextBody"/>
        <w:bidi w:val="0"/>
        <w:spacing w:before="12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local economic conditions in countries where our manufacturers or suppliers are located.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These and other factors beyond our control could interrupt our suppliers’ production, influence the ability of our suppliers to export our clinical supplies cost-effectively or at all, inhibit our suppliers’ ability to procure certain materials or delay or increase the cost of certain preclinical development programs, any of which could harm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have entered, and may in the future enter into additional, collaborations or licensing arrangements, which are important to our business. If we are unable to enter into new collaborations or licenses, or if we fail to realize the benefits of any current or future collaborations or licensing arrangements, our business, financial condition, results of operations and prospects could be adversely affected.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 key part of our strategy is to strategically evaluate and, as we deem appropriate, enter into collaborations or partnerships, including with major biotechnology or pharmaceutical companies to advance our current or future product candidates. We have previously entered into collaborations with Pfizer Inc., or Pfizer, Janssen Pharmaceutica NV, a Johnson &amp; Johnson company, or J&amp;J and Terray Therapeutics, Inc. to conduct various research and development activities. Our agreement with Pfizer expired by its terms in 2025 and, as of the date of this prospectus, we do not anticipate generating any additional revenue from our agreements with either Pfizer or J&amp;J. We have limited capabilities for product development and do not yet have any capability for commercialization. Accordingly, we may continue to enter into collaborations with other companies in the future to provide us with funding for our programs and technology. Any of our existing or future collaborations that we enter into may not be successful. The success of our collaboration arrangements will depend heavily on the efforts and activities of our collaborators. Our current product candidates are designed to address targets that we believe are of high interest to pharmaceutical partners.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current collaborations and any future collaborations we enter into pose a number of risks, including the following: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have significant discretion in determining the efforts and resources that they will apply;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perform their obligations as expected;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or test results, changes in the collaborators’ strategic focus or available funding or external factors, such as a strategic transaction that may divert resources or create competing priorities;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own or co-own intellectual property covering our product candidates that results from our collaborating with them, and in such cases, we would not have the exclusive right to develop or commercialize such intellectual property;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 candidates discovered in collaboration with us may be viewed by our collaborators as competitive with their own product candidates or products, which may cause collaborators to cease to devote resources to the commercialization of our product candidates, if approved;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fail to comply with applicable regulatory requirements regarding the development, manufacture, distribution or marketing of a product candidate or product;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with marketing, manufacturing and distribution rights to one or more of our product candidates that achieve regulatory approval, if any, may not commit sufficient resources to or otherwise not perform satisfactorily in carrying out the marketing and distribution of such product or products;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collaborator’s sales and marketing activities or other operations may not be in compliance with applicable laws, resulting in civil or criminal proceedings;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could grant exclusive rights to our collaborators that would prevent us from collaborating with others; </w:t>
      </w:r>
    </w:p>
    <w:p>
      <w:pPr>
        <w:pStyle w:val="TextBody"/>
        <w:bidi w:val="0"/>
        <w:spacing w:before="12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disagreements with collaborators, including disagreements over proprietary rights, contract interpretation or the preferred course of development, might cause delays or terminations of the research, development or future commercialization of product candidates, if approved, might lead to additional responsibilities for us with respect to product candidates, or might result in litigation or arbitration, any of which would be time-consuming and expensive;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seek to amend or modify the terms of any collaboration;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not properly maintain or defend our intellectual property rights or may use our intellectual property or proprietary information in such a way as to invite actual or threatened litigation that could jeopardize or invalidate our intellectual property or proprietary information or expose us to potential liability;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collaborators may infringe the intellectual property rights of third parties, which may expose us to litigation and potential liability;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a collaborator of ours is involved in a business combination, the collaborator might deemphasize or terminate the development or future commercialization of any product candidate licensed to it by us.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our collaborations do not result in the successful discovery, development and future commercialization of product candidates, if approved, or if one of our collaborators terminates its agreement with us, we may not receive any future research funding or milestone or royalty payments we are owed under such collaboration and could be required to raise additional capital to pursue further development or future commercialization of the applicable product candidates. Additionally, if one of our collaborators terminates its agreement with us, we may lose rights that are important to our business or find it more difficult to attract new collaborators, and our perception in the business and financial communities could be adversely affected.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face significant competition in seeking appropriate partners for our product candidates, and the negotiation process is time-consuming and complex. In order for us to successfully partner our product candidates, potential partners must view these product candidates as economically valuable in markets they determine to be attractive in light of the terms that we are seeking and other available products for licensing by other companies.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Collaborations are complex, expensive and time-consuming to negotiate and document. In addition, there have been a significant number of recent business combinations among large pharmaceutical companies that have resulted in a reduced number of potential future collaborators. Our ability to reach a definitive agreement for a collaboration will depend upon, among other things, our assessment of the collaborator’s resources and expertise, the terms and conditions of the proposed collaboration and the proposed collaborator’s evaluation of a number of factors. Additionally, our collaboration agreements may contain non-competition provisions that could limit our ability to enter into strategic collaborations with future collaborators or restrict our ability to commercialize products on our own, if approved.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if approved, or reduce the scope of any sales or marketing activities, or increase our expenditures and undertake development or future commercialization activities at our own expense. If we elect to increase our expenditures to fund development or future commercialization activities on our own, we may need to obtain additional expertise and additional capital, which may not be available to us on acceptable terms, or at all. If we fail to enter into collaborations or do not have sufficient funds or expertise to undertake the necessary development and future commercialization activities, we may not be able to further develop our product candidates, bring them to market, if approved, and generate revenue from sales of drugs or continue to develop our technology, and our business, financial condition, results of operations and prospects could be adversely affected. Even if we are successful in our efforts to establish new strategic partnerships, the terms that we agree upon may not be favorable to us, and we may not be able to maintain such strategic partnerships if, for example, development or approval of a product candidate is delayed or sales of any approved product are disappointing. Any delay in entering into new strategic partnership agreements related to our product candidates could delay the development and future commercialization of our product candidates, if approved, and reduce their competitiveness even if they reach the market. See the section of this prospectus titled “</w:t>
      </w:r>
      <w:r>
        <w:rPr>
          <w:rFonts w:ascii="Arial" w:hAnsi="Arial"/>
          <w:i/>
          <w:color w:val="000000"/>
          <w:sz w:val="20"/>
        </w:rPr>
        <w:t>Business</w:t>
      </w:r>
      <w:r>
        <w:rPr>
          <w:rFonts w:ascii="Times New Roman" w:hAnsi="Times New Roman"/>
          <w:color w:val="000000"/>
          <w:sz w:val="20"/>
        </w:rPr>
        <w:t>—</w:t>
      </w:r>
      <w:r>
        <w:rPr>
          <w:rFonts w:ascii="Arial" w:hAnsi="Arial"/>
          <w:i/>
          <w:color w:val="000000"/>
          <w:sz w:val="20"/>
        </w:rPr>
        <w:t>License and Collaboration Agreement</w:t>
      </w:r>
      <w:r>
        <w:rPr>
          <w:rFonts w:ascii="Times New Roman" w:hAnsi="Times New Roman"/>
          <w:color w:val="000000"/>
          <w:sz w:val="20"/>
        </w:rPr>
        <w:t xml:space="preserve">” </w:t>
      </w:r>
      <w:r>
        <w:rPr>
          <w:rFonts w:ascii="Arial" w:hAnsi="Arial"/>
          <w:color w:val="000000"/>
          <w:sz w:val="20"/>
        </w:rPr>
        <w:t>for more information on our collaboration agreements.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Risks Related to This Offering and Ownership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We recently remediated a material weakness in our internal control over financial reporting. If we experience additional material weaknesses in the future or otherwise fail to maintain effective internal control over financial reporting or disclosure controls in the future, we may be unable to produce accurate and timely financial statements or detect acts of fraud, which may adversely affect investor confidence in us, and, as a result, the value of our common stock, or result in delisting, sanctions or other penalties that could harm our business.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To comply with the requirements of being a public company, we will need to undertake various actions, including implementing new internal controls and procedures. The Sarbanes-Oxley Act of 2002, or the Sarbanes-Oxley Act, requires that we maintain effective disclosure controls and procedures and internal control over financial reporting. We previously identified a material weakness in our internal control over financial reporting for the years ended December 31, 2023 and 2022.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material weakness we identified related to (a) insufficient segregation of duties in the financial statement close process and (b) a lack of sufficient levels of staff with public company and technical accounting experience to maintain proper control activities and perform risk assessment and monitoring activities. We determined that, as of December 31, 2024, the material weakness had been remediated.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Upon the closing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failure to remediate any material weakness or develop or maintain effective controls when we become subject to this requirement could negatively affect the results of periodic management evaluations regarding the effectiveness of our internal control over financial reporting that we will be required to include in our periodic reports we will file with the SEC under Section 404 of the Sarbanes-Oxley Act, harm our operating results, cause us to fail to meet our reporting obligations or result in a restatement of our prior period financial statements.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as a result. In addition, if we are unable to continue to meet these requirements, we may be delisted from Nasdaq.</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independent registered public accounting firm will not be required to formally attest to the effectiveness of our internal control over financial reporting until the later of (i) our second annual report or (ii) the first annual report required to be filed with the SEC following the date we are no longer an “emerging growth company,” as defined in the Jumpstart Our Business Startups Act, or the JOBS Act, or a “smaller reporting company” as defined by the SEC.</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we are not able to comply with the requirements of Section 404 of the Sarbanes-Oxley Act in a timely manner, we may not be able to produce timely and accurate financial statements or detect acts of fraud.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An active and liquid trading market for our common stock may not develop and you may not be able to resell your shares of common stock at or above the initial public offering price, if at all.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Prior to this offering, no market for shares of our common stock existed. We have applied to list our common stock on Nasdaq under the symbol “ODTX.” However, there is no assurance that our application to list our common stock on Nasdaq will be approved. Even if our common stock is listed and this offering is consummated, an active or liquid trading market for our common stock may never develop or be sustained. To the extent certain of our existing stockholders and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their affiliated entities participate in this offering</w:t>
      </w:r>
      <w:r>
        <w:rPr>
          <w:rFonts w:ascii="Times New Roman" w:hAnsi="Times New Roman"/>
          <w:color w:val="000000"/>
          <w:sz w:val="20"/>
        </w:rPr>
        <w:t xml:space="preserve"> </w:t>
      </w:r>
      <w:r>
        <w:rPr>
          <w:rFonts w:ascii="Arial" w:hAnsi="Arial"/>
          <w:color w:val="000000"/>
          <w:sz w:val="20"/>
        </w:rPr>
        <w:t>and the concurrent private placement, such purchases would reduce the non-affiliated public float of our shares, meaning the number of shares of our common stock that are not held by officers, directors and affiliated stockholders. A reduction in the public float could reduce the number of shares that are available to be traded at any given time, thereby adversely impacting the liquidity of our common stock and depressing the price at which you may be able to sell your shares, if at all. Moreover, the initial public offering price for our common stock will be determined through negotiations with the underwriters, and may vary from the market price of our common stock following this offering. As a result of these and other factors, you may be unable to resell your shares of our common stock at or above the initial public offering price, at the time you wish to sell them, or at a price that you consider reasonable. The lack of an active market may also reduce the fair market value of your shares. Furthermore, an inactive market may also impair our ability to raise capital by selling shares of our common stock in the future, and may impair our ability to enter into strategic collaborations or acquire companies or products by using our shares of common stock as consideration.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stock price may be volatile, which could result in substantial losses for investors purchasing shares in this offering.</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market price of our common stock is likely to be volatile and could fluctuate widely in response to many factors, including but not limited to:</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results of our preclinical studies and clinical trials, and the results of trials of our competitors or those of other companies in our market sector;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volatility and instability in the financial and capital markets;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announcements by competitors that impact our competitive outlook;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with respect to our product candidates, or similar products or product candidates against which we compete;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results of our efforts to discover, develop, acquire or in-license additional current or future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additions or departures of key personnel;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developments with respect to patents or other intellectual property rights;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announcements of technological innovations, new product candidates, new products or new contracts by us or our competitors;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announcements relating to strategic transactions, including acquisitions, dispositions, collaborations, licenses or similar arrangements;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actual or anticipated variations in our operating results due to the level of development expenses and other factors;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changes in financial estimates by equity research analysts and whether our earnings (or losses) meet or exceed such estimates;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announcement or expectation of additional financing efforts and receipt, or lack of receipt, of funding in support of conducting our business;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sales or the perception of potential sales of our common stock by us, our insiders, or other stockholders, or issuances by us of shares of our common stock in connection with strategic transactions;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pPr>
      <w:r>
        <w:rPr>
          <w:rFonts w:ascii="Arial" w:hAnsi="Arial"/>
          <w:color w:val="000000"/>
          <w:sz w:val="20"/>
        </w:rPr>
        <w:t>expiration of market standoff or lock-up agreements described in the section of this prospectus titled “</w:t>
      </w:r>
      <w:r>
        <w:rPr>
          <w:rFonts w:ascii="Arial" w:hAnsi="Arial"/>
          <w:i/>
          <w:color w:val="000000"/>
          <w:sz w:val="20"/>
        </w:rPr>
        <w:t>Underwriting</w:t>
      </w:r>
      <w:r>
        <w:rPr>
          <w:color w:val="000000"/>
        </w:rPr>
        <w:t>”</w:t>
      </w:r>
      <w:r>
        <w:rPr>
          <w:rFonts w:ascii="Arial" w:hAnsi="Arial"/>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regulatory developments within, and outside of, the United States, including changes in the structure of healthcare payment systems;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litigation or arbitration;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pandemics, natural disasters or major catastrophic events;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general economic, political and market conditions and other factors, including any such changes specific to the pharmaceutical and biotechnology sectors.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recent years, the stock market in general, and the market for pharmaceutical and biotechnology companies in particular, has experienced significant price and volume fluctuations that have often been unrelated or disproportionate to</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or our directors or officers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may be the target of securities litigation in the future, including based on volatility in the market price of our stock. The stock market in general, and Nasdaq and biopharmaceutical companies in particular, have experienced extreme price and volume fluctuations that have often been unrelated or disproportionate to the operating performance of companies. The market price of our common stock is likely to be volatile. In the past, companies that have experienced volatility in the market price of their stock have been subject to securities class action litigation. Our directors or officers may in the future also become involved in securities or other litigation in the context of any roles with other public companies. Securities litigation (including the cost to defend against, and any potential adverse outcome resulting from, any such proceeding) can be expensive and time-consuming, damage our reputation and divert our management’s and board of directors’ attention from other business concerns, which could seriously harm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You will experience immediate and substantial dilution as a result of this offering and the concurrent private placement and may experience additional dilution in the future.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You will suffer immediate and substantial dilution with respect to the common stock you purchase in this offering. Specifically, assuming an initial public offering price of $17.00 per share, which is the midpoint of the price range set forth on the cover page of this prospectus, and assuming that the number of shares offered by us, as set forth on the cover page of this prospectus, including the 1,470,588 shares of common stock sold in the concurrent private placement, remains the same and that the underwriters do not exercise their option to purchase additional shares of common stock in this offering, you will incur immediate dilution of $7.46 per share. That number represents the difference between the assumed initial public offering price of $17.00 per share and our pro forma as adjusted net tangible book value per share as of December 31, 2025, after giving effect to (i) the conversion of all outstanding shares of our convertible preferred stock into an aggregate of 24,596,000 shares of our common stock immediately prior to the closing of this offering, (ii) the automatic exercise of outstanding warrants issued in connection with our Series D Preferred Stock Financing, or the Common Stock Warrants, on a net exercise basis, into an aggregate of 3,288,305 shares of our common stock immediately prior to the closing of this offering, (iii) the automatic conversion of all outstanding shares of our non-voting common stock into an aggregate of 8,359 shares of our common stock upon the closing of this offering and (iv) the filing and effectiveness of our Certificate of Incorporation to be effective immediately prior to the closing of this offering.</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Furthermore, pursuant to our 2026 Long-Term Incentive Plan, or the 2026 Plan, adopted in connection with the closing of this offering, our management is authorized to grant stock awards to our employees, directors and consultants. Initially, the aggregate number of shares of our common stock that may be issued pursuant to stock awards under the 2026 Plan and pursuant to the 2026 Employee Stock Purchase Plan, or the ESPP, is 6,232,376 shares and 516,400 shares, respectively. Additionally, the number of shares of our common stock reserved for issuance under the 2026 Plan will automatically increase on January 1 of each year, beginning on January 1, 2027 and continuing through January 1, 2036, in an amount equal to 5% of the total number of shares of our capital stock (including shares underlying pre-funded warrants with an exercise price per share of $0.01 or less) outstanding on December 31 of the immediately preceding calendar year, and the number of shares of our common stock reserved for issuance under the ESPP will automatically increase on January 1 of each year, beginning on January 1, 2027 and continuing through and including January 1, 2036, in an amount equal to the lesser of (i) 1% of the total number of shares of our capital stock outstanding on December 31 of the immediately preceding year and (ii) 1,032,801 shares of our common stock, in each case unless our board of directors provides for a less number. Unless our board of directors elects not to increase the number of shares available for future grant each year, our stockholders may experience additional dilution, which could cause our stock price to fall. As of December 31, 2025, in addition to the Common Stock Warrants from our Series D Preferred Stock Financing, we also had 1,742 shares of our common stock issuable upon the exercise of an outstanding warrant to purchase Series A-2 convertible preferred stock held by Banc of California (formerly Pacific Western Bank), at an exercise price of $59.80 per share (after giving effect to the conversion of our convertible preferred stock into common stock).</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For a further description of the dilution you will experience immediately after this offering</w:t>
      </w:r>
      <w:r>
        <w:rPr>
          <w:rFonts w:ascii="Times New Roman" w:hAnsi="Times New Roman"/>
          <w:color w:val="000000"/>
          <w:sz w:val="20"/>
        </w:rPr>
        <w:t xml:space="preserve"> </w:t>
      </w:r>
      <w:r>
        <w:rPr>
          <w:rFonts w:ascii="Arial" w:hAnsi="Arial"/>
          <w:color w:val="000000"/>
          <w:sz w:val="20"/>
        </w:rPr>
        <w:t>and the concurrent private placement, see the section of this prospectus titled “</w:t>
      </w:r>
      <w:r>
        <w:rPr>
          <w:rFonts w:ascii="Arial" w:hAnsi="Arial"/>
          <w:i/>
          <w:color w:val="000000"/>
          <w:sz w:val="20"/>
        </w:rPr>
        <w:t>Dilution</w:t>
      </w:r>
      <w:r>
        <w:rPr>
          <w:rFonts w:ascii="Arial" w:hAnsi="Arial"/>
          <w:color w:val="000000"/>
          <w:sz w:val="20"/>
        </w:rPr>
        <w: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Our quarterly and annual operating results may fluctuate significantly or may fall below the expectations of investors or securities analysts or any guidance we may publicly provide, each of which may cause our stock price to fluctuate or decline.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expect our operating results to be subject to quarterly and annual fluctuations that may, in turn, cause the price of our common stock to fluctuate substantially. Our net loss and other operating results will be affected by numerous factors, including, among other things, the results and timing of preclinical studies and ongoing and future clinical trials, or the addition or termination of any such preclinical studies or clinical trials.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Because we do not anticipate paying any dividends on our capital stock in the foreseeable future, capital appreciation, if any, will be your sole source of gain.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never declared nor paid dividends on our capital stock.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occur, will be your sole source of gain on your investment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have broad discretion in how we use the net proceeds of this offering and the concurrent private placement and may not use these proceeds effectively, which could affect our results of operations and cause our stock price to decline.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will have considerable discretion in the application of the net proceeds of this offering</w:t>
      </w:r>
      <w:r>
        <w:rPr>
          <w:rFonts w:ascii="Times New Roman" w:hAnsi="Times New Roman"/>
          <w:color w:val="000000"/>
          <w:sz w:val="20"/>
        </w:rPr>
        <w:t xml:space="preserve"> </w:t>
      </w:r>
      <w:r>
        <w:rPr>
          <w:rFonts w:ascii="Arial" w:hAnsi="Arial"/>
          <w:color w:val="000000"/>
          <w:sz w:val="20"/>
        </w:rPr>
        <w:t>and the concurrent private placement, including for any of the purposes described in the section of this prospectus titled “</w:t>
      </w:r>
      <w:r>
        <w:rPr>
          <w:rFonts w:ascii="Arial" w:hAnsi="Arial"/>
          <w:i/>
          <w:color w:val="000000"/>
          <w:sz w:val="20"/>
        </w:rPr>
        <w:t>Use of Proceeds</w:t>
      </w:r>
      <w:r>
        <w:rPr>
          <w:rFonts w:ascii="Arial" w:hAnsi="Arial"/>
          <w:color w:val="000000"/>
          <w:sz w:val="20"/>
        </w:rPr>
        <w:t>,” and you will not have the opportunity as part of your investment decision to assess whether the net proceeds are being used appropriately. As a result, investors will be relying upon management’s judgment with only limited information about our specific intentions for the use of the balance of the net proceeds of this offering</w:t>
      </w:r>
      <w:r>
        <w:rPr>
          <w:rFonts w:ascii="Times New Roman" w:hAnsi="Times New Roman"/>
          <w:color w:val="000000"/>
          <w:sz w:val="20"/>
        </w:rPr>
        <w:t xml:space="preserve"> </w:t>
      </w:r>
      <w:r>
        <w:rPr>
          <w:rFonts w:ascii="Arial" w:hAnsi="Arial"/>
          <w:color w:val="000000"/>
          <w:sz w:val="20"/>
        </w:rPr>
        <w:t>and the concurrent private placement. We may use the net proceeds for purposes that do not yield a significant return or any return at all for our stockholders. In addition, pending their use, we may invest the net proceeds from this offering and the concurrent private placement in a manner that does not produce income or that loses value.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board of directors will be authorized to issue and designate shares of our preferred stock without stockholder approval.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Certificate of Incorporation, which will be effective immediately prior to the closing of this offering, will authorize our board of directors, without the approval of our stockholders, to issue shares of preferred stock, subject to limitations prescribed by applicable law, rules and regulations and the provisions of our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may engage in a variety of strategic transactions, including acquisitions, dispositions, joint ventures or making investments in other companies or technologies, that could negatively affect our operating results, dilute our stockholders’ ownership, create or increase indebtedness or cause us to incur significant expense.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part of our business strategy, we may pursue acquisitions of assets or licenses of assets, including preclinical, clinical or commercial stage products or product candidates, or businesses, dispose of certain of our product candidates or businesses and enter into strategic alliances, joint ventures and collaborations, all in order to expand our existing technologies and operations or otherwise generate capital to advance our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Any potential transaction may entail numerous risks, including: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increased operating expenses and cash requirements;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assumption of indebtedness, contractual obligations or contingent liabilities;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issuance of our equity securities; </w:t>
      </w:r>
    </w:p>
    <w:p>
      <w:pPr>
        <w:pStyle w:val="TextBody"/>
        <w:bidi w:val="0"/>
        <w:spacing w:before="12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assimilation of operations, intellectual property and products of an acquired company, including difficulties associated with integrating new personnel;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diversion of our management’s attention from our existing product programs and initiatives in pursuing a strategic transaction;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retention of key employees, the loss of key personnel and uncertainties in our ability to maintain key business relationships;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risks and uncertainties associated with the other party to such a transaction, including the prospects of that party, their regulatory compliance status, and their existing products or product candidates and marketing approvals;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inability to generate revenue from acquired technology or products sufficient to meet our objectives in undertaking the acquisition or even to offset the associated acquisition and maintenance costs.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the future,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If we engage in a disposition, we may have difficulty replacing the assets we sold or in separating our continuing operations from those of the business we sold. Any future acquisitions also could result in the incurrence of debt, contingent liabilities or future write-offs of intangible assets or goodwill, any of which could have a negative impact on our cash flows, financial condition and results of operations. Integration of an acquired company also may disrupt ongoing operations and require management resources that we would otherwise focus on developing our existing business. We may experience losses related to investments in other companies, which could harm our financial condition and results of operations. We may not identify or complete these transactions in a timely manner, on a cost-effective basis or at all, and we may not realize the anticipated benefits of any acquisition, license, strategic alliance or joint venture.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To finance certain transactions, we may issue dilutive securities, assume or incur debt obligations, incur large one-time expenses or acquire intangible assets that could result in significant amortization expense. If the price of our common stock is low or volatile, we may not be able to acquire other companies or fund a joint venture project using our common stock as consideration.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Sales of a substantial number of shares of our common stock by our existing stockholders in the public market could cause our stock price to fall.</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Based on 30,284,181 shares of our common stock outstanding as of December 31, 2025, including 166,550 shares of unvested restricted common stock, after giving effect to (i) the conversion of all outstanding shares of our convertible preferred stock into an aggregate of 24,596,000 shares of our common stock immediately prior to the closing of this offering, (ii) the automatic exercise of the Common Stock Warrants, on a net exercise basis, into an aggregate of 3,288,305 shares of our common stock immediately prior to the closing of this offering and (iii) the automatic conversion of all outstanding shares of our non-voting common stock into an aggregate of 8,359 shares of our common stock upon the closing of this offering, we will have outstanding a total of 44,994,769 shares of our common stock, assuming the sale of 1,470,588 shares of common stock in the concurrent private placement, no exercise of the underwriters’ option to purchase additional shares and no exercise of outstanding options or other securities subsequent to such date. The 13,240,000 shares of our common stock sold in this offering by us, plus any shares sold upon exercise of the underwriters’ option to purchase additional shares, will (unless they are purchased by one of our affiliates) be freely tradable, without restriction, in the public market immediately following this offering. The shares of common stock sold in the concurrent private placement will be “restricted securities” as defined in Rule 144 under the Securities Act and will not be freely tradeable unless offered and sold pursuant to a registration statement under the Securities Act or an exemption from registration under the Securities Act. See the section of this prospectus titled “</w:t>
      </w:r>
      <w:r>
        <w:rPr>
          <w:rFonts w:ascii="Arial" w:hAnsi="Arial"/>
          <w:i/>
          <w:color w:val="000000"/>
          <w:sz w:val="20"/>
        </w:rPr>
        <w:t>Shares Eligible For Future Sale</w:t>
      </w:r>
      <w:r>
        <w:rPr>
          <w:rFonts w:ascii="Times New Roman" w:hAnsi="Times New Roman"/>
          <w:color w:val="000000"/>
          <w:sz w:val="20"/>
        </w:rPr>
        <w:t xml:space="preserve">” </w:t>
      </w:r>
      <w:r>
        <w:rPr>
          <w:rFonts w:ascii="Arial" w:hAnsi="Arial"/>
          <w:color w:val="000000"/>
          <w:sz w:val="20"/>
        </w:rPr>
        <w:t>for more information.</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directors and executive officers and holders of substantially all of our outstanding securities have entered into lock-up agreements with the underwriters and/or are subject to market standoff agreements or other agreements with us pursuant to which they may not, with certain exceptions, for a period of 180 days from the date of this prospectus, offer, sell or otherwise transfer or dispose of any of our securities, without the prior written consent of the representatives of the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underwriters. However, the representatives may permit our officers, directors and other security holders who are subject to the lock-up and market standoff agreements to sell shares prior to the expiration of the lock-up and market standoff agreements at any time in their sole discretion. See the section of this prospectus titled “</w:t>
      </w:r>
      <w:r>
        <w:rPr>
          <w:rFonts w:ascii="Arial" w:hAnsi="Arial"/>
          <w:i/>
          <w:color w:val="000000"/>
          <w:sz w:val="20"/>
        </w:rPr>
        <w:t>Underwriting</w:t>
      </w:r>
      <w:r>
        <w:rPr>
          <w:rFonts w:ascii="Arial" w:hAnsi="Arial"/>
          <w:color w:val="000000"/>
          <w:sz w:val="20"/>
        </w:rPr>
        <w:t>.” Sales of these shares, or perceptions that they will be sold, could cause the trading price of our common stock to decline. After the lock-up and market standoff agreements expire, an additional 27,098,614 shares of our common stock will be eligible for sale in the public market, of which 999,814 shares are held by directors, executive officers and other affiliates and will be subject to volume limitations under Rule 144 under the Securities Act.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the 4,631,713 shares of our common stock that are subject to outstanding options under the 2021 Plan as of December 31, 2025 will become eligible for sale in the public market after this offering, to the extent permitted by the provisions of various vesting schedules, the lock-up and market standoff agreements (and the exceptions thereto) and Rule 144 and Rule 701 under the Securities Act. If these additional shares of our common stock are sold, or if it is perceived that they will be sold, in the public market, the trading price of our common stock could decline.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After this offering and the concurrent private placement, the holders of 29,743,480 shares of our outstanding common stock, or approximately 66.1% of our total outstanding common stock (assuming no exercise of the underwriters’ option to purchase additional shares of our common stock and no exercise of outstanding options or other securities) based on 30,284,181 shares outstanding as of December 31, 2025 (after giving effect to (i) the conversion of all outstanding shares of our convertible preferred stock into an aggregate of 24,596,000 shares of our common stock immediately prior to the closing of this offering (ii) the automatic exercise of the Common Stock Warrants, on a net exercise basis, into an aggregate of 3,288,305 shares of our common stock immediately prior to the closing of this offering and (iii) the automatic conversion of all outstanding shares of our non-voting common stock into an aggregate of 8,359 shares of our common stock upon the closing of this offering), will be entitled to rights with respect to the registration of their shares under the Securities Act, subject to the lock-up and market standoff agreements described above. See the section of this prospectus titled “</w:t>
      </w:r>
      <w:r>
        <w:rPr>
          <w:rFonts w:ascii="Arial" w:hAnsi="Arial"/>
          <w:i/>
          <w:color w:val="000000"/>
          <w:sz w:val="20"/>
        </w:rPr>
        <w:t>Description of Capital Stock—Registration Rights</w:t>
      </w:r>
      <w:r>
        <w:rPr>
          <w:rFonts w:ascii="Arial" w:hAnsi="Arial"/>
          <w:color w:val="000000"/>
          <w:sz w:val="20"/>
        </w:rPr>
        <w:t>.” Registration of these shares under the Securities Act would result in the shares becoming freely tradable without restriction under the Securities Act. Any sales of securities by these stockholders could adversely affect the trading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Conflicts of interest may arise because some members of our board of directors are representatives of our principal stockholders.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Certain of our principal stockholders or their affiliates are venture capital funds or other investment vehicles that could invest in entities that directly or indirectly compete with us. As a result of these relationships, when conflicts arise between the interests of the principal stockholders or their affiliates and the interests of other stockholders, members of our board of directors that are representatives of the principal stockholders may not be disinterested.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principal stockholders and management own a significant percentage of our common stock and will be able to control matters subject to stockholder approval.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Based on 30,444,036 shares of our common stock outstanding as of March 31, 2026, including 153,311 shares of unvested restricted common stock, after giving effect to (i) the conversion of all shares of our convertible preferred stock into an aggregate of 24,596,000 shares of our common stock immediately prior to the closing of this offering, (ii) the automatic exercise of the Common Stock Warrants, on a net exercise basis, into an aggregate of 3,286,267 shares of our common stock immediately prior to the closing of this offering and (iii) the automatic conversion of all outstanding shares of our non-voting common stock into an aggregate of 8,359 shares of our common stock upon the closing of this offering, our executive officers, directors and holders of 5% or more of our capital stock beneficially owned approximately 62.9% of our voting stock and, upon the completion of this offering</w:t>
      </w:r>
      <w:r>
        <w:rPr>
          <w:rFonts w:ascii="Times New Roman" w:hAnsi="Times New Roman"/>
          <w:color w:val="000000"/>
          <w:sz w:val="20"/>
        </w:rPr>
        <w:t xml:space="preserve"> </w:t>
      </w:r>
      <w:r>
        <w:rPr>
          <w:rFonts w:ascii="Arial" w:hAnsi="Arial"/>
          <w:color w:val="000000"/>
          <w:sz w:val="20"/>
        </w:rPr>
        <w:t>and the concurrent private placement, that same group will beneficially own approximately 43.0% of our outstanding voting stock (without giving effect to any purchases by our officers, directors, stockholders who owned more than 5% of our outstanding common stock before this offering and their affiliated entities, and assuming the sale of 1,470,588 shares of common stock in the concurrent private placement, no exercise of the underwriters’ option to purchase additional shares of our common stock and no exercise of outstanding options or other securities). The interests of these stockholders may not be the same as or may even conflict with your interests. For example, these stockholders could delay or prevent our change of control, even if such a change of control would benefit our other stockholders, which could deprive our stockholders of an opportunity to receive a premium for their common stock as part of a sale of us or of our assets and might affect the prevailing market price of our common stock. The significant concentration of stock ownership may adversely affect the trading price of our common stock due to investors’ perception that conflicts of interest may exist or arise.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We will incur significant increased costs as a result of operating as a public company, and our management will be required to devote substantial time and resources to new compliance initiatives.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a public company, we will be subject to the reporting requirements of the Exchange Act, the Sarbanes-Oxley Act, the Dodd-Frank Wall Street Reform and Consumer Protection Act, the listing requirements of Nasdaq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over financial reporting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plan to hire additional financial reporting, internal control and other finance personnel or consultants in order to develop and implement appropriate internal control and reporting procedures, which will increase our costs and expenses.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ability to use our net operating loss, or NOL, carryforwards and certain other tax attributes to offset taxable income or taxes may be limited.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incurred substantial losses during our history and do not expect to become profitable in the near future, and we may never achieve profitability. As of December 31, 2025, we had U.S. federal NOL carryforwards of approximately $240.4 million and research and development credits of approximately $16.8 million, and state NOL carryforwards of approximately $171.0 million and research and development credits of approximately $7.4 million. Under the Internal Revenue Code of 1986, as amended, or the Code, our U.S. federal NOL carryforwards will not expire and may be carried forward indefinitely but the deductibility of such NOL carryforwards is limited to no more than 80% of current year taxable income (with certain adjustments). In addition, under Sections 382 and 383 of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to offset its post-change income or taxes may be limited. We have not completed a Section 382 study to assess whether an ownership change has occurred or whether there have been multiple ownership changes since our formation due to the complexity and cost associated with such a study; however, we have completed several fundraises in recent years, increasing the likelihood that there have been changes in our ownership that would limit our ability to utilize our tax attribute carryforwards. Furthermore, there may be additional ownership changes in the future, including in connection with this offering and the concurrent private placement or as a result of subsequent changes in our stock ownership, some of which may be outside of our control. If we have undergone or undergo an ownership change, and our ability to use our pre-change NOL carryforwards and other pre-change tax attributes (such as research tax credits) to offset our post-change income or taxes is limited, it would harm our future results of operations by effectively increasing our future tax obligations. Similar provisions of state tax law may also apply to limit our use of accumulated state tax attributes. In addition, at the state level, there may be periods during which the use of NOL carryforwards is suspended or otherwise limited, which could accelerate or permanently increase our state taxes owed. As a result, even if we attain profitability, we may be unable to use all or a material portion of our NOL carryforwards and other tax attributes, which could adversely affect our future cash flows.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Recent and future changes to tax laws could materially adversely affect us.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us. For example, the Tax Cuts and Jobs Act of 2017, the Coronavirus Aid, Relief, and Economic Security Act, the Inflation Reduction Act of 2022, or the IRA, and the OBBBA enacted many significant changes to U.S. tax laws. Future guidance from the Internal Revenue Service and other tax authorities with respect to such legislation may affect us, and certain aspects thereof could be repealed or modified in future legislation. For example, the IRA includes provisions that will impact the U.S. federal income taxation of certain corporations, including imposing a 15% minimum tax on the book income of certain large corporations and a 1% excise tax on certain corporate stock repurchases that would be imposed on the corporation repurchasing such stock. In addition, many countries in Europe, as well as a number of other countries and organizations (including the Organization for Economic Cooperation and Development and the European Commission) have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We are an “emerging growth company” and a “smaller reporting company” and our election of reduced reporting requirements applicable to emerging growth companies and smaller reporting companies may make our common stock less attractive to investors.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this prospectus and our periodic reports and proxy statements and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in this prospectus. 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exceeds $700.0 million, measured on the last business day of our second fiscal quarter, or if we have total annual gross revenue of $1.235 billion or more during any fiscal year, in which cases we would no longer be an emerging growth company as of the last day of the fiscal year, or if we issue more than $1.0 billion in non-convertible debt during any three-year period before that time, in which case we would no longer be an emerging growth company immediately.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the JOBS Act provides that an emerging growth company can take advantage of an extended transition period for complying with new or revised accounting standards until such time as those standards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also a “smaller reporting company” as defined in the Exchange Act.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 Even after we no longer qualify as an emerging growth company, we could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failure to meet Nasdaq’s continued listing requirements could result in a delisting of our common stock.</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we are approved for listing, and after listing we fail to satisfy the continued listing requirements of Nasdaq, such as the corporate governance requirements or the minimum closing bid price requirement, Nasdaq may take steps to delist our common stock. Such a delisting would have a negative effect on the price of our common stock and would impair your ability to sell or purchase our common stock when you wish to do so. In the event of a delisting, we can provide no</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Anti-takeover provisions in our organizational documents and under Delaware law could prevent or delay an acquisition of us that may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Each of our Certificate of Incorporation and Bylaws that will be effective immediately prior to the closing of this offering contain provisions that could delay or prevent a change in control of Odyssey. These provisions could also make it difficult for stockholders to elect directors who are not nominated by current members of our board of directors or take other corporate actions, including effecting changes in our management. These provisions:</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 staggered board of directors divided into three classes serving staggered three-year terms, such that not all members of our board of directors will be elected at one time;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authorize our board of directors to issue one or more new series of preferred stock without stockholder approval and create, subject to applicable law, one or more series of preferred stock with preferential rights to dividends or our assets upon liquidation, or with superior voting rights to our existing common stock;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eliminate the ability of our stockholders to call special meetings of stockholders;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eliminate the ability of our stockholders to fill vacancies on our board of directors;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advance notice requirements for nominations for election to our board of directors or for proposing matters that can be acted upon by stockholders at our annual stockholder meetings;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permit our board of directors to establish the number of directors;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provide that our board of directors is expressly authorized to make, alter or repeal our Bylaws;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provide that stockholders can remove directors only for cause and only upon the approval of not less than 66-2/3% of all outstanding shares of our capital stock entitled to vote generally in the election of directors, voting as a single class;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require the approval of not less than 66-2/3% of all outstanding shares of our capital stock entitled to vote generally in the election of directors, voting as a single class, for a stockholder amendment to our Bylaws (absent approval of our board of directors) and to amend specific provisions of our Certificate of Incorporation;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specify the jurisdictions in which certain stockholder litigation may be brought.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Section 203 of General Corporation Law of the State of Delaware, or the DGCL, may discourage, delay or prevent a change in control of us. Section 203 imposes certain restrictions on mergers, business combinations and other transactions between us and holders of 15% or more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Our Certificate of Incorporation designates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Certificate of Incorporation, to be effective immediately prior to the closing of this offering, will provide that, to the fullest extent permitted by law, derivative actions brought in our name or actions against directors, officers and employees for breach of fiduciary duty, arising pursuant to any provision of the DGCL, our Certificate of Incorporation or Bylaws, or governed by the internal affairs doctrine, or actions brought by stockholders that do not constitute internal corporate claims under the DGCL, if such claim relates to our business, the conduct of our affairs, or our rights or powers or our stockholders, directors or officers, may be brought only in the Court of Chancery in the State of Delaware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(ii) which is vested in the exclusive jurisdiction of a court or forum other than the Court of Chancery or (iii) for which the Court of Chancery does not have subject matter jurisdiction. In addition, our Certificate of Incorporation designates the federal district courts of the United States as the exclusive forum for resolving any complaint asserting a cause of action arising under the Securities Act; however, such exclusive forum provision does not apply to claims brought to enforce a duty or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liability created by the Exchange Act. The validity and enforceability of such provision is uncertain in a number of courts other than the Delaware Supreme Court and certain other state courts.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Although we believe these provisions benefit us by providing increased consistency in the application of Delaware law for the specified types of actions and proceedings, the provisions may result in increased costs to stockholders to bring a claim for any such dispute and may have the effect of discouraging lawsuits against us or our directors and officers. Any person or entity purchasing or otherwise acquiring any interest in shares of our capital stock shall be deemed to have notice of and consented to this exclusive forum provision, but will not be deemed to have waived our compliance with the federal securities laws and the rules and regulations promulgated thereunder.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If securities or industry analysts do not publish research or reports about our business, or if they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trading market for our common stock will be influenced in part by the research and reports that industry or securities analysts publish about us or our business. We do not have any control over the industry or securities analysts, or the frequency of or content and opinions included in their reports and may never obtain research coverage by securities and industry analysts. If no or few securities or industry analysts commence coverage of us, or if analysts cease coverage of us or do not publish reports on us on a regular basis,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6" w:name="special_note_regarding_forward_looking"/>
      <w:bookmarkEnd w:id="6"/>
      <w:r>
        <w:rPr>
          <w:rFonts w:ascii="Arial" w:hAnsi="Arial"/>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This prospectus contains forward-looking statements about us and our industry within the meaning of the federal securities laws, which statements involve substantial risks and uncertainties. Forward-looking statements generally relate to future events or our future financial or operating performance. All statements other than statements of historical facts contained in this prospectus, including statements regarding our future results of operations and financial position, business strategy, product candidates, plans for and results of preclinical studies and clinical trials, research and development costs, manufacturing plans, regulatory approvals, timing and likelihood of success, as well as plans and objectives of management for future operations, are forward-looking statements. In some cases, you can identify forward-looking statements because they contain words such as “may,” “will,” “should,” “expects,” “plans,” “anticipates,” “could,” “intends,” “target,” “projects,” “contemplates,” “believes,” “estimates,” “predicts,” “potential” or “continue” or the negatives of these words or other similar terms or expressions that concern our expectations, strategy, plans or intentions. Forward-looking statements contained in this prospectus include, but are not limited to, statements about:</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initiation, timing, progress and results of our preclinical studies, clinical trials and research programs for our product candidates, including OD-001 and OD-002;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beneficial characteristics, safety and efficacy of our product candidates and the potential advantages of our product candidates compared to alternative therapies;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prevalence of certain diseases and conditions we intend to treat and the size of the market opportunity for our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estimates of the number of patients with certain diseases and conditions we intend to treat and the number of patients that we will enroll in our clinical trials;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timing or likelihood of regulatory filings and approval for our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meet future regulatory standards with respect to our product candidates, if approved;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plans relating to the further development and manufacturing of our product candidates, including for additional indications that we may pursue;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rate and degree of market acceptance and therapeutic benefits of our product candidates, if approved;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develop or partner and progress our current and future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implementation of our strategic plans for our business, product candidates, research programs and technologies;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of protection we are able to establish and maintain for intellectual property rights covering our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anticipated developments related to our competitors and our industry;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competitive position and the success of competing therapies that are or may become available;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maintain our current license agreements and collaborations and identify and enter into future license agreements and collaborations;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expected potential benefits of strategic collaborations with third parties and our ability to attract collaborators with development, regulatory, manufacturing or commercialization expertise;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reliance on third parties to conduct clinical trials of or manufacture our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plans relating to sales strategy, manufacturing and commercializing our product candidates, if approved;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anticipated regulatory developments in the United States and foreign countries in which we may seek regulatory approval for our product candidates in the future;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attract and retain key scientific and management personnel;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financial performance;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of operating as a public company;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sufficiency of our existing capital resources to fund our future operating expenses and capital expenditure requirements; </w:t>
      </w:r>
    </w:p>
    <w:p>
      <w:pPr>
        <w:pStyle w:val="TextBody"/>
        <w:bidi w:val="0"/>
        <w:spacing w:before="12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expectations regarding the period during which we will qualify as an emerging growth company under the JOBS Act or a smaller reporting company;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terms and completion of the concurrent private placement; and</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anticipated use of our existing resources and the proceeds from this offering and the concurrent private placement, estimates of our expenses, capital requirements and needs for additional financing.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caution you that the forward-looking statements highlighted above do not encompass all of the forward-looking statements made in this prospectus.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prospectus titled “</w:t>
      </w:r>
      <w:r>
        <w:rPr>
          <w:rFonts w:ascii="Arial" w:hAnsi="Arial"/>
          <w:i/>
          <w:color w:val="000000"/>
          <w:sz w:val="20"/>
        </w:rPr>
        <w:t>Risk Factors</w:t>
      </w:r>
      <w:r>
        <w:rPr>
          <w:rFonts w:ascii="Times New Roman" w:hAnsi="Times New Roman"/>
          <w:color w:val="000000"/>
          <w:sz w:val="20"/>
        </w:rPr>
        <w:t xml:space="preserve">” </w:t>
      </w:r>
      <w:r>
        <w:rPr>
          <w:rFonts w:ascii="Arial" w:hAnsi="Arial"/>
          <w:color w:val="000000"/>
          <w:sz w:val="20"/>
        </w:rPr>
        <w:t>and elsewhere in this prospectus. Moreover, we operate in a very competitive and challenging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other strategic transactions or investments we may make or enter into.</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7" w:name="market_industry_and_other_data"/>
      <w:bookmarkEnd w:id="7"/>
      <w:r>
        <w:rPr>
          <w:rFonts w:ascii="Arial" w:hAnsi="Arial"/>
          <w:b/>
          <w:color w:val="000000"/>
          <w:sz w:val="20"/>
        </w:rPr>
        <w:t>MARKET, INDUSTRY AND OTHER DATA</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Unless otherwise indicated, information contained in this prospectus concerning our industry and the markets in which we operate, including our general expectations about our product candidates, market position, market opportunity, market size, competitive position and the incidence of certain medical conditions, is based on or derived from publicly available information released by industry analysts and third-party sources, independent market research, industry and general publications and surveys, governmental agencies, our internal research and our industry experience. Our estimates of the potential market opportunities for our product candidates include a number of key assumptions based on our industry knowledge and industry publications, the latter of which may be based on small sample sizes and fail to accurately reflect such information, and you are cautioned not to give undue weight to such estimates. While we believe that our internal assumptions are reasonable, no independent source has verified such assumptions. Industry publications and third-party research often indicate that their information has been obtained from sources believed to be reliable, although they do not guarantee the accuracy or completeness of such information and such information is inherently imprecise.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projections, assumptions and estimates of our future performance and the future performance of the industry in which we operate are necessarily subject to a high degree of uncertainty and risk due to a variety of factors, including those described in “</w:t>
      </w:r>
      <w:r>
        <w:rPr>
          <w:rFonts w:ascii="Arial" w:hAnsi="Arial"/>
          <w:i/>
          <w:color w:val="000000"/>
          <w:sz w:val="20"/>
        </w:rPr>
        <w:t>Risk Factors</w:t>
      </w:r>
      <w:r>
        <w:rPr>
          <w:rFonts w:ascii="Times New Roman" w:hAnsi="Times New Roman"/>
          <w:color w:val="000000"/>
          <w:sz w:val="20"/>
        </w:rPr>
        <w:t xml:space="preserve">” </w:t>
      </w:r>
      <w:r>
        <w:rPr>
          <w:rFonts w:ascii="Arial" w:hAnsi="Arial"/>
          <w:color w:val="000000"/>
          <w:sz w:val="20"/>
        </w:rPr>
        <w:t>and elsewhere in this prospectus. These and other factors could cause results to differ materially from those expressed in the estimates made by independent third parties and by us.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8" w:name="use_of_proceeds"/>
      <w:bookmarkEnd w:id="8"/>
      <w:r>
        <w:rPr>
          <w:rFonts w:ascii="Arial" w:hAnsi="Arial"/>
          <w:b/>
          <w:color w:val="000000"/>
          <w:sz w:val="20"/>
        </w:rPr>
        <w:t>USE OF PROCEEDS</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We estimate that the net proceeds to us from the sale of shares of our common stock in this offering will be approximately $205.2 million (or approximately $236.6 million if the underwriters’ option to purchase additional shares is exercised in full), based upon the assumed initial public offering price of $17.00 per share, which is the midpoint of the price range set forth on the cover page of this prospectus, after deducting underwriting discounts and commissions and estimated offering expenses payable by us. We also expect to receive net proceeds of approximately $23.3 million from the sale of shares of our common stock in the concurrent private placement, after deducting placement agent fees and estimated private placement expenses payable by us.</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Each $1.00 increase (decrease) in the assumed initial public offering price of $17.00 per share would increase (decrease) the net proceeds that we receive from this offering and the concurrent private placement by approximately $12.3 million, assuming that the number of shares offered by us in this offering, as set forth on the cover page of this prospectus, remains the same, and after deducting underwriting discounts and commissions, placement agent fees and estimated expenses payable by us. Similarly, each increase (decrease) of 1.0 million in the number of shares offered by us would increase (decrease) the net proceeds that we receive from this offering and the concurrent private placement by approximately $15.8 million, using the assumed initial public offering price, and after deducting underwriting discounts and commissions, placement agent fees and estimated expenses payable by us.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intend to use the net proceeds from this offering and the concurrent private placement, together with our existing cash, cash equivalents and marketable securities as follows:</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approximately $135.0 million to advance the clinical development of OD-001, our most advanced product candidate, through 12-week induction readouts from our planned phase 2a combination trial and phase 2b monotherapy trial in ulcerative colitis;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approximately $50.0 million to advance our SLC15A4 program through IND-enabling activities and our planned phase 1/2a clinical trial;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remainder, if any, to fund additional discovery, preclinical and clinical activities for disclosed or future programs, enabling capabilities, and for general corporate purposes, working capital and other capital expenditures.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may also use a portion of the net proceeds to in-license, acquire or invest in new businesses, technology or assets. Although we have no current agreements, commitments or understandings with respect to any such in-license or acquisition, we evaluate these types of opportunities and engage in related discussions with third parties from time to time. We believe, based on our current operating plan, that the net proceeds from this offering and the concurrent private placement, together with our existing cash, cash equivalents and marketable securities, will be sufficient to fund our operations into the second half of 2028. We have based this estimate on assumptions that may prove to be wrong, and we could use our available capital resources sooner than we currently expect. We do not have any committed external source of funds.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This expected use of net proceeds from this offering and the concurrent private placement represents our intentions based on our current plans and business conditions, which could change in the future as our plans and business conditions evolve. As a result, our management will have broad discretion over the uses of the net proceeds from this offering and the concurrent private placement and investors will be relying on the judgement of our management regarding the application of the net proceeds from this offering and the concurrent private placement.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amounts and timing of our actual expenditures will depend on numerous factors, including the progress of our research and development activities, the timing of patient enrollment and evolving regulatory requirements, the time and cost necessary to conduct our ongoing and planned preclinical studies and clinical trials, the results of our preclinical studies and clinical trials and other factors described in the section of this prospectus titled “</w:t>
      </w:r>
      <w:r>
        <w:rPr>
          <w:rFonts w:ascii="Arial" w:hAnsi="Arial"/>
          <w:i/>
          <w:color w:val="000000"/>
          <w:sz w:val="20"/>
        </w:rPr>
        <w:t>Risk Factors</w:t>
      </w:r>
      <w:r>
        <w:rPr>
          <w:rFonts w:ascii="Arial" w:hAnsi="Arial"/>
          <w:color w:val="000000"/>
          <w:sz w:val="20"/>
        </w:rPr>
        <w:t>,” as well as the amount of cash used in our operations and any unforeseen cash needs. Therefore, our actual expenditures may differ materially from the estimates described above. We may also find it necessary or advisable to use the net proceeds for other purposes.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Pending the use of the proceeds from this offering and the concurrent private placement as described above, we intend to invest the net proceeds from this offering and the concurrent private placement that are not used as described above in available-for-sale, investment-grade, interest-bearing marketable securities. We cannot predict whether the proceeds invested will yield a favorable return. Our management will retain broad discretion in the application of the net proceeds we receive from this offering and the concurrent private placement, and investors will be relying on the judgment of our management regarding the application of the net proceeds.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9" w:name="dividend_policy"/>
      <w:bookmarkEnd w:id="9"/>
      <w:r>
        <w:rPr>
          <w:rFonts w:ascii="Arial" w:hAnsi="Arial"/>
          <w:b/>
          <w:color w:val="000000"/>
          <w:sz w:val="20"/>
        </w:rPr>
        <w:t>DIVIDEND POLICY</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have never declared or paid any cash dividends on our capital stock. We do not anticipate declaring or paying, in the foreseeable future, any cash dividends on our capital stock. We intend to retain future earnings, if any, to finance the operation and expansion of our business and do not anticipate paying any cash dividends in the foreseeable future. Any future determination to pay dividends will be made at the discretion of our board of directors or any authorized committee thereof, subject to applicable laws, after considering our financial condition, results of operations, capital requirements, business prospects and other factors our board of directors or such committee may deem relevant.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addition, our ability to pay cash dividends on our capital stock in the future may be limited by the terms of any future debt or preferred securities we may issue or any credit facilities we may enter into.</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10" w:name="capitalization"/>
      <w:bookmarkEnd w:id="10"/>
      <w:r>
        <w:rPr>
          <w:rFonts w:ascii="Arial" w:hAnsi="Arial"/>
          <w:b/>
          <w:color w:val="000000"/>
          <w:sz w:val="20"/>
        </w:rPr>
        <w:t>CAPITALIZATION</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following table sets forth our cash, cash equivalents and marketable securities and capitalization as of December 31, 2025 as follows:</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on an actual basis;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on a pro forma basis to reflect (i) the conversion of all outstanding shares of our convertible preferred stock into an aggregate of 24,596,000 shares of our common stock immediately prior to the closing of this offering, (ii) the automatic exercise of the Common Stock Warrants, on a net exercise basis, into an aggregate of 3,288,305 shares of our common stock immediately prior to the closing of this offering, (iii) the automatic conversion of all outstanding shares of our non-voting common stock into an aggregate of 8,359 shares of our common stock upon the closing of this offering and (iv) the filing and effectiveness of our Certificate of Incorporation, which will be effective immediately prior to the closing of this offering;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on a pro forma as adjusted basis to give effect to (i) the pro forma items described immediately above, (ii) our issuance and sale of 13,240,000 shares of our common stock in this offering at an assumed initial public offering price of $17.00 per share, the midpoint of the price range set forth on the cover page of this prospectus, after deducting underwriting discounts and commissions and estimated offering expenses payable by us and (iii) our issuance and sale of 1,470,588 shares of common stock in the concurrent private placement at a price per share equal to the assumed initial public offering price per share of the shares offered in this offering, or $17.00, which is the midpoint of the price range set forth on the cover page of this prospectus, after deducting placement agent fees and estimated private placement expenses payable by us. </w:t>
      </w:r>
    </w:p>
    <w:p>
      <w:pPr>
        <w:pStyle w:val="TextBody"/>
        <w:bidi w:val="0"/>
        <w:jc w:val="left"/>
        <w:rPr/>
      </w:pPr>
      <w:r>
        <w:rPr/>
        <w:t> </w:t>
      </w:r>
    </w:p>
    <w:tbl>
      <w:tblPr>
        <w:tblW w:w="9377" w:type="dxa"/>
        <w:jc w:val="left"/>
        <w:tblInd w:w="0" w:type="dxa"/>
        <w:tblLayout w:type="fixed"/>
        <w:tblCellMar>
          <w:top w:w="28" w:type="dxa"/>
          <w:left w:w="28" w:type="dxa"/>
          <w:bottom w:w="28" w:type="dxa"/>
          <w:right w:w="28" w:type="dxa"/>
        </w:tblCellMar>
      </w:tblPr>
      <w:tblGrid>
        <w:gridCol w:w="5161"/>
        <w:gridCol w:w="146"/>
        <w:gridCol w:w="211"/>
        <w:gridCol w:w="856"/>
        <w:gridCol w:w="166"/>
        <w:gridCol w:w="146"/>
        <w:gridCol w:w="856"/>
        <w:gridCol w:w="166"/>
        <w:gridCol w:w="146"/>
        <w:gridCol w:w="146"/>
        <w:gridCol w:w="1186"/>
        <w:gridCol w:w="191"/>
      </w:tblGrid>
      <w:tr>
        <w:trPr/>
        <w:tc>
          <w:tcPr>
            <w:tcW w:w="51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79" w:type="dxa"/>
            <w:gridSpan w:val="9"/>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Actual</w:t>
            </w:r>
            <w:r>
              <w:rPr>
                <w:rFonts w:ascii="Times New Roman" w:hAnsi="Times New Roman"/>
                <w:color w:val="000000"/>
                <w:sz w:val="16"/>
              </w:rPr>
              <w:t xml:space="preserve">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Pro</w:t>
            </w:r>
          </w:p>
          <w:p>
            <w:pPr>
              <w:pStyle w:val="TableContents"/>
              <w:bidi w:val="0"/>
              <w:spacing w:before="0" w:after="283"/>
              <w:jc w:val="center"/>
              <w:rPr>
                <w:rFonts w:ascii="Arial" w:hAnsi="Arial"/>
                <w:b/>
                <w:color w:val="000000"/>
                <w:sz w:val="16"/>
              </w:rPr>
            </w:pPr>
            <w:r>
              <w:rPr>
                <w:rFonts w:ascii="Arial" w:hAnsi="Arial"/>
                <w:b/>
                <w:color w:val="000000"/>
                <w:sz w:val="16"/>
              </w:rPr>
              <w:t>Forma</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Pro Forma As</w:t>
            </w:r>
          </w:p>
          <w:p>
            <w:pPr>
              <w:pStyle w:val="TableContents"/>
              <w:bidi w:val="0"/>
              <w:spacing w:before="0" w:after="283"/>
              <w:jc w:val="center"/>
              <w:rPr>
                <w:rFonts w:ascii="Times New Roman" w:hAnsi="Times New Roman"/>
                <w:sz w:val="16"/>
              </w:rPr>
            </w:pPr>
            <w:r>
              <w:rPr>
                <w:rFonts w:ascii="Arial" w:hAnsi="Arial"/>
                <w:b/>
                <w:color w:val="000000"/>
                <w:sz w:val="16"/>
              </w:rPr>
              <w:t>Adjusted</w:t>
            </w:r>
            <w:r>
              <w:rPr>
                <w:rFonts w:ascii="Arial" w:hAnsi="Arial"/>
                <w:b/>
                <w:color w:val="000000"/>
                <w:sz w:val="11"/>
              </w:rPr>
              <w:t>(1)</w:t>
            </w:r>
            <w:r>
              <w:rPr>
                <w:rFonts w:ascii="Times New Roman" w:hAnsi="Times New Roman"/>
                <w:color w:val="000000"/>
                <w:sz w:val="16"/>
              </w:rPr>
              <w:t xml:space="preserve">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8" w:type="dxa"/>
            <w:gridSpan w:val="8"/>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(in thousands, except share</w:t>
            </w:r>
          </w:p>
          <w:p>
            <w:pPr>
              <w:pStyle w:val="TableContents"/>
              <w:bidi w:val="0"/>
              <w:spacing w:before="0" w:after="283"/>
              <w:jc w:val="center"/>
              <w:rPr>
                <w:rFonts w:ascii="Arial" w:hAnsi="Arial"/>
                <w:b/>
                <w:color w:val="000000"/>
                <w:sz w:val="16"/>
              </w:rPr>
            </w:pPr>
            <w:r>
              <w:rPr>
                <w:rFonts w:ascii="Arial" w:hAnsi="Arial"/>
                <w:b/>
                <w:color w:val="000000"/>
                <w:sz w:val="16"/>
              </w:rPr>
              <w:t>and per share data)</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445,030</w:t>
            </w:r>
            <w:r>
              <w:rPr>
                <w:rFonts w:ascii="Times New Roman" w:hAnsi="Times New Roman"/>
                <w:color w:val="000000"/>
                <w:sz w:val="20"/>
              </w:rPr>
              <w:t xml:space="preserve">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16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Convertible preferred stock, $0.0001 par value;</w:t>
            </w:r>
          </w:p>
          <w:p>
            <w:pPr>
              <w:pStyle w:val="TableContents"/>
              <w:bidi w:val="0"/>
              <w:jc w:val="left"/>
              <w:rPr/>
            </w:pPr>
            <w:r>
              <w:rPr>
                <w:color w:val="000000"/>
              </w:rPr>
              <w:t>   </w:t>
            </w:r>
            <w:r>
              <w:rPr>
                <w:rFonts w:ascii="Arial" w:hAnsi="Arial"/>
                <w:color w:val="000000"/>
                <w:sz w:val="20"/>
              </w:rPr>
              <w:t>237,268,826 shares authorized, 237,186,132 shares</w:t>
            </w:r>
            <w:r>
              <w:rPr>
                <w:rFonts w:ascii="Times New Roman" w:hAnsi="Times New Roman"/>
                <w:color w:val="000000"/>
                <w:sz w:val="20"/>
              </w:rPr>
              <w:t xml:space="preserve"> </w:t>
            </w:r>
          </w:p>
          <w:p>
            <w:pPr>
              <w:pStyle w:val="TableContents"/>
              <w:bidi w:val="0"/>
              <w:jc w:val="left"/>
              <w:rPr>
                <w:color w:val="000000"/>
              </w:rPr>
            </w:pPr>
            <w:r>
              <w:rPr>
                <w:color w:val="000000"/>
              </w:rPr>
              <w:t>   </w:t>
            </w:r>
            <w:r>
              <w:rPr>
                <w:rFonts w:ascii="Arial" w:hAnsi="Arial"/>
                <w:color w:val="000000"/>
                <w:sz w:val="20"/>
              </w:rPr>
              <w:t>issued and outstanding, actual; no shares authorized,</w:t>
            </w:r>
          </w:p>
          <w:p>
            <w:pPr>
              <w:pStyle w:val="TableContents"/>
              <w:bidi w:val="0"/>
              <w:jc w:val="left"/>
              <w:rPr>
                <w:color w:val="000000"/>
              </w:rPr>
            </w:pPr>
            <w:r>
              <w:rPr>
                <w:color w:val="000000"/>
              </w:rPr>
              <w:t>   </w:t>
            </w:r>
            <w:r>
              <w:rPr>
                <w:rFonts w:ascii="Arial" w:hAnsi="Arial"/>
                <w:color w:val="000000"/>
                <w:sz w:val="20"/>
              </w:rPr>
              <w:t>issued or outstanding, pro forma and pro forma as</w:t>
            </w:r>
          </w:p>
          <w:p>
            <w:pPr>
              <w:pStyle w:val="TableContents"/>
              <w:bidi w:val="0"/>
              <w:spacing w:before="0" w:after="283"/>
              <w:jc w:val="left"/>
              <w:rPr>
                <w:color w:val="000000"/>
              </w:rPr>
            </w:pPr>
            <w:r>
              <w:rPr>
                <w:color w:val="000000"/>
              </w:rPr>
              <w:t>   </w:t>
            </w:r>
            <w:r>
              <w:rPr>
                <w:rFonts w:ascii="Arial" w:hAnsi="Arial"/>
                <w:color w:val="000000"/>
                <w:sz w:val="20"/>
              </w:rPr>
              <w:t>adjusted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703,558</w:t>
            </w:r>
            <w:r>
              <w:rPr>
                <w:rFonts w:ascii="Times New Roman" w:hAnsi="Times New Roman"/>
                <w:color w:val="000000"/>
                <w:sz w:val="20"/>
              </w:rPr>
              <w:t xml:space="preserve">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(deficit)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Preferred stock, $0.0001 par value; no shares authorized,</w:t>
            </w:r>
          </w:p>
          <w:p>
            <w:pPr>
              <w:pStyle w:val="TableContents"/>
              <w:bidi w:val="0"/>
              <w:jc w:val="left"/>
              <w:rPr>
                <w:color w:val="000000"/>
              </w:rPr>
            </w:pPr>
            <w:r>
              <w:rPr>
                <w:color w:val="000000"/>
              </w:rPr>
              <w:t>   </w:t>
            </w:r>
            <w:r>
              <w:rPr>
                <w:rFonts w:ascii="Arial" w:hAnsi="Arial"/>
                <w:color w:val="000000"/>
                <w:sz w:val="20"/>
              </w:rPr>
              <w:t>issued or outstanding, actual; 50,000,000 shares</w:t>
            </w:r>
          </w:p>
          <w:p>
            <w:pPr>
              <w:pStyle w:val="TableContents"/>
              <w:bidi w:val="0"/>
              <w:jc w:val="left"/>
              <w:rPr>
                <w:color w:val="000000"/>
              </w:rPr>
            </w:pPr>
            <w:r>
              <w:rPr>
                <w:color w:val="000000"/>
              </w:rPr>
              <w:t>   </w:t>
            </w:r>
            <w:r>
              <w:rPr>
                <w:rFonts w:ascii="Arial" w:hAnsi="Arial"/>
                <w:color w:val="000000"/>
                <w:sz w:val="20"/>
              </w:rPr>
              <w:t>authorized, pro forma and pro forma as adjusted; no</w:t>
            </w:r>
          </w:p>
          <w:p>
            <w:pPr>
              <w:pStyle w:val="TableContents"/>
              <w:bidi w:val="0"/>
              <w:jc w:val="left"/>
              <w:rPr>
                <w:color w:val="000000"/>
              </w:rPr>
            </w:pPr>
            <w:r>
              <w:rPr>
                <w:color w:val="000000"/>
              </w:rPr>
              <w:t>   </w:t>
            </w:r>
            <w:r>
              <w:rPr>
                <w:rFonts w:ascii="Arial" w:hAnsi="Arial"/>
                <w:color w:val="000000"/>
                <w:sz w:val="20"/>
              </w:rPr>
              <w:t>shares issued and outstanding, pro forma and pro forma</w:t>
            </w:r>
          </w:p>
          <w:p>
            <w:pPr>
              <w:pStyle w:val="TableContents"/>
              <w:bidi w:val="0"/>
              <w:spacing w:before="0" w:after="283"/>
              <w:jc w:val="left"/>
              <w:rPr>
                <w:color w:val="000000"/>
              </w:rPr>
            </w:pPr>
            <w:r>
              <w:rPr>
                <w:color w:val="000000"/>
              </w:rPr>
              <w:t>   </w:t>
            </w:r>
            <w:r>
              <w:rPr>
                <w:rFonts w:ascii="Arial" w:hAnsi="Arial"/>
                <w:color w:val="000000"/>
                <w:sz w:val="20"/>
              </w:rPr>
              <w:t>as adjusted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Common stock, $0.0001 par value per share; 365,081,240</w:t>
            </w:r>
          </w:p>
          <w:p>
            <w:pPr>
              <w:pStyle w:val="TableContents"/>
              <w:bidi w:val="0"/>
              <w:jc w:val="left"/>
              <w:rPr>
                <w:color w:val="000000"/>
              </w:rPr>
            </w:pPr>
            <w:r>
              <w:rPr>
                <w:color w:val="000000"/>
              </w:rPr>
              <w:t>   </w:t>
            </w:r>
            <w:r>
              <w:rPr>
                <w:rFonts w:ascii="Arial" w:hAnsi="Arial"/>
                <w:color w:val="000000"/>
                <w:sz w:val="20"/>
              </w:rPr>
              <w:t>shares authorized, 2,472,757 shares issued, 2,306,207</w:t>
            </w:r>
          </w:p>
          <w:p>
            <w:pPr>
              <w:pStyle w:val="TableContents"/>
              <w:bidi w:val="0"/>
              <w:jc w:val="left"/>
              <w:rPr>
                <w:color w:val="000000"/>
              </w:rPr>
            </w:pPr>
            <w:r>
              <w:rPr>
                <w:color w:val="000000"/>
              </w:rPr>
              <w:t>   </w:t>
            </w:r>
            <w:r>
              <w:rPr>
                <w:rFonts w:ascii="Arial" w:hAnsi="Arial"/>
                <w:color w:val="000000"/>
                <w:sz w:val="20"/>
              </w:rPr>
              <w:t>shares outstanding, actual; 500,000,000 shares</w:t>
            </w:r>
          </w:p>
          <w:p>
            <w:pPr>
              <w:pStyle w:val="TableContents"/>
              <w:bidi w:val="0"/>
              <w:jc w:val="left"/>
              <w:rPr>
                <w:color w:val="000000"/>
              </w:rPr>
            </w:pPr>
            <w:r>
              <w:rPr>
                <w:color w:val="000000"/>
              </w:rPr>
              <w:t>   </w:t>
            </w:r>
            <w:r>
              <w:rPr>
                <w:rFonts w:ascii="Arial" w:hAnsi="Arial"/>
                <w:color w:val="000000"/>
                <w:sz w:val="20"/>
              </w:rPr>
              <w:t>authorized, pro forma and pro forma as adjusted;</w:t>
            </w:r>
          </w:p>
          <w:p>
            <w:pPr>
              <w:pStyle w:val="TableContents"/>
              <w:bidi w:val="0"/>
              <w:jc w:val="left"/>
              <w:rPr>
                <w:color w:val="000000"/>
              </w:rPr>
            </w:pPr>
            <w:r>
              <w:rPr>
                <w:color w:val="000000"/>
              </w:rPr>
              <w:t>   </w:t>
            </w:r>
            <w:r>
              <w:rPr>
                <w:rFonts w:ascii="Arial" w:hAnsi="Arial"/>
                <w:color w:val="000000"/>
                <w:sz w:val="20"/>
              </w:rPr>
              <w:t>30,284,181 shares issued and outstanding, pro forma;</w:t>
            </w:r>
          </w:p>
          <w:p>
            <w:pPr>
              <w:pStyle w:val="TableContents"/>
              <w:bidi w:val="0"/>
              <w:jc w:val="left"/>
              <w:rPr/>
            </w:pPr>
            <w:r>
              <w:rPr>
                <w:color w:val="000000"/>
              </w:rPr>
              <w:t>   </w:t>
            </w:r>
            <w:r>
              <w:rPr>
                <w:rFonts w:ascii="Arial" w:hAnsi="Arial"/>
                <w:color w:val="000000"/>
                <w:sz w:val="20"/>
              </w:rPr>
              <w:t>and 44,994,769 shares issued and outstanding, pro</w:t>
            </w:r>
            <w:r>
              <w:rPr>
                <w:rFonts w:ascii="Times New Roman" w:hAnsi="Times New Roman"/>
                <w:color w:val="000000"/>
                <w:sz w:val="20"/>
              </w:rPr>
              <w:t xml:space="preserve"> </w:t>
            </w:r>
          </w:p>
          <w:p>
            <w:pPr>
              <w:pStyle w:val="TableContents"/>
              <w:bidi w:val="0"/>
              <w:spacing w:before="0" w:after="283"/>
              <w:jc w:val="left"/>
              <w:rPr>
                <w:color w:val="000000"/>
              </w:rPr>
            </w:pPr>
            <w:r>
              <w:rPr>
                <w:color w:val="000000"/>
              </w:rPr>
              <w:t>   </w:t>
            </w:r>
            <w:r>
              <w:rPr>
                <w:rFonts w:ascii="Arial" w:hAnsi="Arial"/>
                <w:color w:val="000000"/>
                <w:sz w:val="20"/>
              </w:rPr>
              <w:t>forma as adjusted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3</w:t>
            </w:r>
            <w:r>
              <w:rPr>
                <w:rFonts w:ascii="Times New Roman" w:hAnsi="Times New Roman"/>
                <w:color w:val="000000"/>
                <w:sz w:val="20"/>
              </w:rPr>
              <w:t xml:space="preserve">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Additional paid-in capital</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79,616</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783,171</w:t>
            </w:r>
            <w:r>
              <w:rPr>
                <w:rFonts w:ascii="Times New Roman" w:hAnsi="Times New Roman"/>
                <w:color w:val="000000"/>
                <w:sz w:val="20"/>
              </w:rPr>
              <w:t xml:space="preserve">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1,011,644</w:t>
            </w:r>
            <w:r>
              <w:rPr>
                <w:rFonts w:ascii="Times New Roman" w:hAnsi="Times New Roman"/>
                <w:color w:val="000000"/>
                <w:sz w:val="20"/>
              </w:rPr>
              <w:t xml:space="preserve">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245</w:t>
            </w:r>
            <w:r>
              <w:rPr>
                <w:rFonts w:ascii="Times New Roman" w:hAnsi="Times New Roman"/>
                <w:color w:val="000000"/>
                <w:sz w:val="20"/>
              </w:rPr>
              <w:t xml:space="preserve">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245</w:t>
            </w:r>
            <w:r>
              <w:rPr>
                <w:rFonts w:ascii="Times New Roman" w:hAnsi="Times New Roman"/>
                <w:color w:val="000000"/>
                <w:sz w:val="20"/>
              </w:rPr>
              <w:t xml:space="preserve">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245</w:t>
            </w:r>
            <w:r>
              <w:rPr>
                <w:rFonts w:ascii="Times New Roman" w:hAnsi="Times New Roman"/>
                <w:color w:val="000000"/>
                <w:sz w:val="20"/>
              </w:rPr>
              <w:t xml:space="preserve">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deficit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(568,139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(568,139</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(568,139)</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(deficit)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(488,278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215,280</w:t>
            </w:r>
            <w:r>
              <w:rPr>
                <w:rFonts w:ascii="Times New Roman" w:hAnsi="Times New Roman"/>
                <w:color w:val="000000"/>
                <w:sz w:val="20"/>
              </w:rPr>
              <w:t xml:space="preserve">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443,754</w:t>
            </w:r>
            <w:r>
              <w:rPr>
                <w:rFonts w:ascii="Times New Roman" w:hAnsi="Times New Roman"/>
                <w:color w:val="000000"/>
                <w:sz w:val="20"/>
              </w:rPr>
              <w:t xml:space="preserve">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capitalization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215,280</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85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215,280</w:t>
            </w:r>
            <w:r>
              <w:rPr>
                <w:rFonts w:ascii="Times New Roman" w:hAnsi="Times New Roman"/>
                <w:color w:val="000000"/>
                <w:sz w:val="20"/>
              </w:rPr>
              <w:t xml:space="preserve"> </w:t>
            </w:r>
          </w:p>
        </w:tc>
        <w:tc>
          <w:tcPr>
            <w:tcW w:w="16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443,754</w:t>
            </w:r>
            <w:r>
              <w:rPr>
                <w:rFonts w:ascii="Times New Roman" w:hAnsi="Times New Roman"/>
                <w:color w:val="000000"/>
                <w:sz w:val="20"/>
              </w:rPr>
              <w:t xml:space="preserve"> </w:t>
            </w:r>
          </w:p>
        </w:tc>
        <w:tc>
          <w:tcPr>
            <w:tcW w:w="191"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ind w:left="0" w:right="9792" w:hanging="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Each $1.00 increase (decrease) in the assumed initial public offering price of $17.00, the midpoint of the price range set forth on the cover page of this prospectus, would increase (decrease) each of the pro forma as adjusted cash and cash equivalents, additional paid-in capital, total stockholders’ equity and total capitalization by approximately $12,313, assuming that the number of shares offered by us in this offering, as set forth on the cover page of this prospectus, remains the same, after deducting underwriting discounts and commissions, placement agent fees and estimated expenses payable by us. We may also increase or decrease the number of shares we are offering in this offering and the concurrent private placement. An increase (decrease) of 1.0 million in the </w:t>
      </w:r>
    </w:p>
    <w:p>
      <w:pPr>
        <w:pStyle w:val="TextBody"/>
        <w:bidi w:val="0"/>
        <w:spacing w:before="12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pPr>
      <w:r>
        <w:rPr>
          <w:rFonts w:ascii="Arial" w:hAnsi="Arial"/>
          <w:color w:val="000000"/>
          <w:sz w:val="20"/>
        </w:rPr>
        <w:t>number of shares we are offering would increase (decrease) each of the pro forma as adjusted cash and cash equivalents, additional paid-in capital, total stockholders’ equity and total capitalization by approximately $15,810, assuming an initial public offering price of $17.00, the midpoint of the price range set forth on the cover page of this prospectus, after deducting underwriting discounts and commissions, placement agent fees and estimated expenses payable by us.</w:t>
      </w:r>
      <w:r>
        <w:rPr>
          <w:color w:val="00000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pro forma and pro forma as adjusted information is illustrative only and following the completion of this offering will be adjusted based on the actual initial public offering price and other terms of this offering and the concurrent private placement determined at pricing. You should read this information in conjunction with our financial statements and the related notes included elsewhere in this prospectus, the section of this prospectus titled “</w:t>
      </w:r>
      <w:r>
        <w:rPr>
          <w:rFonts w:ascii="Arial" w:hAnsi="Arial"/>
          <w:i/>
          <w:color w:val="000000"/>
          <w:sz w:val="20"/>
        </w:rPr>
        <w:t>Management’s Discussion and Analysis of Financial Condition and Results of Operations</w:t>
      </w:r>
      <w:r>
        <w:rPr>
          <w:rFonts w:ascii="Times New Roman" w:hAnsi="Times New Roman"/>
          <w:color w:val="000000"/>
          <w:sz w:val="20"/>
        </w:rPr>
        <w:t xml:space="preserve">” </w:t>
      </w:r>
      <w:r>
        <w:rPr>
          <w:rFonts w:ascii="Arial" w:hAnsi="Arial"/>
          <w:color w:val="000000"/>
          <w:sz w:val="20"/>
        </w:rPr>
        <w:t>and other financial information contained in this prospectus.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table set forth above is based on 30,284,181 shares of our common stock outstanding as of December 31, 2025, including 166,550 shares of our unvested restricted common stock, after giving effect to (i) the conversion of all outstanding shares of our convertible preferred stock into an aggregate of 24,596,000 shares of our common stock immediately prior to the closing of this offering, (ii) the automatic exercise of the Common Stock Warrants, on a net exercise basis, into an aggregate of 3,288,305 shares of our common stock immediately prior to the closing of this offering and (iii) the automatic conversion of all outstanding shares of our non-voting common stock into an aggregate of 8,359 shares of our common stock upon the closing of this offering, and excludes:</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4,631,713 shares of our common stock issuable upon the exercise of stock options outstanding as of December 31, 2025, under the 2021 Plan, at a weighted average exercise price of $4.94 per share;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953,136 shares of our common stock reserved for future issuance under the 2021 Plan as of December 31, 2025 (which number includes 162,162 shares of our common stock issuable upon the exercise of stock options subsequently granted prior to the date of this prospectus), which shares will cease to be available for issuance at the time the 2026 Plan becomes effective;</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pPr>
      <w:r>
        <w:rPr>
          <w:rFonts w:ascii="Arial" w:hAnsi="Arial"/>
          <w:color w:val="000000"/>
          <w:sz w:val="20"/>
        </w:rPr>
        <w:t>6,232,376 shares of our common stock reserved for future issuance under our 2026 Plan, which will become effective on the date immediately preceding the date on which our common stock is listed (or approved for listing) on Nasdaq (which number includes options to purchase an aggregate of 3,433,534 shares of our common stock to be granted under the 2026 Plan to certain of our employees and directors upon the pricing of this offering, with an exercise price equal to the initial public offering price per share), as well as any automatic increases in the number of shares of our common stock reserved for future issuance under the 2026 Plan and any shares underlying outstanding stock awards granted under the 2021 Plan that expire or are repurchased, forfeited, cancelled or withheld, as more fully described in the section of this prospectus titled “</w:t>
      </w:r>
      <w:r>
        <w:rPr>
          <w:rFonts w:ascii="Arial" w:hAnsi="Arial"/>
          <w:i/>
          <w:color w:val="000000"/>
          <w:sz w:val="20"/>
        </w:rPr>
        <w:t>Executive Compensation—Equity Benefit Plans</w:t>
      </w:r>
      <w:r>
        <w:rPr>
          <w:color w:val="000000"/>
        </w:rPr>
        <w:t>”</w:t>
      </w:r>
      <w:r>
        <w:rPr>
          <w:rFonts w:ascii="Arial" w:hAnsi="Arial"/>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516,400 shares of common stock reserved for future issuance under the ESPP, which will become effective on the date immediately following the date on which our common stock is listed (or approved for listing) on Nasdaq, as well as any automatic increases in the number of shares of common stock reserved for future issuance under the ESPP;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1,742 shares of our common stock issuable upon the exercise of the BOC Warrant as of December 31, 2025, at an exercise price of $59.80 per share (after giving effect to the conversion of our convertible preferred stock into common stock). </w:t>
      </w:r>
    </w:p>
    <w:p>
      <w:pPr>
        <w:pStyle w:val="TextBody"/>
        <w:bidi w:val="0"/>
        <w:spacing w:before="12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1" w:name="dilution"/>
      <w:bookmarkEnd w:id="11"/>
      <w:r>
        <w:rPr>
          <w:rFonts w:ascii="Arial" w:hAnsi="Arial"/>
          <w:b/>
          <w:color w:val="000000"/>
          <w:sz w:val="20"/>
        </w:rPr>
        <w:t>DILUTION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If you invest in our common stock in this offering, your ownership interest will be immediately diluted to the extent of the difference between the initial public offering price per share of our common stock in this offering and the pro forma as adjusted net tangible book value per share of our common stock immediately after this offering and the concurrent private placement.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As of December 31, 2025, we had a historical net tangible book value of $(502.9) million, or $(225.19) per share of our common stock. Our net tangible book value per share represents our total tangible assets less our total liabilities, deferred offering costs and the carrying value of our convertible preferred stock, all divided by the number of shares of our common stock outstanding on such date. Our pro forma net tangible book value as of December 31, 2025 was $200.6 million, or $6.62 per share. Pro forma net tangible book value per share represents the amount of our net tangible book value divided by the number of shares of our common stock outstanding as of December 31, 2025, after giving effect to (i) the conversion of all outstanding shares of our convertible preferred stock into an aggregate of 24,596,000 shares of our common stock immediately prior to the closing of this offering, (ii) the automatic exercise of the Common Stock Warrants, on a net exercise basis, into an aggregate of 3,288,305 shares of our common stock immediately prior to the closing of this offering, (iii) the automatic conversion of all outstanding shares of our non-voting common stock into an aggregate of 8,359 shares of our common stock upon the closing of this offering and (iv) the filing and effectiveness of our Certificate of Incorporation, which will be effective immediately prior to the closing of this offering.</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After giving further effect to the sale of 13,240,000 shares of our common stock in this offering and 1,470,588 shares of common stock in the concurrent private placement at an assumed initial public offering price of $17.00 per share, the midpoint of the price range set forth on the cover page of this prospectus, after deducting underwriting discounts and commissions, placement agent fees and estimated expenses payable by us, our pro forma as adjusted net tangible book value as of December 31, 2025 would have been approximately $429.2 million, or approximately $9.54 per share. This represents an immediate increase in pro forma net tangible book value of $2.92 per share to existing stockholders and an immediate dilution in pro forma net tangible book value of $7.46 per share to new investors purchasing shares of our common stock in this offering. Dilution per share to new investors is determined by subtracting pro forma as adjusted net tangible book value per share after this offering and the concurrent private placement from the initial public offering price per share paid by new investors. The following table illustrates this per share dilution:</w:t>
      </w:r>
      <w:r>
        <w:rPr>
          <w:rFonts w:ascii="Times New Roman" w:hAnsi="Times New Roman"/>
          <w:color w:val="000000"/>
          <w:sz w:val="20"/>
        </w:rPr>
        <w:t xml:space="preserve"> </w:t>
      </w:r>
    </w:p>
    <w:p>
      <w:pPr>
        <w:pStyle w:val="TextBody"/>
        <w:bidi w:val="0"/>
        <w:jc w:val="left"/>
        <w:rPr/>
      </w:pPr>
      <w:r>
        <w:rPr/>
        <w:t> </w:t>
      </w:r>
    </w:p>
    <w:tbl>
      <w:tblPr>
        <w:tblW w:w="9621" w:type="dxa"/>
        <w:jc w:val="left"/>
        <w:tblInd w:w="0" w:type="dxa"/>
        <w:tblLayout w:type="fixed"/>
        <w:tblCellMar>
          <w:top w:w="28" w:type="dxa"/>
          <w:left w:w="28" w:type="dxa"/>
          <w:bottom w:w="28" w:type="dxa"/>
          <w:right w:w="28" w:type="dxa"/>
        </w:tblCellMar>
      </w:tblPr>
      <w:tblGrid>
        <w:gridCol w:w="6916"/>
        <w:gridCol w:w="146"/>
        <w:gridCol w:w="211"/>
        <w:gridCol w:w="926"/>
        <w:gridCol w:w="146"/>
        <w:gridCol w:w="211"/>
        <w:gridCol w:w="586"/>
        <w:gridCol w:w="479"/>
      </w:tblGrid>
      <w:tr>
        <w:trPr/>
        <w:tc>
          <w:tcPr>
            <w:tcW w:w="6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Assumed initial public offering price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17.00</w:t>
            </w:r>
          </w:p>
        </w:tc>
        <w:tc>
          <w:tcPr>
            <w:tcW w:w="479"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6916"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Arial" w:hAnsi="Arial"/>
                <w:color w:val="000000"/>
                <w:sz w:val="20"/>
              </w:rPr>
            </w:pPr>
            <w:r>
              <w:rPr>
                <w:rFonts w:ascii="Arial" w:hAnsi="Arial"/>
                <w:color w:val="000000"/>
                <w:sz w:val="20"/>
              </w:rPr>
              <w:t>Historical net tangible book value per share as of December 31, 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tcMar>
              <w:top w:w="0" w:type="dxa"/>
              <w:left w:w="0" w:type="dxa"/>
              <w:bottom w:w="0" w:type="dxa"/>
              <w:right w:w="0" w:type="dxa"/>
            </w:tcMar>
            <w:vAlign w:val="center"/>
          </w:tcPr>
          <w:p>
            <w:pPr>
              <w:pStyle w:val="TableContents"/>
              <w:bidi w:val="0"/>
              <w:spacing w:before="0" w:after="283"/>
              <w:ind w:left="0" w:right="115" w:hanging="0"/>
              <w:jc w:val="right"/>
              <w:rPr>
                <w:rFonts w:ascii="Arial" w:hAnsi="Arial"/>
                <w:color w:val="000000"/>
                <w:sz w:val="20"/>
              </w:rPr>
            </w:pPr>
            <w:r>
              <w:rPr>
                <w:rFonts w:ascii="Arial" w:hAnsi="Arial"/>
                <w:color w:val="000000"/>
                <w:sz w:val="20"/>
              </w:rPr>
              <w:t>(225.19)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ind w:left="288" w:right="0" w:firstLine="288"/>
              <w:jc w:val="left"/>
              <w:rPr>
                <w:rFonts w:ascii="Arial" w:hAnsi="Arial"/>
                <w:color w:val="000000"/>
                <w:sz w:val="20"/>
              </w:rPr>
            </w:pPr>
            <w:r>
              <w:rPr>
                <w:rFonts w:ascii="Arial" w:hAnsi="Arial"/>
                <w:color w:val="000000"/>
                <w:sz w:val="20"/>
              </w:rPr>
              <w:t>Increase per share attributable to the pro forma adjustments described</w:t>
            </w:r>
          </w:p>
          <w:p>
            <w:pPr>
              <w:pStyle w:val="TableContents"/>
              <w:bidi w:val="0"/>
              <w:spacing w:before="0" w:after="283"/>
              <w:ind w:left="288" w:right="0" w:firstLine="288"/>
              <w:jc w:val="left"/>
              <w:rPr>
                <w:color w:val="000000"/>
              </w:rPr>
            </w:pPr>
            <w:r>
              <w:rPr>
                <w:color w:val="000000"/>
              </w:rPr>
              <w:t>   </w:t>
            </w:r>
            <w:r>
              <w:rPr>
                <w:rFonts w:ascii="Arial" w:hAnsi="Arial"/>
                <w:color w:val="000000"/>
                <w:sz w:val="20"/>
              </w:rPr>
              <w:t>above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15" w:hanging="0"/>
              <w:jc w:val="right"/>
              <w:rPr>
                <w:rFonts w:ascii="Arial" w:hAnsi="Arial"/>
                <w:color w:val="000000"/>
                <w:sz w:val="20"/>
              </w:rPr>
            </w:pPr>
            <w:r>
              <w:rPr>
                <w:rFonts w:ascii="Arial" w:hAnsi="Arial"/>
                <w:color w:val="000000"/>
                <w:sz w:val="20"/>
              </w:rPr>
              <w:t>231.81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6916"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Arial" w:hAnsi="Arial"/>
                <w:color w:val="000000"/>
                <w:sz w:val="20"/>
              </w:rPr>
            </w:pPr>
            <w:r>
              <w:rPr>
                <w:rFonts w:ascii="Arial" w:hAnsi="Arial"/>
                <w:color w:val="000000"/>
                <w:sz w:val="20"/>
              </w:rPr>
              <w:t>Pro forma net tangible book value per share as of December 31, 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tcMar>
              <w:top w:w="0" w:type="dxa"/>
              <w:left w:w="0" w:type="dxa"/>
              <w:bottom w:w="0" w:type="dxa"/>
              <w:right w:w="0" w:type="dxa"/>
            </w:tcMar>
            <w:vAlign w:val="center"/>
          </w:tcPr>
          <w:p>
            <w:pPr>
              <w:pStyle w:val="TableContents"/>
              <w:bidi w:val="0"/>
              <w:spacing w:before="0" w:after="283"/>
              <w:ind w:left="0" w:right="115" w:hanging="0"/>
              <w:jc w:val="right"/>
              <w:rPr>
                <w:rFonts w:ascii="Arial" w:hAnsi="Arial"/>
                <w:color w:val="000000"/>
                <w:sz w:val="20"/>
              </w:rPr>
            </w:pPr>
            <w:r>
              <w:rPr>
                <w:rFonts w:ascii="Arial" w:hAnsi="Arial"/>
                <w:color w:val="000000"/>
                <w:sz w:val="20"/>
              </w:rPr>
              <w:t>6.62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ind w:left="288" w:right="0" w:firstLine="288"/>
              <w:jc w:val="left"/>
              <w:rPr>
                <w:rFonts w:ascii="Arial" w:hAnsi="Arial"/>
                <w:color w:val="000000"/>
                <w:sz w:val="20"/>
              </w:rPr>
            </w:pPr>
            <w:r>
              <w:rPr>
                <w:rFonts w:ascii="Arial" w:hAnsi="Arial"/>
                <w:color w:val="000000"/>
                <w:sz w:val="20"/>
              </w:rPr>
              <w:t>Increase in pro forma net tangible book value per share attributable to this</w:t>
            </w:r>
          </w:p>
          <w:p>
            <w:pPr>
              <w:pStyle w:val="TableContents"/>
              <w:bidi w:val="0"/>
              <w:spacing w:before="0" w:after="283"/>
              <w:ind w:left="288" w:right="0" w:firstLine="288"/>
              <w:jc w:val="left"/>
              <w:rPr>
                <w:color w:val="000000"/>
              </w:rPr>
            </w:pPr>
            <w:r>
              <w:rPr>
                <w:color w:val="000000"/>
              </w:rPr>
              <w:t>   </w:t>
            </w:r>
            <w:r>
              <w:rPr>
                <w:rFonts w:ascii="Arial" w:hAnsi="Arial"/>
                <w:color w:val="000000"/>
                <w:sz w:val="20"/>
              </w:rPr>
              <w:t>offering and the concurrent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115" w:hanging="0"/>
              <w:jc w:val="right"/>
              <w:rPr>
                <w:rFonts w:ascii="Arial" w:hAnsi="Arial"/>
                <w:color w:val="000000"/>
                <w:sz w:val="20"/>
              </w:rPr>
            </w:pPr>
            <w:r>
              <w:rPr>
                <w:rFonts w:ascii="Arial" w:hAnsi="Arial"/>
                <w:color w:val="000000"/>
                <w:sz w:val="20"/>
              </w:rPr>
              <w:t>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Pro forma as adjusted net tangible book value per share immediately after this</w:t>
            </w:r>
          </w:p>
          <w:p>
            <w:pPr>
              <w:pStyle w:val="TableContents"/>
              <w:bidi w:val="0"/>
              <w:spacing w:before="0" w:after="283"/>
              <w:jc w:val="left"/>
              <w:rPr>
                <w:color w:val="000000"/>
              </w:rPr>
            </w:pPr>
            <w:r>
              <w:rPr>
                <w:color w:val="000000"/>
              </w:rPr>
              <w:t>   </w:t>
            </w:r>
            <w:r>
              <w:rPr>
                <w:rFonts w:ascii="Arial" w:hAnsi="Arial"/>
                <w:color w:val="000000"/>
                <w:sz w:val="20"/>
              </w:rPr>
              <w:t>offering and the concurrent private placement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92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w:t>
            </w:r>
          </w:p>
        </w:tc>
        <w:tc>
          <w:tcPr>
            <w:tcW w:w="47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Dilution per share to investors purchasing common stock in this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w:t>
            </w:r>
          </w:p>
        </w:tc>
        <w:tc>
          <w:tcPr>
            <w:tcW w:w="479"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The dilution information discussed above is illustrative only and may change based on the actual initial public offering price and other terms of this offering and the concurrent private placement. Each $1.00 increase in the assumed initial public offering price of $17.00 per share, the midpoint of the price range set forth on the cover page of this prospectus, would increase our pro forma as adjusted net tangible book value per share after this offering and the concurrent private placement by $0.28, and would increase dilution per share to new investors in this offering by $0.72, in each case assuming that the number of shares offered by us in this offering, as set forth on the cover page of this prospectus, remains the same and after deducting underwriting discounts and commissions, placement agent fees and estimated expenses payable by us. Similarly, each increase of 1.0 million in the number of shares offered by us would increase our pro forma as adjusted net tangible book value per share after this offering and the concurrent private placement by approximately $0.13 per share and decrease the dilution to new investors by approximately $0.13 per share, in each case assuming that the assumed initial public offering price remains the same, and after deducting underwriting discounts and commissions, placement agent fees and estimated expenses payable by us.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Except as otherwise indicated, the above discussion and tables assume no exercise of the underwriters’ option to purchase additional shares. If the underwriters’ option to purchase 1,986,000 additional shares is exercised in full, pro forma as adjusted net tangible book value after this offering and the concurrent private placement would be approximately $9.80 per share, the increase in pro forma net tangible book value per share to existing stockholders would be $0.26 per share and the dilution per share to new investors would be $7.20 per share, in each case assuming an initial public</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offering price of $17.00 per share, the midpoint of the price range set forth on the cover page of this prospectus, after deducting underwriting discounts and commissions, placement agent fees and estimated expenses payable by us.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following table summarizes, on a pro forma as adjusted basis as of December 31, 2025, the differences between the number of shares of our common stock purchased from us, the total consideration paid and the average price per share paid by existing stockholders and to be paid by the new investors purchasing shares of our common stock in this offering and the concurrent private placement, at the assumed initial public offering price of common stock of $17.00 per share, the midpoint of the price range set forth on the cover page of this prospectus, before deducting underwriting discounts and commissions, placement agent fees and estimated expenses payable by us.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50"/>
        <w:gridCol w:w="146"/>
        <w:gridCol w:w="146"/>
        <w:gridCol w:w="1066"/>
        <w:gridCol w:w="146"/>
        <w:gridCol w:w="146"/>
        <w:gridCol w:w="146"/>
        <w:gridCol w:w="665"/>
        <w:gridCol w:w="326"/>
        <w:gridCol w:w="146"/>
        <w:gridCol w:w="211"/>
        <w:gridCol w:w="1171"/>
        <w:gridCol w:w="146"/>
        <w:gridCol w:w="146"/>
        <w:gridCol w:w="146"/>
        <w:gridCol w:w="586"/>
        <w:gridCol w:w="286"/>
        <w:gridCol w:w="146"/>
        <w:gridCol w:w="211"/>
        <w:gridCol w:w="681"/>
        <w:gridCol w:w="192"/>
      </w:tblGrid>
      <w:tr>
        <w:trPr/>
        <w:tc>
          <w:tcPr>
            <w:tcW w:w="3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3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r>
          </w:p>
        </w:tc>
      </w:tr>
      <w:tr>
        <w:trPr/>
        <w:tc>
          <w:tcPr>
            <w:tcW w:w="33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69"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Shares</w:t>
            </w:r>
          </w:p>
        </w:tc>
        <w:tc>
          <w:tcPr>
            <w:tcW w:w="3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9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Consideration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84"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 Price</w:t>
            </w:r>
          </w:p>
        </w:tc>
      </w:tr>
      <w:tr>
        <w:trPr/>
        <w:tc>
          <w:tcPr>
            <w:tcW w:w="33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2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1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 Share</w:t>
            </w:r>
          </w:p>
        </w:tc>
        <w:tc>
          <w:tcPr>
            <w:tcW w:w="19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Existing stockholders before this offering and concurrent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30,284,181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725,802,050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New investors purchasing shares in this offering and concurrent private placement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14,710,588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w:t>
            </w:r>
          </w:p>
        </w:tc>
        <w:tc>
          <w:tcPr>
            <w:tcW w:w="3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250,080,000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w:t>
            </w:r>
          </w:p>
        </w:tc>
        <w:tc>
          <w:tcPr>
            <w:tcW w:w="2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17.00</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44,994,769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975,882,050</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2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21.69</w:t>
            </w:r>
          </w:p>
        </w:tc>
        <w:tc>
          <w:tcPr>
            <w:tcW w:w="19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83"/>
        <w:jc w:val="left"/>
        <w:rPr/>
      </w:pPr>
      <w:r>
        <w:rPr/>
      </w:r>
    </w:p>
    <w:p>
      <w:pPr>
        <w:pStyle w:val="TextBody"/>
        <w:bidi w:val="0"/>
        <w:ind w:left="0" w:right="0" w:firstLine="619"/>
        <w:jc w:val="left"/>
        <w:rPr>
          <w:rFonts w:ascii="Times New Roman" w:hAnsi="Times New Roman"/>
          <w:sz w:val="20"/>
        </w:rPr>
      </w:pPr>
      <w:r>
        <w:rPr>
          <w:rFonts w:ascii="Arial" w:hAnsi="Arial"/>
          <w:color w:val="000000"/>
          <w:sz w:val="20"/>
        </w:rPr>
        <w:t>Each $1.00 increase (decrease) in the assumed initial public offering price of $17.00 per share, the midpoint of the price range set forth on the cover page of this prospectus, would increase (decrease) the total consideration paid by new investors by $13.2 million and, in the case of an increase, would increase the percentage of total consideration paid by new investors by 1.0% and, in the case of a decrease, would decrease the percentage of total consideration paid by new investors by 1.0%, assuming that the number of shares offered by us in this offering, as set forth on the cover page of this prospectus, remains the same. Similarly, each increase (decrease) of 1.0 million in the number of shares offered by us in this offering, as set forth on the cover page of this prospectus, would increase (decrease) the total consideration paid by new investors by $17.0 million and, in the case of an increase, would increase the percentage of total consideration paid by new investors by 1.3% and, in the case of a decrease, would decrease the percentage of total consideration paid by new investors by 1.3%, in each case assuming that the assumed initial public offering price remains the same.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foregoing tables and calculations (other than historical net tangible book value calculations) are based on 30,284,181 shares of our common stock outstanding as of December 31, 2025, including 166,550 shares of unvested restricted common stock, after giving effect to (i) the conversion of all outstanding shares of our convertible preferred stock into an aggregate of 24,596,000 shares of our common stock immediately prior to the closing of this offering, (ii) the automatic exercise of the Common Stock Warrants, on a net exercise basis, into an aggregate of 3,288,305 shares of our common stock immediately prior to the closing of this offering and (iii) the automatic conversion of all outstanding shares of our non-voting common stock into an aggregate of 8,359 shares of our common stock upon the closing of this offering, and exclude:</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4,631,713 shares of our common stock issuable upon the exercise of stock options outstanding as of December 31, 2025, under the 2021 Plan, at a weighted average exercise price of $4.94 per share;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953,136 shares of our common stock reserved for future issuance under the 2021 Plan as of December 31, 2025 (which number includes 162,162 shares of our common stock issuable upon the exercise of stock options subsequently granted prior to the date of this prospectus), which shares will cease to be available for issuance at the time the 2026 Plan becomes effective;</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pPr>
      <w:r>
        <w:rPr>
          <w:rFonts w:ascii="Arial" w:hAnsi="Arial"/>
          <w:color w:val="000000"/>
          <w:sz w:val="20"/>
        </w:rPr>
        <w:t>6,232,376 shares of our common stock reserved for future issuance under our 2026 Plan, which will become effective on the date immediately preceding the date on which our common stock is listed (or approved for listing) on Nasdaq (which number includes options to purchase an aggregate of 3,433,534 shares of our common stock to be granted under the 2026 Plan to certain of our employees and directors upon the pricing of this offering, with an exercise price equal to the initial public offering price per share), as well as any automatic increases in the number of shares of our common stock reserved for future issuance under the 2026 Plan and any shares underlying outstanding stock awards granted under the 2021 Plan that expire or are repurchased, forfeited, cancelled or withheld, as more fully described in the section of this prospectus titled “</w:t>
      </w:r>
      <w:r>
        <w:rPr>
          <w:rFonts w:ascii="Arial" w:hAnsi="Arial"/>
          <w:i/>
          <w:color w:val="000000"/>
          <w:sz w:val="20"/>
        </w:rPr>
        <w:t>Executive Compensation—Equity Benefit Plans</w:t>
      </w:r>
      <w:r>
        <w:rPr>
          <w:color w:val="000000"/>
        </w:rPr>
        <w:t>”</w:t>
      </w:r>
      <w:r>
        <w:rPr>
          <w:rFonts w:ascii="Arial" w:hAnsi="Arial"/>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516,400 shares of common stock reserved for future issuance under the ESPP which will become effective on the date immediately following the date on which our common stock is listed (or approved for listing) on Nasdaq, as well as any automatic increases in the number of shares of common stock reserved for future issuance under the ESPP;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1,742 shares of our common stock issuable upon the exercise of the BOC Warrant as of December 31, 2025, at an exercise price of $59.80 per share (after giving effect to the conversion of our convertible preferred stock into common stock). </w:t>
      </w:r>
    </w:p>
    <w:p>
      <w:pPr>
        <w:pStyle w:val="TextBody"/>
        <w:bidi w:val="0"/>
        <w:spacing w:before="12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To the extent any of the outstanding options or other securities are exercised or new options or other securities are issued under our equity incentive plans, you will experience further dilution as a new investor in this offering. In addition, we may choose to raise additional capital due to market conditions or strategic considerations even if we believe we have sufficient funds for our current or future operating plans. Furthermore, we may choose to issue common stock as part or all of the consideration in acquisitions as part of our planned growth strategy. To the extent that we raise additional capital through the sale of equity or convertible debt securities, the issuance of these securities could result in further dilution to our stockholders.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2" w:name="mda"/>
      <w:bookmarkEnd w:id="12"/>
      <w:r>
        <w:rPr>
          <w:rFonts w:ascii="Arial" w:hAnsi="Arial"/>
          <w:b/>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You should read the following discussion and analysis of our financial condition and results of operations together with our financial statements and the related notes included elsewhere in this prospectus. This discussion and other parts of this prospectus contain forward-looking statements that are based upon current beliefs, plans and expectations related to future events and our future financial performance that involve risks, assumptions and uncertainties, such as statements of our plans, objectives, expectations, intentions, forecasts and projections. Our actual results and the timing of selected events could differ materially from those discussed in these forward-looking statements as a result of several factors, including, but not limited to those set forth under the section of this prospectus titled “Risk Factors” and elsewhere in this prospectus. You should carefully read the section of this prospectus titled “Risk Factors” to gain an understanding of the important factors that could cause actual results to differ materially from our forward-looking statements. Please also see the section of this prospectus titled “Special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Odyssey is a clinical-stage biopharmaceutical company led by a team and board of drug hunters seeking to transform the standard of care for patients suffering from autoimmune and inflammatory diseases. We believe our deep understanding of immunobiology, coupled with leading expertise in medicinal and computational chemistry, protein biochemistry, structural biology, genetics, and pharmacology, allows us to identify and drug key signaling nodes that drive disease. We have prioritized targets where we believe the underlying disease biology is understood through genetic, clinical, or translational evidence.</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Our most advanced programs include OD-001, an oral small-molecule scaffolding inhibitor of receptor-interacting protein kinase 2, or RIPK2, and OD-002, an oral small-molecule inhibitor of solute carrier family 15 member 4, or SLC15A4. OD-001 has achieved proof-of-concept in a phase 2a trial for the treatment of ulcerative colitis, or UC, one of the two main types of inflammatory bowel disease, or IBD, and OD-002 is currently in IND-enabling studies. These programs have the potential to yield treatments for inflammatory and autoimmune diseases that have large, addressable patient populations globally and a lack of effective treatments, including inflammatory bowel disease, or IBD, systemic lupus erythematosus, or SLE, and other disorders characterized either by the chronic overactivation of the type I interferon pathway, referred to as interferonopathies, or by pathogenic autoreactive B cells. In addition to our most advanced programs, we have a portfolio of wholly owned preclinical programs that include, but are not limited to, a regulatory T cells-specific tumor necrosis factor receptor 2 agonist, a bispecific antagonist of thymic stromal lymphopoietin and interleukin-33, and an interleukin-1 receptor-associated kinase 4 scaffolding inhibitor. We also have an interferon regulatory factor 5, or IRF5, inhibitor in preclinical development which we are collaborating on with Terray Therapeutics, Inc., or Terray.</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Since our inception in 2021, we have devoted substantially all of our resources to business planning, research and development activities, recruiting management and technical staff, raising capital, producing materials for preclinical studies and clinical trials, developing and establishing our intellectual property portfolio, entering into and performing under collaboration agreements, acquiring companies or assets to further our development programs and building infrastructure to support these activities. We do not have any products approved for sale and have not generated any revenue from product sales.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incurred significant operating losses and negative cash flows since our inception. Our net loss was $148.6 million and $129.3 million for the years ended December 31, 2025 and 2024, respectively. As of December 31, 2025, we had an accumulated deficit of $568.1 million and cash, cash equivalents, and marketable securities of $216.6 million. Since our inception, we have financed our operations primarily through the sale of shares of our convertible preferred stock and the proceeds from research collaborations and license agreements.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Based on our current operating plan, we estimate that our existing cash, cash equivalents and marketable securities as of the date of this prospectus, together with the estimated net proceeds from this offering</w:t>
      </w:r>
      <w:r>
        <w:rPr>
          <w:rFonts w:ascii="Times New Roman" w:hAnsi="Times New Roman"/>
          <w:color w:val="000000"/>
          <w:sz w:val="20"/>
        </w:rPr>
        <w:t xml:space="preserve"> </w:t>
      </w:r>
      <w:r>
        <w:rPr>
          <w:rFonts w:ascii="Arial" w:hAnsi="Arial"/>
          <w:color w:val="000000"/>
          <w:sz w:val="20"/>
        </w:rPr>
        <w:t>and the concurrent private placement, will be sufficient to fund our operating expenses and capital expenditures into the second half of 2028. We have based this estimate and our forecast of cash resources and planned operations on our current assumptions, which may prove to be wrong, and we may exhaust our available capital resources sooner than we expect. Additional funds will be necessary to maintain our current operations and to continue our research and development activities. We plan to monitor expenses and raise additional capital as needed through a combination of public and private equity and debt financings, strategic alliances and licensing or collaboration arrangements. As of December 31, 2025, we expect that our existing cash, cash equivalents and marketable securities will not be sufficient to fund our current and planned operations for at least the next twelve months following the issuance date of our audited consolidated financial statements. We concluded that as of the issuance date of our audited consolidated financial statements for the year ended December 31, 2025, there is substantial doubt about our ability to continue as a going concern within twelve months of the issuance date of those financial statements. See Note 1 to our annual audited consolidated financial statements appearing elsewhere in this prospectus. Similarly, in its report on our audited consolidated financial statements for the year ended December 31, 2025, our independent registered public accounting firm includes an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explanatory paragraph stating that our recurring losses from operations since inception, expectation of generating operating losses in the foreseeable future and need for additional capital to finance our future operations raise substantial doubt about our ability to continue as a going concern. Our ability to access capital when needed is not assured and if capital is not available to us when, and in the amounts, needed, we may need to delay, scale back or abandon some or all of our development programs and other operations, which could materially affect our business, financial condition and results of operations.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expect to continue to incur substantial losses for the foreseeable future, and our transition to profitability will depend upon the successful development, approval and commercialization of our product candidates and upon the receipt of sufficient revenues to support our cost structure. We do not expect to generate any revenue from commercial product sales unless and until we successfully complete development and obtain regulatory approval for one or more of our product candidates and commercialize any such products. Because of the numerous risks and uncertainties associated with product development, we may never achieve profitability, and, unless we do, and until then, we will need to continue to raise additional capital.</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expect our expenses will increase substantially in connection with our ongoing and planned activities, as we:</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continue to progress the development of our product candidates, including our two most advanced programs: OD-001 and OD-002;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invest in our target selection programs and develop any additional product candidates, including the cost of acquiring any necessary rights from third parties to develop those product candidates or entering into partnering relationships to further the development of any such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and expand the manufacturing of preclinical and clinical supply of our current and future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seek regulatory approvals for any of our current product candidates or any future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 a sales, marketing, manufacturing and distribution infrastructure to commercialize any product candidates for which we may obtain marketing approval, if any;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attract, hire and retain qualified clinical, scientific, operations and management personnel;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add and maintain operational, financial and information management systems;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protect, maintain, enforce and expand our rights in our intellectual property portfolio or acquire or in-license intellectual property and technologies from third parties;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experience any delays in our preclinical studies or clinical trials and regulatory approval for our product candidates, including as a result of macroeconomic conditions, geopolitical conflicts or other factors;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incur additional legal, accounting or other expenses in operating our business, including the costs associated with operating as a public company following the completion of this offering.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do not currently own or operate any manufacturing facilities. We rely on third-party contract manufacturing organizations, or CMOs, to produce our drug candidates in accordance with the U.S. Food and Drug Administration’s, or the FDA, current good manufacturing practices, or cGMPs, for use in our clinical trials.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Given our stage of development, we do not yet have a marketing or sales organization or commercial infrastructure. Accordingly, if we obtain regulatory approval for any of our product candidates, we also expect to incur significant commercialization expenses related to product sales, marketing, manufacturing and distribution.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Because of the numerous risks and uncertainties associated with product development, we are unable to predict the timing or amount of increased expenses or when or if we will be able to achieve or maintain profitability. Even if we are able to generate revenue from the sale of our product candidates, we may not become profitable. If we fail to become profitable or are unable to sustain profitability on a continuing basis, we may be unable to continue our operations at planned levels and may be forced to reduce our operations.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If we are unable to raise capital as and when needed or on attractive terms, we may have to significantly delay, reduce or discontinue the development and commercialization of our product candidates, scale back or terminate our pursuit of new in-licenses and acquisitions or a combination of the above, any of which may have a material adverse effect on our business, results of operations, financial condition and prospects. See the subsection titled “–</w:t>
      </w:r>
      <w:r>
        <w:rPr>
          <w:rFonts w:ascii="Arial" w:hAnsi="Arial"/>
          <w:i/>
          <w:color w:val="000000"/>
          <w:sz w:val="20"/>
        </w:rPr>
        <w:t>Liquidity and Capital Resources</w:t>
      </w:r>
      <w:r>
        <w:rPr>
          <w:rFonts w:ascii="Times New Roman" w:hAnsi="Times New Roman"/>
          <w:color w:val="000000"/>
          <w:sz w:val="20"/>
        </w:rPr>
        <w:t xml:space="preserve">” </w:t>
      </w:r>
      <w:r>
        <w:rPr>
          <w:rFonts w:ascii="Arial" w:hAnsi="Arial"/>
          <w:color w:val="000000"/>
          <w:sz w:val="20"/>
        </w:rPr>
        <w:t>below for additional discussion of our liquidity.</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Components of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Collaboration Revenue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have not generated any revenue from product sales, and we do not expect to generate any revenue from the sale of products for the foreseeable future, if ever. Our ability to generate product revenues will depend on the successful development and eventual commercialization of any product candidates that we identify. If we fail to complete the development of any of our current or future product candidates in a timely manner or fail to obtain regulatory approval for those product candidates, our ability to generate future revenue and our business, results of operations, financial condition and prospects would be materially adversely affected.</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For the years ended December 31, 2025 and 2024, our revenue consisted of collaboration revenue earned under the Material Transfer and Evaluation Agreement, dated December 20, 2022, or the Pfizer MTA, with Pfizer Inc., or Pfizer, which expired by its terms in 2025, and revenue earned under the Strategic Collaboration, Option and License Agreement, dated March 29, 2024, or the J&amp;J Agreement, with Janssen Pharmaceutica NV, a Johnson &amp; Johnson company, or J&amp;J. For additional information about our revenue recognition policy related to our collaboration agreements, refer to Notes 2 and 4 to our audited consolidated financial statements included elsewhere in this prospectus.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Operating Expenses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Our operating expenses consist of (i) research and development expenses, (ii) general and administrative expenses and (iii) change in fair value of contingent consideration.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largest component of our total operating expenses since our inception has been research and development activities, including costs incurred relating to discovery efforts and the preclinical and clinical development of our product candidates. Research and development expenses consist primarily of internal personnel-related expenses, such as compensation and benefits for research and development employees, including stock-based compensation; external expenses associated with preclinical studies and clinical trials, including costs incurred under agreements with contract research organizations, or CROs, investigative sites that conduct preclinical studies and clinical trials, payments under licensing and research and development agreements and other outside services and consulting costs; costs of acquiring and manufacturing clinical trial materials and other supplies; software and information technology, or IT, costs; and allocated facility-related costs, such as rent, utilities and depreciation. Research and development costs are expensed as incurred.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do not disaggregate external expenses associated with our preclinical studies from those associated with our clinical trials, because many of these external expenses relate to both preclinical studies and clinical trials across our development programs. We also do not allocate employee-related costs, laboratory supplies, and facilities, including other internal costs, to specific product candidates, because these costs are associated with multiple programs and, as such, are not separately classified. We use internal resources primarily for managing our product development, manufacturing and clinical development activities. We deploy our personnel across all of our research and development activities as our employees work across multiple programs.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expect our research and development expenses to increase substantially for the foreseeable future as we advance our product candidates into and through preclinical studies and clinical trials, pursue regulatory approval of our product candidates and expand our pipeline of product candidates. The process of conducting the necessary preclinical and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programs, competition, manufacturing capability and commercial viability. We may never receive regulatory approval for any of our product candidates. As a result of the uncertainties discussed above, we are unable to determine the duration and completion costs of our research and development projects or if, when and to what extent we will generate revenue from the commercialization and sale of our product candidates, if approved.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General and administrative expenses consist primarily of payroll and personnel-related expenses, including salaries, employee benefit costs, travel and business expenses and stock-based compensation expense for our general and administrative personnel; professional fees for legal, consulting, accounting and tax services; software and IT costs; allocated overhead, including allocated facility-related costs, including rent, utilities and depreciation; and other general operating expenses not otherwise classified as research and development expenses.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anticipate that our general and administrative expenses will increase following this offering, as a result of increased personnel costs, including salaries, benefits and stock-based compensation expense, patent costs for our product candidates, expanded infrastructure and higher legal, consulting and accounting services associated with</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maintaining compliance with the listing requirements of the Nasdaq Stock Market LLC and rules and regulations promulgated under the Securities Exchange Act of 1934, as amended, or the Exchange Act, investor relations costs and director and officer insurance premiums associated with being a public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Changes in fair value of contingent consideration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Expenses associated with changes in fair value of contingent consideration are driven by changes in the assumptions used by management in estimating the fair value of future payments that may be made by us to the previous members of IFM Discovery, LLC, or IFM, as a result of our acquisition of IFM in 2022, and Rahko Limited, or Rahko, as a result of our acquisition of Rahko in 2021.</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For additional information about the changes in fair value of contingent consideration, refer to Note 5 to our audited consolidated financial statements included elsewhere in this prospectus.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Interest income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Interest income consists primarily of interest generated on our interest-bearing cash and cash equivalent accounts and accretion of discounts and amortization of premiums related to our marketable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Interest expense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Interest expense consists primarily of interest on our finance leases for certain lab equipment.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Other expense, net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Other expense, net consists primarily of realized and unrealized foreign currency transaction losses.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Income tax provision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Income tax provision consists of U.S. state and foreign taxes in jurisdictions in which we conduct business. Since our inception, we have not recorded any income tax benefits for the net losses we have incurred or for our earned research and development tax credits, as we believe, based upon the weight of available evidence, that it is more likely than not that not all of our net operating loss carryforwards and tax credits will be realized. As of December 31, 2025, we have recorded a full valuation allowance against our net deferred tax assets.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Comparison of the Years Ended December 31, 2025 and 2024</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The following table summarizes our results of operations for the periods presented:</w:t>
      </w:r>
    </w:p>
    <w:p>
      <w:pPr>
        <w:pStyle w:val="TextBody"/>
        <w:bidi w:val="0"/>
        <w:ind w:left="0" w:right="0" w:firstLine="612"/>
        <w:jc w:val="left"/>
        <w:rPr/>
      </w:pPr>
      <w:r>
        <w:rPr/>
        <w:t> </w:t>
      </w:r>
    </w:p>
    <w:tbl>
      <w:tblPr>
        <w:tblW w:w="9074" w:type="dxa"/>
        <w:jc w:val="left"/>
        <w:tblInd w:w="0" w:type="dxa"/>
        <w:tblLayout w:type="fixed"/>
        <w:tblCellMar>
          <w:top w:w="28" w:type="dxa"/>
          <w:left w:w="28" w:type="dxa"/>
          <w:bottom w:w="28" w:type="dxa"/>
          <w:right w:w="28" w:type="dxa"/>
        </w:tblCellMar>
      </w:tblPr>
      <w:tblGrid>
        <w:gridCol w:w="4526"/>
        <w:gridCol w:w="216"/>
        <w:gridCol w:w="876"/>
        <w:gridCol w:w="170"/>
        <w:gridCol w:w="149"/>
        <w:gridCol w:w="216"/>
        <w:gridCol w:w="876"/>
        <w:gridCol w:w="166"/>
        <w:gridCol w:w="146"/>
        <w:gridCol w:w="211"/>
        <w:gridCol w:w="751"/>
        <w:gridCol w:w="771"/>
      </w:tblGrid>
      <w:tr>
        <w:trPr/>
        <w:tc>
          <w:tcPr>
            <w:tcW w:w="45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Collaboration revenue</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(1,496</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126,616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14,037</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37,516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10,400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Change in fair value of contingent consideration</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(5,845</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160,085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18,592</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loss</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(157,109</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(20,088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Interest income</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(2,141</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Interest expense</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income (expense), net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 net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7,535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(149,574</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(20,722</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(benefit) provision</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(148,647</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(129,321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(19,326</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ind w:left="0" w:right="0" w:firstLine="619"/>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Collaboration Revenue</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Collaboration revenue decreased by $1.5 million, or 33.5%, to $3.0 million for the year ended December 31, 2025 compared to $4.5 million for the year ended December 31, 2024. The decrease is related to the Company fulfilling all of its current obligations under the J&amp;J Agreement and the expiration of the Pfizer MTA in the year ended December 31, 2025. The Company recognized $2.5 million and $0.5 million of revenue during the year ended December 31, 2025 under the J&amp;J Agreement and Pfizer MTA, respectively, as compared to $4.0 million and $0.5 million of revenue recognized under the J&amp;J Agreement and Pfizer MTA, respectively, during the year ended December 31, 2024.</w:t>
      </w:r>
    </w:p>
    <w:p>
      <w:pPr>
        <w:pStyle w:val="TextBody"/>
        <w:bidi w:val="0"/>
        <w:spacing w:before="240" w:after="283"/>
        <w:jc w:val="left"/>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The following table summarizes our research and development expenses for the periods presented:</w:t>
      </w:r>
    </w:p>
    <w:p>
      <w:pPr>
        <w:pStyle w:val="TextBody"/>
        <w:bidi w:val="0"/>
        <w:ind w:left="0" w:right="0" w:firstLine="612"/>
        <w:jc w:val="left"/>
        <w:rPr/>
      </w:pPr>
      <w:r>
        <w:rPr/>
        <w:t> </w:t>
      </w:r>
    </w:p>
    <w:tbl>
      <w:tblPr>
        <w:tblW w:w="10205" w:type="dxa"/>
        <w:jc w:val="left"/>
        <w:tblInd w:w="0" w:type="dxa"/>
        <w:tblLayout w:type="fixed"/>
        <w:tblCellMar>
          <w:top w:w="28" w:type="dxa"/>
          <w:left w:w="28" w:type="dxa"/>
          <w:bottom w:w="28" w:type="dxa"/>
          <w:right w:w="28" w:type="dxa"/>
        </w:tblCellMar>
      </w:tblPr>
      <w:tblGrid>
        <w:gridCol w:w="6306"/>
        <w:gridCol w:w="228"/>
        <w:gridCol w:w="861"/>
        <w:gridCol w:w="157"/>
        <w:gridCol w:w="157"/>
        <w:gridCol w:w="228"/>
        <w:gridCol w:w="861"/>
        <w:gridCol w:w="146"/>
        <w:gridCol w:w="146"/>
        <w:gridCol w:w="211"/>
        <w:gridCol w:w="691"/>
        <w:gridCol w:w="213"/>
      </w:tblGrid>
      <w:tr>
        <w:trPr/>
        <w:tc>
          <w:tcPr>
            <w:tcW w:w="63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Internal personnel-related expenses (including stock-based compensation)</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40,411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External expenses associated with preclinical and clinical studies</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12,804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software, professional services and laboratory operations</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14,342</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Facility-related costs (including depreciation)</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21,665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126,616</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112,579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14,037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619"/>
        <w:jc w:val="left"/>
        <w:rPr/>
      </w:pPr>
      <w:r>
        <w:rPr/>
        <w:t> </w:t>
      </w:r>
    </w:p>
    <w:p>
      <w:pPr>
        <w:pStyle w:val="TextBody"/>
        <w:bidi w:val="0"/>
        <w:ind w:left="0" w:right="0" w:firstLine="619"/>
        <w:jc w:val="left"/>
        <w:rPr>
          <w:rFonts w:ascii="Arial" w:hAnsi="Arial"/>
          <w:color w:val="000000"/>
          <w:sz w:val="20"/>
        </w:rPr>
      </w:pPr>
      <w:r>
        <w:rPr>
          <w:rFonts w:ascii="Arial" w:hAnsi="Arial"/>
          <w:color w:val="000000"/>
          <w:sz w:val="20"/>
        </w:rPr>
        <w:t>Research and development expenses increased by $14.0 million, or 12.4%, to $126.6 million for the year ended December 31, 2025 compared to $112.6 million for the year ended December 31, 2024. This increase was primarily attributable to:</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$12.8 million increase in external expenses associated with preclinical and clinical studies, primarily due to an increase in clinical research organization expenses and chemistry, manufacturing, and controls activities primarily associated with our ongoing phase 2a trial; and</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$5.7 million increase in facility-related costs, primarily attributable to an impairment of our San Diego lease right-of-use asset.</w:t>
      </w:r>
    </w:p>
    <w:p>
      <w:pPr>
        <w:pStyle w:val="TextBody"/>
        <w:bidi w:val="0"/>
        <w:spacing w:before="120" w:after="283"/>
        <w:ind w:left="0" w:right="0" w:firstLine="619"/>
        <w:jc w:val="left"/>
        <w:rPr>
          <w:rFonts w:ascii="Arial" w:hAnsi="Arial"/>
          <w:color w:val="000000"/>
          <w:sz w:val="20"/>
        </w:rPr>
      </w:pPr>
      <w:r>
        <w:rPr>
          <w:rFonts w:ascii="Arial" w:hAnsi="Arial"/>
          <w:color w:val="000000"/>
          <w:sz w:val="20"/>
        </w:rPr>
        <w:t>These increases were partially offset by:</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$3.3 million decrease in research software, professional services and laboratory operations supporting our research and development programs, primarily due to the transition between preclinical studies and clinical trial programs; and</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$1.2 million decrease in internal personnel-related expenses, primarily attributable to a lower headcount in 2025.</w:t>
      </w:r>
    </w:p>
    <w:p>
      <w:pPr>
        <w:pStyle w:val="TextBody"/>
        <w:bidi w:val="0"/>
        <w:spacing w:before="240" w:after="283"/>
        <w:jc w:val="left"/>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The following table summarizes our general and administrative expenses for the periods presented:</w:t>
      </w:r>
    </w:p>
    <w:p>
      <w:pPr>
        <w:pStyle w:val="TextBody"/>
        <w:bidi w:val="0"/>
        <w:ind w:left="0" w:right="0" w:firstLine="612"/>
        <w:jc w:val="left"/>
        <w:rPr/>
      </w:pPr>
      <w:r>
        <w:rPr/>
        <w:t> </w:t>
      </w:r>
    </w:p>
    <w:tbl>
      <w:tblPr>
        <w:tblW w:w="10205" w:type="dxa"/>
        <w:jc w:val="left"/>
        <w:tblInd w:w="0" w:type="dxa"/>
        <w:tblLayout w:type="fixed"/>
        <w:tblCellMar>
          <w:top w:w="28" w:type="dxa"/>
          <w:left w:w="28" w:type="dxa"/>
          <w:bottom w:w="28" w:type="dxa"/>
          <w:right w:w="28" w:type="dxa"/>
        </w:tblCellMar>
      </w:tblPr>
      <w:tblGrid>
        <w:gridCol w:w="6338"/>
        <w:gridCol w:w="247"/>
        <w:gridCol w:w="811"/>
        <w:gridCol w:w="171"/>
        <w:gridCol w:w="171"/>
        <w:gridCol w:w="247"/>
        <w:gridCol w:w="811"/>
        <w:gridCol w:w="146"/>
        <w:gridCol w:w="146"/>
        <w:gridCol w:w="211"/>
        <w:gridCol w:w="691"/>
        <w:gridCol w:w="215"/>
      </w:tblGrid>
      <w:tr>
        <w:trPr/>
        <w:tc>
          <w:tcPr>
            <w:tcW w:w="63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Payroll and personnel-related expenses (including stock-based compensation)</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20,650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6,249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and consulting fees</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13,152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Software and IT costs</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Facility-related costs (including depreciation)</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general and administrative expenses</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3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general and administrative expenses</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37,516</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10,400</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619"/>
        <w:jc w:val="left"/>
        <w:rPr>
          <w:rFonts w:ascii="Arial" w:hAnsi="Arial"/>
          <w:color w:val="000000"/>
          <w:sz w:val="20"/>
        </w:rPr>
      </w:pPr>
      <w:r>
        <w:rPr>
          <w:rFonts w:ascii="Arial" w:hAnsi="Arial"/>
          <w:color w:val="000000"/>
          <w:sz w:val="20"/>
        </w:rPr>
        <w:t>General and administrative expenses increased by $10.4 million, or 38.4%, to $37.5 million for the year ended December 31, 2025 compared to $27.1 million for the year ended December 31, 2024. This increase was primarily attributable to:</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$6.2 million increase in payroll and personnel-related expenses, primarily driven by an increase in stock-based compensation expense due to the granting of new stock options to new and existing employees; and</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$4.8 million increase in professional and consulting fees, primarily driven by an increase in legal and accounting fees.</w:t>
      </w:r>
    </w:p>
    <w:p>
      <w:pPr>
        <w:pStyle w:val="TextBody"/>
        <w:bidi w:val="0"/>
        <w:spacing w:before="120" w:after="283"/>
        <w:ind w:left="0" w:right="0" w:firstLine="619"/>
        <w:jc w:val="left"/>
        <w:rPr>
          <w:rFonts w:ascii="Arial" w:hAnsi="Arial"/>
          <w:color w:val="000000"/>
          <w:sz w:val="20"/>
        </w:rPr>
      </w:pPr>
      <w:r>
        <w:rPr>
          <w:rFonts w:ascii="Arial" w:hAnsi="Arial"/>
          <w:color w:val="000000"/>
          <w:sz w:val="20"/>
        </w:rPr>
        <w:t>These increases were partially offset by:</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$0.4 million decrease in other general and administrative expense, primarily driven by a decrease in expenses related to investor relations; and</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 $0.2 million decrease in facility-related costs related to decreased rental and facility costs.</w:t>
      </w:r>
    </w:p>
    <w:p>
      <w:pPr>
        <w:pStyle w:val="TextBody"/>
        <w:bidi w:val="0"/>
        <w:spacing w:before="240" w:after="283"/>
        <w:jc w:val="left"/>
        <w:rPr>
          <w:rFonts w:ascii="Times New Roman" w:hAnsi="Times New Roman"/>
          <w:sz w:val="20"/>
        </w:rPr>
      </w:pPr>
      <w:r>
        <w:rPr>
          <w:rFonts w:ascii="Arial" w:hAnsi="Arial"/>
          <w:i/>
          <w:color w:val="000000"/>
          <w:sz w:val="20"/>
        </w:rPr>
        <w:t>Changes in fair value of contingent consideration</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Changes in fair value of contingent consideration decreased by $5.8 million to expense of $4.0 million for the year ended December 31, 2025 compared to income of $1.8 million for the year ended December 31, 2024. The decrease was driven by changes in the assumptions management used in estimating the fair value of future payments that we may be obligated to make to IFM and Rahko, period over period, including the discount rate, timing of milestone events and probability of achieving the milestones.</w:t>
      </w:r>
    </w:p>
    <w:p>
      <w:pPr>
        <w:pStyle w:val="TextBody"/>
        <w:bidi w:val="0"/>
        <w:spacing w:before="240" w:after="283"/>
        <w:jc w:val="left"/>
        <w:rPr>
          <w:rFonts w:ascii="Times New Roman" w:hAnsi="Times New Roman"/>
          <w:sz w:val="20"/>
        </w:rPr>
      </w:pPr>
      <w:r>
        <w:rPr>
          <w:rFonts w:ascii="Arial" w:hAnsi="Arial"/>
          <w:i/>
          <w:color w:val="000000"/>
          <w:sz w:val="20"/>
        </w:rPr>
        <w:t>Interest income</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Interest income decreased by $2.1 million to $6.3 million for the year ended December 31, 2025 compared to $8.5 million for the year ended December 31, 2024. The decrease primarily relates to a decline in accretion of discounts and amortization of premiums on our marketable securities due to less cash being invested, partially offset by an increase in interest earned on interest bearing cash and cash equivalent accounts as a result of the higher interest rate environment.</w:t>
      </w:r>
    </w:p>
    <w:p>
      <w:pPr>
        <w:pStyle w:val="TextBody"/>
        <w:bidi w:val="0"/>
        <w:spacing w:before="240" w:after="283"/>
        <w:jc w:val="left"/>
        <w:rPr>
          <w:rFonts w:ascii="Times New Roman" w:hAnsi="Times New Roman"/>
          <w:sz w:val="20"/>
        </w:rPr>
      </w:pPr>
      <w:r>
        <w:rPr>
          <w:rFonts w:ascii="Arial" w:hAnsi="Arial"/>
          <w:i/>
          <w:color w:val="000000"/>
          <w:sz w:val="20"/>
        </w:rPr>
        <w:t>Interest expense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Interest expense remained relatively flat for the year ended December 31, 2025 compared to the year ended December 31, 2024, attributable to interest on our finance leases for certain lab equipment.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Other income (expense), net</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Other income (expense), net increased by $1.5 million to income of $1.2 million for the year ended December 31, 2025 compared to expense of $0.3 million for the year ended December 31, 2024. The increase primarily relates to the recognition of a refundable tax credit, a gain from the assignment of research and development assets and foreign currency transaction gains.</w:t>
      </w:r>
    </w:p>
    <w:p>
      <w:pPr>
        <w:pStyle w:val="TextBody"/>
        <w:bidi w:val="0"/>
        <w:spacing w:before="240" w:after="283"/>
        <w:jc w:val="left"/>
        <w:rPr>
          <w:rFonts w:ascii="Times New Roman" w:hAnsi="Times New Roman"/>
          <w:sz w:val="20"/>
        </w:rPr>
      </w:pPr>
      <w:r>
        <w:rPr>
          <w:rFonts w:ascii="Arial" w:hAnsi="Arial"/>
          <w:i/>
          <w:color w:val="000000"/>
          <w:sz w:val="20"/>
        </w:rPr>
        <w:t>Income tax (benefit) provision</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Income tax (benefit) provision increased by $1.4 million to a tax benefit of $0.9 million for the year ended December 31, 2025 compared to an income tax expense of $0.5 million for the year ended December 31, 2024, primarily related to state income taxes and income taxes in foreign jurisdictions.</w:t>
      </w:r>
    </w:p>
    <w:p>
      <w:pPr>
        <w:pStyle w:val="TextBody"/>
        <w:bidi w:val="0"/>
        <w:spacing w:before="240" w:after="283"/>
        <w:jc w:val="left"/>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Sources of Liquidity</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Since our inception, we have primarily funded our operations through the sale of shares of our convertible preferred stock and the proceeds from research collaborations and license agreements. We have not generated any revenue from product sales and have incurred significant annual operating losses and negative cash flows from our operations. We expect to incur significant expenses and operating losses in the foreseeable future as we advance the development of our product candidates. As of December 31, 2025, we had $216.6 million in cash, cash equivalents and marketable securities and an accumulated deficit of $568.1 million.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To date, we have raised aggregate gross proceeds of approximately $726.5 million from the sale of our securities. See “</w:t>
      </w:r>
      <w:r>
        <w:rPr>
          <w:rFonts w:ascii="Arial" w:hAnsi="Arial"/>
          <w:i/>
          <w:color w:val="000000"/>
          <w:sz w:val="20"/>
        </w:rPr>
        <w:t>Certain Relationships and Related Person Transactions</w:t>
      </w:r>
      <w:r>
        <w:rPr>
          <w:rFonts w:ascii="Times New Roman" w:hAnsi="Times New Roman"/>
          <w:color w:val="000000"/>
          <w:sz w:val="20"/>
        </w:rPr>
        <w:t xml:space="preserve">” </w:t>
      </w:r>
      <w:r>
        <w:rPr>
          <w:rFonts w:ascii="Arial" w:hAnsi="Arial"/>
          <w:color w:val="000000"/>
          <w:sz w:val="20"/>
        </w:rPr>
        <w:t>for a description of our convertible preferred stock offerings and resulting proceeds.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Future Funding Requirements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anticipate that we will continue to incur significant and increasing expenses for the foreseeable future as we continue to advance our product candidates, expand our corporate infrastructure, including the costs associated with being a public company, further our research and development initiatives for our product candidates, incur costs associated with our efforts to discover new targets and engage in future collaborations, and the potential commercialization of our product candidates, if approved. We are subject to all of the risks typically related to the development of new product candidates, and we may encounter unforeseen expenses, difficulties, complications, delays and other unknown factors that may adversely affect our business. We anticipate that we will need substantial additional financing to fund our continuing operations, which consist primarily of research and development expenditures related to our discovery programs and general and administrative expenditures. Cash used to fund operating expenses is impacted by the timing of when we pay these expenses, as reflected in the change in our outstanding accounts payable, accrued expenses and other current liabilities and prepaid expenses.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Our forecast of cash resources and planned operations involves risks and uncertainties, and the actual amount of expenses could vary materially as a result of a number of factors, including: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progress, results and costs of drug discovery, preclinical development, laboratory testing and planned clinical trials for our current or future product candidates, including additional expenses attributable to adjusting our development plans;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scope, prioritization and number of our research and development programs and clinical trials required for regulatory approval of our current or future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timing and outcome of regulatory review of our current or future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manufacturing clinical and commercial supplies of our current or future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establish or maintain collaboration or license agreements and the achievement of milestones or occurrence of other developments that trigger payments under any existing or additional collaboration or license agreements;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associated with acquiring or licensing additional product candidates, technologies or assets, including the timing and amount of any milestones, royalties or other payments due in connection with our acquisitions and licenses;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of continuing to invest in our drug discovery efforts and tools designed to identify novel targets and drugs;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potential increase in the number of our employees or expansion of our physical facilities to support preclinical studies and clinical trials;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 associated with being a public company;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of securing manufacturing arrangements for clinical and commercial production and establishing or contracting for sales and marketing capabilities, if we obtain regulatory clearances to market our current or future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effect of competing technological and market developments;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amount of revenue, if any, received from commercial sales of our product candidates, should any of our product candidates receive marketing approval;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patients’ willingness to pay out-of-pocket for any approved products in the absence of coverage and/or adequate reimbursement from third-party payors;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impact of inflation, as well as other factors, including economic uncertainty and geopolitical tensions, which may exacerbate the magnitude of the factors discussed above. </w:t>
      </w:r>
    </w:p>
    <w:p>
      <w:pPr>
        <w:pStyle w:val="TextBody"/>
        <w:bidi w:val="0"/>
        <w:spacing w:before="12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Furthermore, our operating plans may change, and we may need additional funds to meet operational needs and capital requirements for clinical trials and other research and development expenditures.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Until such time as we can generate significant revenue from product sales, if ever, we expect to finance our operations through public or private equity or debt financings, collaborations, strategic alliances, and marketing, distribution or licensing arrangements with third parties or other strategic transactions. There are no assurances that we will be successful in obtaining an adequate level of financing to support our business plans when needed on acceptable terms, or at all. To the extent that we raise additional capital through the sale of equity or convertible debt securities, the ownership interest of our stockholders will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capital through collaboration or licensing arrangements with third parties or other strategic transactions, we may have to relinquish rights to our intellectual property, discovery tools, future revenue streams, research programs or product candidates, or we may have to grant licenses on terms that may not be favorable to us. If we are unable to raise capital as and when needed or on attractive terms, we may have to significantly delay, reduce or discontinue the development and commercialization of our product candidates, scale back or terminate our pursuit of new in-licenses and acquisitions or a combination of the above, any of which may have a material adverse effect on our business, results of operations, financial condition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i/>
          <w:color w:val="000000"/>
          <w:sz w:val="20"/>
        </w:rPr>
        <w:t>Year ended December 31, 2025 and 2024</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The following table summarizes our primary sources and uses of cash for the periods presented:</w:t>
      </w:r>
    </w:p>
    <w:p>
      <w:pPr>
        <w:pStyle w:val="TextBody"/>
        <w:bidi w:val="0"/>
        <w:ind w:left="0" w:right="0" w:firstLine="612"/>
        <w:jc w:val="left"/>
        <w:rPr/>
      </w:pPr>
      <w:r>
        <w:rPr/>
        <w:t> </w:t>
      </w:r>
    </w:p>
    <w:tbl>
      <w:tblPr>
        <w:tblW w:w="10205" w:type="dxa"/>
        <w:jc w:val="left"/>
        <w:tblInd w:w="0" w:type="dxa"/>
        <w:tblLayout w:type="fixed"/>
        <w:tblCellMar>
          <w:top w:w="28" w:type="dxa"/>
          <w:left w:w="28" w:type="dxa"/>
          <w:bottom w:w="28" w:type="dxa"/>
          <w:right w:w="28" w:type="dxa"/>
        </w:tblCellMar>
      </w:tblPr>
      <w:tblGrid>
        <w:gridCol w:w="6122"/>
        <w:gridCol w:w="215"/>
        <w:gridCol w:w="872"/>
        <w:gridCol w:w="169"/>
        <w:gridCol w:w="148"/>
        <w:gridCol w:w="215"/>
        <w:gridCol w:w="872"/>
        <w:gridCol w:w="166"/>
        <w:gridCol w:w="146"/>
        <w:gridCol w:w="211"/>
        <w:gridCol w:w="856"/>
        <w:gridCol w:w="213"/>
      </w:tblGrid>
      <w:tr>
        <w:trPr/>
        <w:tc>
          <w:tcPr>
            <w:tcW w:w="61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(129,468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(11,997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investing activities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(103,943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(200,727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1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215,646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188,667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Effect of exchange rate changes on cash, cash equivalents, and restricted cash </w:t>
            </w:r>
            <w:r>
              <w:rPr>
                <w:rFonts w:ascii="Arial" w:hAnsi="Arial"/>
                <w:color w:val="000000"/>
                <w:sz w:val="13"/>
              </w:rPr>
              <w:t>(1)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Increase (decrease) in cash, cash equivalents and restricted cash</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(17,449</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(23,791</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left"/>
        <w:rPr>
          <w:rFonts w:ascii="Arial" w:hAnsi="Arial"/>
          <w:color w:val="000000"/>
          <w:sz w:val="20"/>
        </w:rPr>
      </w:pPr>
      <w:r>
        <w:rPr>
          <w:rFonts w:ascii="Arial" w:hAnsi="Arial"/>
          <w:color w:val="000000"/>
          <w:sz w:val="20"/>
        </w:rPr>
        <w:t>(1)</w:t>
      </w:r>
    </w:p>
    <w:p>
      <w:pPr>
        <w:pStyle w:val="TextBody"/>
        <w:bidi w:val="0"/>
        <w:spacing w:before="240" w:after="283"/>
        <w:jc w:val="left"/>
        <w:rPr>
          <w:rFonts w:ascii="Arial" w:hAnsi="Arial"/>
          <w:color w:val="000000"/>
          <w:sz w:val="20"/>
        </w:rPr>
      </w:pPr>
      <w:r>
        <w:rPr>
          <w:rFonts w:ascii="Arial" w:hAnsi="Arial"/>
          <w:color w:val="000000"/>
          <w:sz w:val="20"/>
        </w:rPr>
        <w:t>The balance sheet is affected by spot exchange rates used to translate local currency amounts into U.S. dollars. In accordance with generally accepted accounting principles in the United States, or GAAP, we have eliminated the effect of foreign currency throughout our cash flow statement, except for its effect on our cash and cash equivalents.</w:t>
      </w:r>
    </w:p>
    <w:p>
      <w:pPr>
        <w:pStyle w:val="TextBody"/>
        <w:bidi w:val="0"/>
        <w:spacing w:before="240" w:after="283"/>
        <w:jc w:val="left"/>
        <w:rPr>
          <w:rFonts w:ascii="Times New Roman" w:hAnsi="Times New Roman"/>
          <w:sz w:val="20"/>
        </w:rPr>
      </w:pPr>
      <w:r>
        <w:rPr>
          <w:rFonts w:ascii="Arial" w:hAnsi="Arial"/>
          <w:i/>
          <w:color w:val="000000"/>
          <w:sz w:val="20"/>
        </w:rPr>
        <w:t>Operating Activities</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Net cash used in operating activities for the year ended December 31, 2025 was $129.5 million, primarily consisting of our net loss of $148.6 million and net changes in operating assets and liabilities of $4.6 million, which were partially offset by adjustments to reconcile net loss to net cash used in operating activities of $23.9 million.</w:t>
      </w:r>
    </w:p>
    <w:p>
      <w:pPr>
        <w:pStyle w:val="TextBody"/>
        <w:bidi w:val="0"/>
        <w:spacing w:before="120" w:after="283"/>
        <w:ind w:left="0" w:right="0" w:firstLine="612"/>
        <w:jc w:val="left"/>
        <w:rPr>
          <w:rFonts w:ascii="Arial" w:hAnsi="Arial"/>
          <w:color w:val="000000"/>
          <w:sz w:val="20"/>
        </w:rPr>
      </w:pPr>
      <w:r>
        <w:rPr>
          <w:rFonts w:ascii="Arial" w:hAnsi="Arial"/>
          <w:color w:val="000000"/>
          <w:sz w:val="20"/>
        </w:rPr>
        <w:t>Net cash used in operating activities for the year ended December 31, 2024 was $117.5 million, primarily consisting of our net loss of $129.3 million and net changes in operating assets and liabilities of $3.3 million, which were partially offset by adjustments to reconcile net loss to net cash used in operating activities of $15.1 million.</w:t>
      </w:r>
    </w:p>
    <w:p>
      <w:pPr>
        <w:pStyle w:val="TextBody"/>
        <w:bidi w:val="0"/>
        <w:spacing w:before="240" w:after="283"/>
        <w:jc w:val="left"/>
        <w:rPr>
          <w:rFonts w:ascii="Times New Roman" w:hAnsi="Times New Roman"/>
          <w:sz w:val="20"/>
        </w:rPr>
      </w:pPr>
      <w:r>
        <w:rPr>
          <w:rFonts w:ascii="Arial" w:hAnsi="Arial"/>
          <w:i/>
          <w:color w:val="000000"/>
          <w:sz w:val="20"/>
        </w:rPr>
        <w:t>Investing Activities</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Net cash used in investing activities for the year ended December 31, 2025 was $103.9 million, primarily consisting of purchases of marketable securities of $209.0 million and purchases of property and equipment of $1.2 million, which were partially offset by the maturity of $105.9 million marketable securities and proceeds from the sale of property and equipment of $0.4 million.</w:t>
      </w:r>
    </w:p>
    <w:p>
      <w:pPr>
        <w:pStyle w:val="TextBody"/>
        <w:bidi w:val="0"/>
        <w:spacing w:before="120" w:after="283"/>
        <w:ind w:left="0" w:right="0" w:firstLine="612"/>
        <w:jc w:val="left"/>
        <w:rPr>
          <w:rFonts w:ascii="Arial" w:hAnsi="Arial"/>
          <w:color w:val="000000"/>
          <w:sz w:val="20"/>
        </w:rPr>
      </w:pPr>
      <w:r>
        <w:rPr>
          <w:rFonts w:ascii="Arial" w:hAnsi="Arial"/>
          <w:color w:val="000000"/>
          <w:sz w:val="20"/>
        </w:rPr>
        <w:t>Net cash provided by investing activities for the year ended December 31, 2024 was $96.8 million, primarily consisting of maturities of marketable securities of $150.2 million, which were partially offset by purchases of marketable securities of $52.6 million and purchases of property and equipment of $0.8 million.</w:t>
      </w:r>
    </w:p>
    <w:p>
      <w:pPr>
        <w:pStyle w:val="TextBody"/>
        <w:bidi w:val="0"/>
        <w:spacing w:before="12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i/>
          <w:color w:val="000000"/>
          <w:sz w:val="20"/>
        </w:rPr>
        <w:t>Financing Activities</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Net cash provided by financing activities for the year ended December 31, 2025 was $215.6 million, primarily consisting of approximately $212.5 million in net proceeds received from the sale of shares of our Series D convertible preferred stock and approximately $3.1 million and $0.1 million in net proceeds received from the exercise of common stock options and common stock warrants, respectively.</w:t>
      </w:r>
    </w:p>
    <w:p>
      <w:pPr>
        <w:pStyle w:val="TextBody"/>
        <w:bidi w:val="0"/>
        <w:spacing w:before="120" w:after="283"/>
        <w:ind w:left="0" w:right="0" w:firstLine="612"/>
        <w:jc w:val="left"/>
        <w:rPr>
          <w:rFonts w:ascii="Arial" w:hAnsi="Arial"/>
          <w:color w:val="000000"/>
          <w:sz w:val="20"/>
        </w:rPr>
      </w:pPr>
      <w:r>
        <w:rPr>
          <w:rFonts w:ascii="Arial" w:hAnsi="Arial"/>
          <w:color w:val="000000"/>
          <w:sz w:val="20"/>
        </w:rPr>
        <w:t>Net cash provided by financing activities for the year ended December 31, 2024 was $27.0 million, primarily consisting of approximately $27.5 million in net proceeds received from the sale of shares of our Series C and Series C-1 convertible preferred stock and approximately $0.5 million in net proceeds received from the exercise of stock options, which was partially offset by payment of offering costs of $1.0 million.</w:t>
      </w:r>
    </w:p>
    <w:p>
      <w:pPr>
        <w:pStyle w:val="TextBody"/>
        <w:bidi w:val="0"/>
        <w:spacing w:before="240" w:after="283"/>
        <w:jc w:val="left"/>
        <w:rPr>
          <w:rFonts w:ascii="Times New Roman" w:hAnsi="Times New Roman"/>
          <w:sz w:val="20"/>
        </w:rPr>
      </w:pPr>
      <w:r>
        <w:rPr>
          <w:rFonts w:ascii="Arial" w:hAnsi="Arial"/>
          <w:b/>
          <w:color w:val="000000"/>
          <w:sz w:val="20"/>
        </w:rPr>
        <w:t>License and Collaboration Agreement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Below is a summary of the key terms for our material license and collaboration agreement. For a more detailed description, see the section of this prospectus titled “Business—License and Collaboration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Terray Collaboration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September 2024, we entered into a collaboration and license agreement, or the Terray Agreement, with Terray Therapeutics, Inc., or Terray, to discover, develop and commercialize or out-license products directed to IRF5. We and Terray have agreed to share all collaboration losses (generated in accordance with and subject to applicable budgets) and collaboration profits (including any payments received in connection with an out-licensing transaction) equally, beginning from the effective date of the Terray Agreement until the earlier of the date either party elects to opt-out, or the date the agreement expires or is terminated. The activities performed under the Terray Agreement are governed by a joint steering committee, made up of two employees designated by each party. No upfront payments were made upon the execution of the Terray Agreement and there have not been any payments made or received from the profit and loss share arrangement under the Terray Agreement as of December 31,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i/>
          <w:color w:val="000000"/>
          <w:sz w:val="20"/>
        </w:rPr>
        <w:t>Leases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September 2021, we entered into an operating lease agreement for our corporate headquarters located in Boston, Massachusetts, expiring in September 2029. We are also party to several operating leases for office and lab space, as well as finance leases for certain lab equipment. As of December 31, 2025, our non-cancellable lease obligations were $33.3 million and $0.4 million under our operating and finance leases, respectively, of which $7.5 million and $0.1 million related to operating and finance leases, respectively, are due within the next 12 months. Refer to Note 9 to our audited consolidated financial statements included elsewhere in this prospectus for more information on our lease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Purchase and Other Obligations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enter into contracts in the normal course of business with CROs for clinical trials, with CMOs for clinical manufacturing supplies and with other vendors for preclinical studies, supplies and other products and services for operating purposes. These agreements generally provide for termination at the request of either party with 30 to 90 days’ prior written notice and, therefore, we believe that our non-cancellable obligations under these agreements are not material. We do not currently expect any of these agreements to be terminated and did not have any non-cancellable obligations under these agreements as of December 31,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IFM Acquisition Contingent Consideration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On May 6, 2022, we acquired all of the membership interests in IFM, or the IFM Acquisition. The total purchase consideration was $3.1 million, which consisted of the following: (i) 81,240 shares of our non-voting common stock at closing, with the estimated fair value of $0.2 million, (ii) cash consideration of $0.9 million at closing, (iii) a deferred payment of $0.9 million, which was paid in June 2022 and (iv) contingent consideration in cash of up to $30.0 million, payable once for each of our NLR family pyrin domain containing 1 and melanoma differentiation-associated protein 5 programs upon the first achievement of certain development, commercial, regulatory and sales milestones related to each such program, the estimated fair value of which was determined to be $1.1 million on the acquisition date. As of December 31, 2025, no milestones had been achieved or were deemed probable to occur.</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See Note 5 and Note 14 to our audited consolidated financial statements included elsewhere in this prospectus for additional details.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i/>
          <w:color w:val="000000"/>
          <w:sz w:val="20"/>
        </w:rPr>
        <w:t>Rahko Acquisition Contingent Consideration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On October 6, 2021, we entered into the Rahko Purchase Agreements to purchase all of the issued share capital of Rahko, or the Rahko Acquisition, in exchange for a combination of cash, shares of our capital stock and additional contingent consideration of up to approximately $30.0 million. The contingent consideration would become payable to the former shareholders of Rahko upon either: (i) the first occurrence of our total market capitalization equaling or exceeding $1.5 billion based on a five-day volume-weighted average price of our publicly traded shares following the first public offering or public listing of our shares pursuant to applicable registration requirements on the New York Stock Exchange, the Nasdaq Global Select Market, the Nasdaq Global Market, the stock exchanges of Toronto, London or any other recognized investment exchange, or (ii) an exit event such as (1) a transaction or series of transactions in which any person (or persons acting in concert), other than a person who immediately prior to such transaction owned more than a majority of our voting securities, acquires more than 50% of the combined voting power of our then outstanding voting securities, (2) our consolidation or merger with or into another entity unless our stockholders immediately prior to such transaction continue to own, directly or indirectly, a majority of the combined voting power of the outstanding voting securities of the combined company, or (3) the sale or disposition of all or substantially all of our assets, in each case for which the potential proceeds are equal to or greater than $1.5 billion.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See Note 5 and 14 to our audited consolidated financial statements included elsewhere in this prospectus for additional details.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Critical Accounting Estimates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Our management’s discussion and analysis of our financial condition and results of operations is based on our consolidated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On an ongoing basis, we evaluate our estimates and judgments, including, but not limited to, those related to revenue recognition, accrued research and development costs, stock-based compensation expense, and determination of the fair value of contingent consideration.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Although our significant accounting policies are described in more detail in Note 2 to our audited consolidated financial statements included elsewhere in this prospectus, we believe that the following accounting estimates are those most critical to the judgments and estimates used in the preparation of our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Revenue Recognition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 xml:space="preserve">To date, our revenues have consisted of payments received related to our collaboration and license agreements. We apply the revenue recognition guidance in accordance with the Financial Accounting Standards Board, or FASB, Accounting Standards Codification, or ASC, Topic 606, </w:t>
      </w:r>
      <w:r>
        <w:rPr>
          <w:rFonts w:ascii="Arial" w:hAnsi="Arial"/>
          <w:i/>
          <w:color w:val="000000"/>
          <w:sz w:val="20"/>
        </w:rPr>
        <w:t>Revenue Recognition</w:t>
      </w:r>
      <w:r>
        <w:rPr>
          <w:rFonts w:ascii="Arial" w:hAnsi="Arial"/>
          <w:color w:val="000000"/>
          <w:sz w:val="20"/>
        </w:rPr>
        <w:t>, or ASC 606. Under ASC 606, we recognize revenue when our customers obtain control of promised goods or services, in an amount that reflects the consideration which we expect to receive in exchange for those goods or services.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 xml:space="preserve">There is judgment involved in determining whether a collaboration agreement is subject to ASC 606 or FASB ASC 808, </w:t>
      </w:r>
      <w:r>
        <w:rPr>
          <w:rFonts w:ascii="Arial" w:hAnsi="Arial"/>
          <w:i/>
          <w:color w:val="000000"/>
          <w:sz w:val="20"/>
        </w:rPr>
        <w:t>Collaborative Arrangements</w:t>
      </w:r>
      <w:r>
        <w:rPr>
          <w:rFonts w:ascii="Arial" w:hAnsi="Arial"/>
          <w:color w:val="000000"/>
          <w:sz w:val="20"/>
        </w:rPr>
        <w:t>, or ASC 808, in part or in full. An agreement, or portion thereof, is considered to be a collaborative arrangement when they satisfy the following criteria defined in ASC 808: (i) the parties to the contract must actively participate in the joint operating activity and (ii) the joint operating activity must expose the parties to the possibility of significant risks and rewards, based on whether or not the activity is successful. Payments received from or made to a partner as a result of a collaboration relationship with a partner, instead of a customer relationship, such as co-development activities, are recorded as a reduction or increase to research and development expense, respectively.</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For an agreement, or portion thereof, that is determined to be a customer relationship rather than a collaborative arrangement, ASC 606 will be applied. Under ASC 606, there is judgement involved in identifying the promised goods or services in the collaboration agreement, determining whether these are distinct in the context of the contract and determining if these represent a performance obligation to a customer. Additionally, we use judgement to determine whether rights to additional goods or services that are exercisable at a customer’s discretion provide a material right to the customer and if so, they are considered performance obligations. These determinations are highly subjective and can differ between arrangements based on specified contractual terms. The identified performance obligations will impact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most significantly the timing of revenue recognition and is a point-in-time assessment performed at the outset of a collaboration agreement.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To determine the appropriate amount of revenue to be recognized for arrangements determined to be within the scope of ASC 606, we perform the following five steps: (i) identify the contract(s) with a customer; (ii) identify the promises and performance obligations in the contract; (iii) determine the transaction price; (iv) allocate the transaction price to the performance obligations in the contract; and (v) recognize revenue when (or as) we satisfy the performance obligations. We only apply the five-step model to contracts when it is probable that we will collect consideration we are entitled to in exchange for the goods or services we transfer to our customer. As part of the accounting for these arrangements, we must use significant judgment to determine: (a) the performance obligations based on the determination under step (i) above; (b) the transaction price under step (iii) above; and (c) the stand-alone selling price for each performance obligation identified in the contract for the allocation of transaction price in step (iv) above. We also use judgment to determine whether milestones or other variable considerations, except for royalties and sales-based milestones, should be included in the transaction price. The transaction price is allocated to each performance obligation on a relative stand-alone selling price basis and we recognize revenue as or when the performance obligations under the contract are satisfied. All variable consideration, including milestones and royalties, is constrained until the cumulative revenue related to the consideration is no longer probable of reversal. Due to the uncertainty of research and development-based milestones that are not within our control, payment generally becomes probable upon achievement.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consideration allocated to each performance obligation is recognized as revenue when control is transferred for the related goods or services.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receive payments from our customers based on billing schedules established in each contract. Upfront payments and fees are recorded as deferred revenue upon receipt or when due until we satisfy our obligations under these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Research and Development Expenses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Expenditures relating to research and development are expensed as incurred. Non-refundable advance payments for goods and services that will be used in future research and development activities are expensed when the activity has been performed or when the goods have been received.</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As part of the process of preparing our consolidated financial statements, we are required to estimate our accrued third-party research and development expenses as of each balance sheet date. This process involves reviewing open contracts and purchase orders, communicating with our personnel and with vendors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incurred.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Stock-Based Compensation Expense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 xml:space="preserve">We account for stock-based compensation under the provisions of ASC Topic 718, </w:t>
      </w:r>
      <w:r>
        <w:rPr>
          <w:rFonts w:ascii="Arial" w:hAnsi="Arial"/>
          <w:i/>
          <w:color w:val="000000"/>
          <w:sz w:val="20"/>
        </w:rPr>
        <w:t>Compensation-Stock Compensation,</w:t>
      </w:r>
      <w:r>
        <w:rPr>
          <w:rFonts w:ascii="Times New Roman" w:hAnsi="Times New Roman"/>
          <w:color w:val="000000"/>
          <w:sz w:val="20"/>
        </w:rPr>
        <w:t xml:space="preserve"> </w:t>
      </w:r>
      <w:r>
        <w:rPr>
          <w:rFonts w:ascii="Arial" w:hAnsi="Arial"/>
          <w:color w:val="000000"/>
          <w:sz w:val="20"/>
        </w:rPr>
        <w:t>which requires all stock-based payments to employees, non-employees and directors, including grants of stock options and restricted stock, which we collectively refer to as stock awards, to be recognized in the consolidated statements of operations and comprehensive loss based on their fair values on the date of grant over the requisite service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period, which is generally the vesting period of the respective award. Forfeitures are accounted for as they occur. Generally, we issue stock awards with only service-based vesting conditions and record the expense for these awards using the straight-line method.</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estimate the fair value of each option grant using the Black-Scholes option pricing model and we estimate the fair value of each restricted stock grant using the fair value of common stock. The Black-Scholes option pricing model requires inputs based on certain highly subjective assumptions to determine the appropriate fair value of each equity-based payment award, including the expected stock price volatility, the expected term of the award, the risk-free interest rate, expected dividends, and the fair value of common stock. We estimate the expected stock price volatility based on the historical volatility of publicly traded peer companies. The expected term of our stock options has been determined utilizing the “simplified” method for awards that qualify as “plain vanilla” options. The risk-free interest rate is determined by reference to the U.S. Treasury yield curve in effect at the time of grant of the award for time periods approximately equal to the expected term of the award. There is no expected dividend yield since we have never paid cash dividends on common stock and do not expect to pay any cash dividends in the foreseeable future. See Note 2 to our audited consolidated financial statements included elsewhere in this prospectus for information concerning certain of the specific assumptions we used in applying the Black-Scholes option pricing model to determine the estimated fair value of our stock options granted in the periods presented.</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classify stock-based compensation expense in the consolidated statement of operations and comprehensive loss in the same manner in which the award recipients’ payroll costs are classified or in which the award recipients’ service payments are classified. We expect to continue to grant equity-based awards in the future, and to the extent that we do, our stock-based compensation expense recognized in future periods will likely increase.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Determination of Fair Value of Common Stock</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As there has been no public market for our common stock to date, the historical estimated fair value of our common stock has been determined by our board of directors, with input from management, considering our most recently available independent third-party valuations of common stock.</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 xml:space="preserve">In accordance with the guidance outlined in the American Institute of Certified Public Accountants’ Accounting and Valuation Guide, </w:t>
      </w:r>
      <w:r>
        <w:rPr>
          <w:rFonts w:ascii="Arial" w:hAnsi="Arial"/>
          <w:i/>
          <w:color w:val="000000"/>
          <w:sz w:val="20"/>
        </w:rPr>
        <w:t>Valuation of Privately-Held-Company Equity Securities Issued as Compensation</w:t>
      </w:r>
      <w:r>
        <w:rPr>
          <w:rFonts w:ascii="Arial" w:hAnsi="Arial"/>
          <w:color w:val="000000"/>
          <w:sz w:val="20"/>
        </w:rPr>
        <w:t>, a third-party valuation firm prepared valuations of our common stock using a market approach to estimate our enterprise value. In order to allocate value to the common stock, either an option pricing method, or OPM, or the hybrid method was used.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stock liquidation preferences at the time of the liquidity event, such as a strategic sale or a merger. The hybrid method is a probability-weighed expected return method, or PWERM, where the equity value in one or more of the scenarios is calculated using an OPM. The PWERM is a scenario-based methodology that estimates the fair value of common stock based upon an analysis of the future value of our common stock, assuming various outcomes. The value of a share of common stock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In each case, a discount for lack of marketability of the common stock is then applied to arrive at an indication of value for the common stock.</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assumptions underlying these valuations represent management’s best estimates, which involve inherent uncertainties and the application of management’s judgment. As a result, if factors or expected outcomes change and we use significantly different assumptions or estimates, our stock-based compensation expense could be materially different.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Given the absence of a public market for our common stock to date, our board of directors, with input from management, considered various objective and subjective factors to determine the fair value of our common stock. The factors included, but were not limited to:</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external market conditions affecting the pharmaceutical and biotechnology industry and trends within the industry;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stage of development and business strategy and the material risks related to our business and industry;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rights, preferences and privileges of our convertible preferred stock relative to those of our common stock;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prices at which we sold shares of our convertible preferred stock; </w:t>
      </w:r>
    </w:p>
    <w:p>
      <w:pPr>
        <w:pStyle w:val="TextBody"/>
        <w:bidi w:val="0"/>
        <w:spacing w:before="12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financial position, including cash on hand, and our historical and forecasted performance and operating results;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progress of our research and development efforts, including the status of preclinical studies for our product candidates;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equity market conditions affecting comparable public companies;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economic outlook including economic growth, inflation, the unemployment rate, the interest rate environment and global economic trends;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lack of marketability of our common stock;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likelihood of achieving a liquidity event, such as an initial public offering, or sale of our company in light of prevailing market conditions;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analysis of initial public offerings and the market performance of similar companies in the pharmaceutical and biotechnology industry.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On June 18, 2025, our board of directors approved a stock option repricing in which 1,927,326 outstanding stock options were repriced to reduce the exercise prices ranging from $23.03 to $32.07 to have an exercise price of $3.98, based on the third-party valuation performed as of June 8, 2025. We believe the repricing of these options was important to provide appropriate retention and motivation incentives for our service providers holding these underwater stock options. The repricing modification of these awards resulted in incremental stock-based compensation expense of $2.4 million, calculated as the excess of the fair value of the modified awards over the fair value of the original awards immediately before modification of which $1.5 million was recognized during the year ended December 31, 2025. The remaining $0.9 million is being recognized over the remaining requisite service period of approximately 2.38 years. Following the repricing, additional third-party valuations were performed at various dates, which resulted in valuations of our common stock of $4.18 as of July 15, 2025 and $5.15 as of December 31, 2025. On September 10, 2025, our board of directors approved a stock option repricing in which 47,754 outstanding stock options were repriced to reduce the exercise prices of the affected awards of $23.42 and $25.17 to have an exercise price of $4.18, based on the third-party valuation performed as of July 15, 2025. The repricing modification for these two awards resulted in immediate recognition of the incremental stock-based compensation expense of $0.1 million, calculated as the excess of the fair value of the modified awards over the fair value of the original awards immediately before modification.</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following table summarizes by grant date the number of shares subject to awards granted under our equity incentive plan from the date of the repricings on June 18, 2025 and September 10, 2025, through the date of this prospectus, the per share exercise price of the awards or purchase price of the common stock awards and weighted average grant date fair value on each grant date: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55"/>
        <w:gridCol w:w="146"/>
        <w:gridCol w:w="1051"/>
        <w:gridCol w:w="146"/>
        <w:gridCol w:w="293"/>
        <w:gridCol w:w="1933"/>
        <w:gridCol w:w="146"/>
        <w:gridCol w:w="146"/>
        <w:gridCol w:w="624"/>
        <w:gridCol w:w="1430"/>
        <w:gridCol w:w="146"/>
        <w:gridCol w:w="146"/>
        <w:gridCol w:w="714"/>
        <w:gridCol w:w="1632"/>
        <w:gridCol w:w="197"/>
      </w:tblGrid>
      <w:tr>
        <w:trPr/>
        <w:tc>
          <w:tcPr>
            <w:tcW w:w="1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Grant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Type of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Number of Shares Subject to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 Share Exercise Price of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 Average Grant Date Fair 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September 19,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Stock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September 22,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Stock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2,836,362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December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Stock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December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Stock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12,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Stock 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i/>
          <w:color w:val="000000"/>
          <w:sz w:val="20"/>
        </w:rPr>
        <w:t>Determination of Fair Value of Contingent Consideration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Our contingent consideration relates to potential future payments owed by us to the former equity holders of IFM and Rahko as part of the IFM Acquisition and the Rahko Acquisition, respectively. We initially measure and record contingent consideration at fair value at the acquisition date. For contingent consideration that does not meet all the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criteria for equity classification, such contingent consideration is required to be classified as a liability on the consolidated balance sheets and remeasured at each reporting period thereafter with changes in fair value recorded in operations.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estimate the fair value of the contingent consideration related to regulatory and development milestones, including the contingent consideration included as part of the IFM Acquisition, based on a discounted cash flow valuation technique. The technique considered the following assumptions: (i) the probability and timing of achieving the specified milestones as of the valuation date and (ii) the market-based discount rates. The fair value of the contingent consideration could change in future periods depending on the prospects for our drug discovery programs achieving regulatory and development milestones. The most significant assumptions in the discounted cash flow valuation technique that impact the fair value of the contingent consideration are the timing of the projected milestones and the probability of the milestones being met.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fair value of contingent consideration related to potential qualifying events, including the contingent consideration included as part of the Rahko Acquisition, is determined based on the Monte-Carlo simulation model which utilizes a geometric Brownian motion to estimate the equity value of a company at expected qualifying event dates. The model utilizes the risk-free rate, volatility and discount rate to simulate the expected equity value of a company as of expected qualifying event dates. The risk-free rate is based upon the interest rates corresponding to the time period for U.S. Treasury notes published by the U.S. Federal Reserve. The volatility is estimated based on equity volatility indications from our peer public companies and our capital structure.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Internal Control Over Financial Reporting</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We are not currently required to maintain an effective system of internal controls as defined by Section 404 of the Sarbanes-Oxley Act. We will be required to comply with the internal control reporting requirements of the Sarbanes-Oxley Act beginning with our second annual report. Only in the event that we are deemed to be a large accelerated filer or an accelerated filer will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pStyle w:val="TextBody"/>
        <w:bidi w:val="0"/>
        <w:spacing w:before="120" w:after="283"/>
        <w:ind w:left="0" w:right="0" w:firstLine="619"/>
        <w:jc w:val="left"/>
        <w:rPr>
          <w:rFonts w:ascii="Arial" w:hAnsi="Arial"/>
          <w:color w:val="000000"/>
          <w:sz w:val="20"/>
        </w:rPr>
      </w:pPr>
      <w:r>
        <w:rPr>
          <w:rFonts w:ascii="Arial" w:hAnsi="Arial"/>
          <w:color w:val="000000"/>
          <w:sz w:val="20"/>
        </w:rPr>
        <w:t>Because it will take time, management involvement and perhaps outside resources to determine what internal control improvements are necessary for us to meet regulatory requirements and market expectations,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pStyle w:val="TextBody"/>
        <w:bidi w:val="0"/>
        <w:spacing w:before="120" w:after="283"/>
        <w:ind w:left="0" w:right="0" w:firstLine="619"/>
        <w:jc w:val="left"/>
        <w:rPr>
          <w:rFonts w:ascii="Arial" w:hAnsi="Arial"/>
          <w:color w:val="000000"/>
          <w:sz w:val="20"/>
        </w:rPr>
      </w:pPr>
      <w:r>
        <w:rPr>
          <w:rFonts w:ascii="Arial" w:hAnsi="Arial"/>
          <w:color w:val="000000"/>
          <w:sz w:val="20"/>
        </w:rPr>
        <w:t>Once our management’s report on internal controls is complete, we will retain our independent registered public accounting firm to audit and render an opinion on such report when required by Section 404. The independent registered public accounting firm may identify additional issues concerning a target business’s internal controls while performing their audit of internal control over financial reporting.</w:t>
      </w:r>
    </w:p>
    <w:p>
      <w:pPr>
        <w:pStyle w:val="TextBody"/>
        <w:bidi w:val="0"/>
        <w:spacing w:before="240" w:after="283"/>
        <w:jc w:val="left"/>
        <w:rPr>
          <w:rFonts w:ascii="Times New Roman" w:hAnsi="Times New Roman"/>
          <w:sz w:val="20"/>
        </w:rPr>
      </w:pPr>
      <w:r>
        <w:rPr>
          <w:rFonts w:ascii="Arial" w:hAnsi="Arial"/>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 description of recently issued accounting pronouncements that may potentially impact our financial position and results of operations is provided in Note 2 to our audited consolidated financial statements included elsewhere in this prospectus.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Interest Rate Risk</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primary objectives of our investment activities are to ensure liquidity and to preserve capital. As of December 31, 2025, we had $2.1 million in interest bearing money market accounts with maturities of less than three months. As of December 31, 2025, we had $174.9 million in marketable securities. Our exposure to interest rate sensitivity is impacted by changes in the underlying bank interest rates. Our surplus cash has been invested in overnight cash sweeps, money market funds, U.S. Treasury bills and U.S. Treasury notes.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fair market value of our portfolio and, therefore, we do not expect our operating results or cash flows to be significantly affected by changes in market interest rates. As of December 31, 2025, we had no debt outstanding that is subject to interest rate variability. Therefore, we are not subject to interest rate risk related to debt.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Foreign Currency Exchange Risk</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Our employees and our operations are currently predominately located in the United States and our expenses are generally denominated in U.S. dollars. However, we do have a small number of employees located in Germany and use research and development vendors outside of the United States. As such, our expenses are denominated in both U.S. dollars and foreign currencies. In addition, we translate the assets and liabilities of our foreign subsidiaries from their respective functional currencies to U.S. dollars at the appropriate rates as of the balance sheet date. Changes in the carrying value of these assets and liabilities attributable to fluctuations in rates are included in accumulated other comprehensive income (loss) on our consolidated balance sheets. Income statement accounts are translated using the monthly average exchange rates during the year. Therefore, our operations are and will continue to be subject to fluctuations in foreign currency exchange rates. Foreign currency transaction gains and losses are included in other income (expense), net in the consolidated statements of operations and comprehensive loss as incurred.</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To date, foreign currency transaction gains and losses have not been material to our consolidated financial statements, and we have not had a formal hedging program with respect to foreign currency. We do not believe that a hypothetical 10% increase or decrease in exchange rates during any of the periods presented would have had a material effect on our financial statements included elsewhere in this prospectus.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qualify as an “emerging growth company,” or an EGC, as defined in the Jumpstart Our Business Startup Act, or the JOBS Act. As an EGC, we may take advantage of specified reduced disclosure and other requirements that are otherwise applicable generally to public companies. These provisions include: (i) being permitted to present only two years of audited financial statements, in addition to any required unaudited condensed financial statements, with correspondingly reduced “Management’s Discussion and Analysis of Financial Condition and Results of Operations” disclosure in this prospectus; (ii) reduced disclosure about our executive compensation arrangements; (iii) not being required to hold advisory votes on executive compensation or to obtain stockholder approval of any golden parachute arrangements not previously approved; (iv) an exemption from the auditor attestation requirement in the assessment of our internal control over financial reporting pursuant to the Sarbanes-Oxley Act of 2002; (v) an exemption from compliance with the requirements of the Public Company Accounting Oversight Board regarding the communication of critical audit matters, or CAMS, in our auditor’s report on the financial statements and (vi) being permitted to take advantage of an extended transition period for complying with new or revised accounting standards, which allows us to delay the adoption of certain accounting standards until those standards would otherwise apply to private companies.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may take advantage of these exemptions for up to five years or such earlier time that we are no longer an EGC. We would cease to be an EGC on the date that is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elected not to “opt out” of the extended transition period for new or revised accounting standards described above. As a result of these decisions, our financial statements may not be comparable to those of other public companies that comply with new or revised accounting pronouncements as of public company effective dates. We may choose to early adopt any new or revised accounting standards whenever such early adoption is permitted for private companies.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are also a “smaller reporting company,” as defined in the Exchange Act. We may continue to be a smaller reporting company after this offering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bookmarkStart w:id="13" w:name="business"/>
      <w:bookmarkEnd w:id="13"/>
      <w:r>
        <w:rPr>
          <w:rFonts w:ascii="Arial" w:hAnsi="Arial"/>
          <w:b/>
          <w:color w:val="000000"/>
          <w:sz w:val="20"/>
        </w:rPr>
        <w:t>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Odyssey is a clinical-stage biopharmaceutical company led by a team and board of drug hunters seeking to transform the standard of care for patients suffering from autoimmune and inflammatory diseases. We believe our deep understanding of immunobiology, coupled with leading expertise in medicinal and computational chemistry, protein biochemistry, structural biology, genetics, and pharmacology, allows us to identify and drug key signaling nodes that drive disease. Our model for drug discovery and development is based on past experience building other successful biopharmaceutical companies. Since our founding in 2021, we have efficiently assembled a portfolio of internally discovered product candidates that we believe have the potential to induce deep and durable remission for patients across several inflammatory diseases with unmet need. We have prioritized targets where we believe the underlying disease biology is understood through genetic, clinical, or translational evidence. Our most advanced programs include OD-001, an oral small-molecule scaffolding inhibitor of receptor-interacting protein kinase 2, or RIPK2, and OD-002, an oral small-molecule inhibitor of solute carrier family 15 member 4, or SLC15A4. These programs have the potential to yield treatments for inflammatory and autoimmune diseases that have large, addressable patient populations globally and a lack of effective treatments, including inflammatory bowel disease, or IBD, systemic lupus erythematosus, or SLE, and other disorders characterized either by the chronic overactivation of the type I interferon pathway, referred to as interferonopathies, or by pathogenic autoreactive B cells.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immune system has two main components: (1) the innate immune system, composed of cells like macrophages and neutrophils, is the first line of defense to eliminate pathogens, and (2) the adaptive immune system, made up of B and T cells, also functions to eliminate pathogens but is responsible for establishing durable immunological memory. Adaptive immunity has been studied for decades and its role in disease is well understood. This knowledge underpinned the discovery and development of many currently existing medicines for inflammatory diseases. However, industry knowledge of innate immunity has lagged and only recently has there been a sufficient understanding to enable successful drug discovery. Based on this biology, we believe that modulating key signaling nodes in the innate immune system, given its proximal role in initiating immune responses, has the potential to afford more effective and safer immunomodulators that could provide transformative benefit for patients. Therapies targeting initial innate immune responses have the potential to serve as new tools in the prescriber toolbox, providing the potential to prevent pathologic inflammation from initiating versus neutralizing downstream inflammatory mediators or adaptive immune cells (akin to stopping a fire from starting versus having to put it out).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most advanced and wholly owned drug development pipeline is shown below.</w:t>
      </w:r>
      <w:r>
        <w:rPr>
          <w:rFonts w:ascii="Times New Roman" w:hAnsi="Times New Roman"/>
          <w:color w:val="000000"/>
          <w:sz w:val="20"/>
        </w:rPr>
        <w:t xml:space="preserve"> </w:t>
      </w:r>
    </w:p>
    <w:p>
      <w:pPr>
        <w:pStyle w:val="TextBody"/>
        <w:bidi w:val="0"/>
        <w:ind w:left="0" w:right="0" w:firstLine="619"/>
        <w:jc w:val="left"/>
        <w:rPr/>
      </w:pPr>
      <w:r>
        <w:rPr/>
        <w:t> </w:t>
      </w:r>
    </w:p>
    <w:p>
      <w:pPr>
        <w:pStyle w:val="TextBody"/>
        <w:bidi w:val="0"/>
        <w:jc w:val="center"/>
        <w:rPr/>
      </w:pPr>
      <w:r>
        <w:rPr/>
        <w:drawing>
          <wp:inline distT="0" distB="0" distL="0" distR="0">
            <wp:extent cx="6858000" cy="330517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6858000" cy="3305175"/>
                    </a:xfrm>
                    <a:prstGeom prst="rect">
                      <a:avLst/>
                    </a:prstGeom>
                  </pic:spPr>
                </pic:pic>
              </a:graphicData>
            </a:graphic>
          </wp:inline>
        </w:drawing>
      </w:r>
    </w:p>
    <w:p>
      <w:pPr>
        <w:pStyle w:val="TextBody"/>
        <w:bidi w:val="0"/>
        <w:ind w:left="0" w:right="0" w:firstLine="619"/>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OD-001, our oral small-molecule RIPK2 scaffolding inhibitor product candidate, has achieved proof-of-concept in a phase 2a trial for the treatment of ulcerative colitis, or UC, which is one of the two main types of IBD. IBD is an autoimmune disease that degrades, damages, and can perforate the gastrointestinal, or GI, tract and afflicts two-to-three million people in the United States. Despite there being more than ten approved therapies spanning multiple mechanisms of action, placebo-adjusted remission rates for IBD range from about 10% to 26% and generally do not exceed around 20% (a so-called “therapeutic ceiling”). Moreover, 45% of patients who initially respond to treatment with existing approved therapies lose response within five years.</w:t>
      </w:r>
      <w:r>
        <w:rPr>
          <w:rFonts w:ascii="Times New Roman" w:hAnsi="Times New Roman"/>
          <w:color w:val="000000"/>
          <w:sz w:val="20"/>
        </w:rPr>
        <w:t xml:space="preserve"> </w:t>
      </w:r>
    </w:p>
    <w:p>
      <w:pPr>
        <w:pStyle w:val="TextBody"/>
        <w:bidi w:val="0"/>
        <w:ind w:left="0" w:right="0" w:firstLine="619"/>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RIPK2 is a critical signaling protein of the innate immune system that responds to bacterial byproducts from the GI tract and has been implicated both as an initiator of IBD and as a disease mechanism that remains elevated in patients resistant to standard-of-care therapies, including tumor necrosis factor, or TNF, and integrin-blocking therapies. Based on the observations of increased activation of RIPK2 in IBD patients, the linkage of RIPK2-associated gene expression with disease severity and the reduction of disease following RIPK2 knockout or inhibition in preclinical models, we believe that blocking RIPK2 has the potential to address the core pathology of IBD. RIPK2 inhibition blocks the production of multiple cytokines in response to bacterial byproducts, many of which are validated therapeutic targets for IBD treatment, including TNF, TNF-like cytokine 1A, or TL1A, and interleukin 23, or IL-23. By blocking these cytokines, the adaptive immune response is reduced. In addition, by blocking RIPK2, we believe we can also prevent direct damage to the gut epithelial lining by the activation of innate immune cells. In addition, activated innate immune cells, for example inflammatory monocytes, that highly express RIPK2 are elevated in patients who are refractory to standard of care therapies. Therefore, we believe our approach of targeting the innate immune response through RIPK2 is differentiated from therapies that target the adaptive immune response and has the potential for use in patients who are refractory to existing standard of care therapies. Leveraging our platform capabilities, our development candidate OD-001 was discovered and nominated to progress into clinical trials in under 24 months. We believe that OD-001, as either monotherapy or in combination with existing therapies, has the potential to break the therapeutic ceiling in IBD. In our completed phase 1 healthy participant trial conducted in Australia, OD-001 was well tolerated at and above doses expected to provide desired therapeutic target coverage. Subsequently, in May 2025, we initiated dosing in an open-label phase 2a trial assessing OD-001 as a monotherapy at two dose levels in UC patients and we received topline induction results from both doses in April 2026 and those results are presented in this prospectus. As of the date of this prospectus, we have completed dosing of OD-001 in part 1 and part 2 of this phase 2a clinical trial with 49 patients evaluable for the primary efficacy analysis per protocol and have observed patient benefit that is concordant across multiple disease-relevant endpoints. With regard to safety and tolerability, across all 53 patients enrolled in part 1 and part 2, OD-001 has been well tolerated with no serious adverse events, or SAEs, or discontinuations due to adverse events, or AEs. Pending discussion with regulatory agencies, we expect to commence a randomized, double-blind phase 2a combination trial assessing OD-001 with an integrin-blocking therapy, vedolizumab, compared to vedolizumab plus placebo in the second half of 2026 and we expect to release topline induction results from this trial in the second half of 2027. In addition, we expect to initiate a phase 2b randomized, double-blind, placebo-controlled trial assessing two dose levels of OD-001 as a monotherapy compared to placebo in the second half of 2026, with topline monotherapy induction results from that trial expected in the second half of 2027. As of the date of this prospectus, our ongoing RIPK2 phase 2a trial has recruited patients from 18 sites across seven countries including Australia, Canada, Jordan, Moldova, New Zealand, Poland, and Ukraine. We anticipate conducting our future trials at sites both in the United States and the rest of the world pending approval and clearance to proceed by the applicable regulatory authorities.</w:t>
      </w:r>
      <w:r>
        <w:rPr>
          <w:rFonts w:ascii="Times New Roman" w:hAnsi="Times New Roman"/>
          <w:color w:val="000000"/>
          <w:sz w:val="20"/>
        </w:rPr>
        <w:t xml:space="preserve"> </w:t>
      </w:r>
    </w:p>
    <w:p>
      <w:pPr>
        <w:pStyle w:val="TextBody"/>
        <w:bidi w:val="0"/>
        <w:ind w:left="0" w:right="0" w:firstLine="619"/>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OD-002 is our oral small-molecule SLC15A4 inhibitor product candidate, currently in IND-enabling studies. OD-002, which was discovered by leveraging our artificial intelligence/machine learning, or</w:t>
      </w:r>
      <w:r>
        <w:rPr>
          <w:rFonts w:ascii="Times New Roman" w:hAnsi="Times New Roman"/>
          <w:color w:val="000000"/>
          <w:sz w:val="20"/>
        </w:rPr>
        <w:t xml:space="preserve"> </w:t>
      </w:r>
      <w:r>
        <w:rPr>
          <w:rFonts w:ascii="Arial" w:hAnsi="Arial"/>
          <w:color w:val="000000"/>
          <w:sz w:val="20"/>
        </w:rPr>
        <w:t>AI/ML, platform and advanced from discovery to development candidate nomination in 15 months, is designed to block inflammatory signaling triggered by nucleic acid driven activation of toll-like receptors—TLR7, TLR8, and TLR9. Nucleic acids, including both RNA and DNA, initiate and sustain a broad spectrum of inflammatory diseases, including interferonopathies. SLC15A4 is an endolysosomal membrane protein that is required for key elements of the cellular response to nucleic acid activation by TLR7, TLR8, and TLR9. This signaling pathway controls the production of type I interferon, proinflammatory cytokines, and chemokines, and causes pathogenic B cell activation. Our product candidate is designed to address the limitations of other approaches targeting nucleic acid receptor pathways or downstream inflammatory mediators, such as TLR7/8 inhibitors or interferon blockers, respectively. We believe targeting SLC15A4 has the potential to improve on the early phase 1b/2a efficacy data observed with TLR7/8 inhibitors, such as enpatoran or afimetoran, by not only inhibiting TLR7 and TLR8 signaling, but also inhibiting signaling from DNA, through TLR9. In addition, we believe targeting SLC15A4 has the potential to improve on the efficacy observed with an approved type I interferon blocker, anifrolumab, by inhibiting other cytokines and chemokines, and pathogenic B cell responses. On the basis of this expected profile, in addition to SLE, we believe SLC15A4 inhibition has the potential to be developed for multiple inflammatory or interferon-mediated diseases, including cutaneous lupus erythematosus, or CLE, Sjögren’s syndrome, dermatomyositis, systemic sclerosis, nephropathies, and potentially more broadly for B cell-driven autoimmune diseases. We expect to commence a phase 1/2a trial that will enroll healthy participants and patients with inflammatory or autoimmune diseases, such as CLE, and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will consist of a single ascending dose, or SAD, component, and a multiple ascending dose, or MAD, component to assess safety, pharmacokinetics, or PK, and pharmacodynamics, or PD. We expect this trial will enroll two to three cohorts of patients in a basket trial, with one group including up to 30 patients with CLE who will be evaluated for 12-week safety, biomarkers, and efficacy using disease-specific endpoints such as the CLE disease area and severity index, or CLASI. Pending an acceptable profile in our ongoing IND-enabling studies, we intend to file a clinical trial application, or CTA, outside the United States and commence this phase 1/2a trial in the first half of 2027 (pending approval to proceed from the relevant regulatory authority) and report results from the dosing of healthy participants in the second half of 2027.</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to our lead programs, we are advancing several earlier-stage programs targeting key signaling pathways involved in immune-mediated disease. These include OD-003, a protein therapeutic designed to selectively agonize tumor necrosis factor receptor 2, or TNFR2, to activate and expand regulatory T cells, or Treg. We are also developing OD-004, a bispecific protein antagonist of thymic stromal lymphopoietin, or TSLP, and interleukin-33, or IL-33, two upstream alarmins with redundant and compensatory signaling activity that drive inflammatory responses in respiratory diseases such as asthma and c</w:t>
      </w:r>
      <w:r>
        <w:rPr>
          <w:rFonts w:ascii="Arial" w:hAnsi="Arial"/>
          <w:color w:val="0A0A0A"/>
          <w:sz w:val="20"/>
        </w:rPr>
        <w:t xml:space="preserve">hronic obstructive pulmonary disease, or </w:t>
      </w:r>
      <w:r>
        <w:rPr>
          <w:rFonts w:ascii="Arial" w:hAnsi="Arial"/>
          <w:color w:val="000000"/>
          <w:sz w:val="20"/>
        </w:rPr>
        <w:t>COPD. We are also developing a small-molecule scaffolding inhibitor of interleukin-1 receptor-associated kinase 4, or IRAK4, which is a key protein in the myddosome complex that controls inflammatory signaling relevant in many inflammatory and autoimmune diseases. Finally, through a collaboration with Terray Therapeutics, Inc., or Terray, we are developing a small-molecule inhibitor of interferon regulatory factor 5, or IRF5, a transcription factor that regulates multiple proinflammatory signaling pathways and represents a complementary therapeutic strategy to our wholly owned SLC15A4 inhibitor.</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led by Gary D. Glick, Ph.D., our founder, President and Chief Executive Officer, and Jeffrey M. Leiden, M.D., Ph.D., the Chair of our board of directors and the former President, Chief Executive Officer and Chairman of the board and current Executive Chairman of Vertex Pharmaceuticals Incorporated, or Vertex. Prior to founding our company in 2021, Dr. Glick was the founder and Chief Executive Officer of Scorpion Therapeutics, Inc., or Scorpion, where he led the initiation and early discovery of several programs, including STX-478, a mutant selective PI3K inhibitor. In 2025, Eli Lilly and Company acquired Scorpion for up to $2.5 billion in cash. Before Scorpion, Dr. Glick was the founder and Chief Executive Officer of IFM Therapeutics, LLC, or IFM, a company that was the first to target the NLRP3 inflammasome and stimulator of interferon genes, or STING. At IFM, Dr. Glick completed three sales of drug development programs generating proceeds to date of $750 million. Subject to the achievement of various milestones, proceeds from those sales could reach more than $4.7 billion. Earlier in his career, Dr. Glick founded Lycera Corporation, or Lycera, based on his academic research. As Chief Scientific Officer of Lycera, Dr. Glick successfully completed more than $600 million of program partnering transactions. Drs. Glick and Leiden lead our team of experienced drug hunters and developers with deep experience in identifying, developing, and commercializing medicines across indications and drug types. In addition to Drs. Glick and Leiden, other members of our board of directors possess a diverse set of skills related to the discovery, development, acquisition, and commercialization of transformative medicines and have experience in leading, founding, or building biopharmaceutical companies that include Abbott Laboratories, Horizon Therapeutics plc, and Vertex. The past performance by our management team and directors, including investments and transactions in which they have participated and businesses with which they have been associated, may not be indicative of future performance of an investment in us. Since our inception in 2021, we have raised an aggregate of approximately $726.5 million from over 30 venture capital investors, mutual funds, long-only funds, global family offices, and corporate venture funds.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Our Strengths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believe the success of our efforts will be driven by the following differentiating factors:</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pPr>
      <w:r>
        <w:rPr>
          <w:rFonts w:ascii="Arial" w:hAnsi="Arial"/>
          <w:b/>
          <w:color w:val="000000"/>
          <w:sz w:val="20"/>
        </w:rPr>
        <w:t xml:space="preserve">Our deep knowledge of human immune biology. </w:t>
      </w:r>
      <w:r>
        <w:rPr>
          <w:rFonts w:ascii="Arial" w:hAnsi="Arial"/>
          <w:color w:val="000000"/>
          <w:sz w:val="20"/>
        </w:rPr>
        <w:t xml:space="preserve">Our portfolio leverages our comprehensive grasp of the complex and interrelated nature of the immune system to address a broader range of targets or mechanisms than historically undertaken by biopharmaceutical companies. Through our own research efforts and through collaboration with our scientific co-founders and scientific advisory board members, our research is driven by our access to differentiated insights, findings, and datasets that can help guide target selection and inform clinical trial design.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pPr>
      <w:r>
        <w:rPr>
          <w:rFonts w:ascii="Arial" w:hAnsi="Arial"/>
          <w:b/>
          <w:color w:val="000000"/>
          <w:sz w:val="20"/>
        </w:rPr>
        <w:t xml:space="preserve">Our expertise in small molecules and protein therapeutics allows us to tackle a broad range of therapeutic targets. </w:t>
      </w:r>
      <w:r>
        <w:rPr>
          <w:rFonts w:ascii="Arial" w:hAnsi="Arial"/>
          <w:color w:val="000000"/>
          <w:sz w:val="20"/>
        </w:rPr>
        <w:t xml:space="preserve">We have deep organizational expertise in medicinal and protein chemistry along with structural biology and biophysics, and we have efficiently invested to enable discovery and development across both modalities. This expertise enables us to take a structure-guided approach across our entire portfolio and provides the foundation to address historically challenging targets. For each program, we invest in multiple distinct series of product candidates to maximize the probability of success.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pPr>
      <w:r>
        <w:rPr>
          <w:rFonts w:ascii="Arial" w:hAnsi="Arial"/>
          <w:b/>
          <w:color w:val="000000"/>
          <w:sz w:val="20"/>
        </w:rPr>
        <w:t xml:space="preserve">Highly productive and efficient research and development capabilities. </w:t>
      </w:r>
      <w:r>
        <w:rPr>
          <w:rFonts w:ascii="Arial" w:hAnsi="Arial"/>
          <w:color w:val="000000"/>
          <w:sz w:val="20"/>
        </w:rPr>
        <w:t xml:space="preserve">Since our founding in 2021, we have internally discovered and developed a broad portfolio of product candidates and achieved clinical proof-of-concept for our lead program, OD-001, in March 2026. Our regulatory strategy is globally focused and generally </w:t>
      </w:r>
    </w:p>
    <w:p>
      <w:pPr>
        <w:pStyle w:val="TextBody"/>
        <w:bidi w:val="0"/>
        <w:spacing w:before="120" w:after="283"/>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619" w:right="0" w:hanging="0"/>
        <w:jc w:val="left"/>
        <w:rPr/>
      </w:pPr>
      <w:r>
        <w:rPr>
          <w:rFonts w:ascii="Arial" w:hAnsi="Arial"/>
          <w:color w:val="000000"/>
          <w:sz w:val="20"/>
        </w:rPr>
        <w:t>utilizes CTA submissions prior to IND filings to accelerate development timelines through a streamlined submission process. We believe that this strategy allows us to enter the clinic sooner, ensures inclusion of high-enrolling sites globally by allowing us to target sites in countries with high incidence of the disease (thereby potentially increasing the speed of enrollment), and potentially reduces research and development costs by allowing us to leverage local tax incentives available to companies conducting clinical trials in foreign jurisdictions. In designing our phase 1 and phase 2 trials, we strive to efficiently obtain proof-of-mechanism and proof-of-concept readouts, respectively.</w:t>
      </w:r>
      <w:r>
        <w:rPr>
          <w:color w:val="00000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pPr>
      <w:r>
        <w:rPr>
          <w:rFonts w:ascii="Arial" w:hAnsi="Arial"/>
          <w:b/>
          <w:color w:val="000000"/>
          <w:sz w:val="20"/>
        </w:rPr>
        <w:t xml:space="preserve">Our management team and board of directors have a long track record of therapeutic development and company building. </w:t>
      </w:r>
      <w:r>
        <w:rPr>
          <w:rFonts w:ascii="Arial" w:hAnsi="Arial"/>
          <w:color w:val="000000"/>
          <w:sz w:val="20"/>
        </w:rPr>
        <w:t xml:space="preserve">Throughout their careers, our management team and board of directors have played critical roles as successful drug hunters in the discovery, development, acquisition, and commercialization of multiple blockbuster therapies and in founding and building biopharmaceutical companies. </w:t>
      </w:r>
    </w:p>
    <w:p>
      <w:pPr>
        <w:pStyle w:val="TextBody"/>
        <w:bidi w:val="0"/>
        <w:spacing w:before="240" w:after="283"/>
        <w:jc w:val="left"/>
        <w:rPr>
          <w:rFonts w:ascii="Times New Roman" w:hAnsi="Times New Roman"/>
          <w:sz w:val="20"/>
        </w:rPr>
      </w:pPr>
      <w:r>
        <w:rPr>
          <w:rFonts w:ascii="Arial" w:hAnsi="Arial"/>
          <w:b/>
          <w:color w:val="000000"/>
          <w:sz w:val="20"/>
        </w:rPr>
        <w:t>Our Strategy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goal is to continue building a differentiated, global biopharmaceutical company by discovering, developing, and commercializing transformative medicines for underserved patient populations. We aim to be an industry leader in immunology and are advancing a diversified portfolio of programs with the intention of efficiently delivering safe and effective medicines to patients.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key elements of our strategy include:</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pPr>
      <w:r>
        <w:rPr>
          <w:rFonts w:ascii="Arial" w:hAnsi="Arial"/>
          <w:b/>
          <w:color w:val="000000"/>
          <w:sz w:val="20"/>
        </w:rPr>
        <w:t xml:space="preserve">Advance our RIPK2 scaffolding inhibitor, OD-001, to deliver a potentially transformative therapy for patients suffering from inflammatory bowel disease. </w:t>
      </w:r>
      <w:r>
        <w:rPr>
          <w:rFonts w:ascii="Arial" w:hAnsi="Arial"/>
          <w:color w:val="000000"/>
          <w:sz w:val="20"/>
        </w:rPr>
        <w:t>Currently, there are few oral advanced therapies approved for the treatment of IBD and those that are available may not be conducive for use in combination with existing standard of care to improve outcomes safely. We believe OD-001 has the potential to be the first approved oral therapy for use as a monotherapy or in combination with other advanced therapies in patients with moderate-to-severe disease to potentially break the therapeutic ceiling. We achieved proof-of-concept with OD-001 in a phase 2a trial assessing OD-001 as a monotherapy in UC patients in March 2026, with topline induction results received in April 2026 and included in this prospectus. Following the completion of this trial and pending discussion with regulatory agencies, we expect to initiate a phase 2b double-blind, randomized and placebo-controlled trial assessing OD-001 as a monotherapy in the second half of 2026, with topline monotherapy induction results expected in the second half of 2027. We also expect to commence a randomized, double-blind phase 2a trial assessing OD-001 in combination with vedolizumab for induction therapy in UC patients compared to vedolizumab plus placebo, followed by OD-001-only maintenance treatment, in the second half of 2026. We expect to release topline combination induction results from this trial in the second half of 2027 and topline OD-001-only monotherapy maintenance results in the second half of 2028.</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pPr>
      <w:r>
        <w:rPr>
          <w:rFonts w:ascii="Arial" w:hAnsi="Arial"/>
          <w:b/>
          <w:color w:val="000000"/>
          <w:sz w:val="20"/>
        </w:rPr>
        <w:t>Advance our small-molecule inhibitor of SLC15A4, OD-002, into clinical development and assess its potential benefit across a range of interferon-mediated and B cell-driven autoimmune and inflammatory diseases</w:t>
      </w:r>
      <w:r>
        <w:rPr>
          <w:rFonts w:ascii="Arial" w:hAnsi="Arial"/>
          <w:color w:val="000000"/>
          <w:sz w:val="20"/>
        </w:rPr>
        <w:t>. Pending acceptable results from ongoing IND-enabling studies, we intend to submit a CTA outside the United States for our SLC15A4 inhibitor program in</w:t>
      </w:r>
      <w:r>
        <w:rPr>
          <w:color w:val="000000"/>
        </w:rPr>
        <w:t xml:space="preserve"> </w:t>
      </w:r>
      <w:r>
        <w:rPr>
          <w:rFonts w:ascii="Arial" w:hAnsi="Arial"/>
          <w:color w:val="000000"/>
          <w:sz w:val="20"/>
        </w:rPr>
        <w:t xml:space="preserve">the second half of 2026 and, if cleared, to initiate a phase 1/2a trial in healthy participants and patients in the first half of 2027.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pPr>
      <w:r>
        <w:rPr>
          <w:rFonts w:ascii="Arial" w:hAnsi="Arial"/>
          <w:b/>
          <w:color w:val="000000"/>
          <w:sz w:val="20"/>
        </w:rPr>
        <w:t>Invest in our early-stage pipeline to potentially enable a new clinical entry every 12-18 months.</w:t>
      </w:r>
      <w:r>
        <w:rPr>
          <w:color w:val="000000"/>
        </w:rPr>
        <w:t xml:space="preserve"> </w:t>
      </w:r>
      <w:r>
        <w:rPr>
          <w:rFonts w:ascii="Arial" w:hAnsi="Arial"/>
          <w:color w:val="000000"/>
          <w:sz w:val="20"/>
        </w:rPr>
        <w:t xml:space="preserve">We intend to advance one or more of our early-stage programs into clinical development and continue to invest in further elucidating immune biology to support new target discovery, validation, and therapeutic development. We expect this will allow us to build a diversified portfolio of candidates at various stages of development to create a repeatable drug development model with a sustainable organization size. The tools we provide our scientists, including AI/ML models, proteomics, and transcription factor reconstitution platforms, are purpose-built to support these goals.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pPr>
      <w:r>
        <w:rPr>
          <w:rFonts w:ascii="Arial" w:hAnsi="Arial"/>
          <w:b/>
          <w:color w:val="000000"/>
          <w:sz w:val="20"/>
        </w:rPr>
        <w:t xml:space="preserve">Execute on our existing, and pursue additional, collaborations. </w:t>
      </w:r>
      <w:r>
        <w:rPr>
          <w:rFonts w:ascii="Arial" w:hAnsi="Arial"/>
          <w:color w:val="000000"/>
          <w:sz w:val="20"/>
        </w:rPr>
        <w:t xml:space="preserve">A component of our corporate development strategy is to collaborate with pharmaceutical and biotechnology companies on challenging targets of mutual interest to increase our probability of success by accessing unique tools and reducing our costs to enable the breadth of our portfolio. We have an ongoing collaboration with Terray on our IRF5 program. We intend to collaborate on additional programs and capabilities in the future.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pPr>
      <w:r>
        <w:rPr>
          <w:rFonts w:ascii="Arial" w:hAnsi="Arial"/>
          <w:b/>
          <w:color w:val="000000"/>
          <w:sz w:val="20"/>
        </w:rPr>
        <w:t>Build our development capabilities to support advancement of candidates into late-stage development.</w:t>
      </w:r>
      <w:r>
        <w:rPr>
          <w:color w:val="000000"/>
        </w:rPr>
        <w:t xml:space="preserve"> </w:t>
      </w:r>
      <w:r>
        <w:rPr>
          <w:rFonts w:ascii="Arial" w:hAnsi="Arial"/>
          <w:color w:val="000000"/>
          <w:sz w:val="20"/>
        </w:rPr>
        <w:t xml:space="preserve">It is our vision to create an integrated discovery, development, and commercialization biotechnology company. As we grow the size of our company and raise additional capital, our plan is to invest more into building in-house development capabilities to complement our use of external support. </w:t>
      </w:r>
    </w:p>
    <w:p>
      <w:pPr>
        <w:pStyle w:val="TextBody"/>
        <w:bidi w:val="0"/>
        <w:spacing w:before="120" w:after="283"/>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Our Team and Investors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led by Gary D. Glick, Ph.D., our founder, President and Chief Executive Officer, and Jeffrey M. Leiden, M.D., Ph.D., the Chair of our board of directors and the former President, Chief Executive Officer, and Chairman of the board and current Executive Chairman of Vertex, one of the world’s largest pharmaceutical companies.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Prior to founding our company in 2021, Dr. Glick was the founder and Chief Executive Officer of Scorpion where he led the initiation and early discovery of several programs, including STX-478, a mutant-selective PI3K inhibitor. In 2025, Eli Lilly and Company acquired Scorpion for up to $2.5 billion in cash. Before Scorpion, Dr. Glick was the founder and Chief Executive Officer of IFM Therapeutics, a company that was the first to target the NLRP3 inflammasome and STING. At IFM, Dr. Glick completed three sales of drug development programs, generating proceeds to date of $750 million. Subject to the achievement of various milestones, proceeds from those sales could reach more than $4.7 billion. Earlier in his career, Dr. Glick founded Lycera based on his academic research, where he also served as Chief Scientific Officer. During his tenure, Lycera successfully completed more than $600 million of program partnering transactions.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Dr. Leiden served as Chief Executive Officer of Vertex for eight years, during which time Vertex delivered multiple approved medicines to treat the underlying cause of cystic fibrosis for patients with certain forms of the disease, including KALYDECO</w:t>
      </w:r>
      <w:r>
        <w:rPr>
          <w:rFonts w:ascii="Arial" w:hAnsi="Arial"/>
          <w:color w:val="000000"/>
          <w:sz w:val="13"/>
        </w:rPr>
        <w:t>®</w:t>
      </w:r>
      <w:r>
        <w:rPr>
          <w:rFonts w:ascii="Arial" w:hAnsi="Arial"/>
          <w:color w:val="000000"/>
          <w:sz w:val="20"/>
        </w:rPr>
        <w:t>, ORKAMBI</w:t>
      </w:r>
      <w:r>
        <w:rPr>
          <w:rFonts w:ascii="Arial" w:hAnsi="Arial"/>
          <w:color w:val="000000"/>
          <w:sz w:val="13"/>
        </w:rPr>
        <w:t>®</w:t>
      </w:r>
      <w:r>
        <w:rPr>
          <w:rFonts w:ascii="Arial" w:hAnsi="Arial"/>
          <w:color w:val="000000"/>
          <w:sz w:val="20"/>
        </w:rPr>
        <w:t>, and TRIKAFTA</w:t>
      </w:r>
      <w:r>
        <w:rPr>
          <w:rFonts w:ascii="Arial" w:hAnsi="Arial"/>
          <w:color w:val="000000"/>
          <w:sz w:val="13"/>
        </w:rPr>
        <w:t>®</w:t>
      </w:r>
      <w:r>
        <w:rPr>
          <w:rFonts w:ascii="Arial" w:hAnsi="Arial"/>
          <w:color w:val="000000"/>
          <w:sz w:val="20"/>
        </w:rPr>
        <w:t>. Prior to Vertex, Dr. Leiden was President, Chief Operating Officer, and Chief Scientific Officer of Abbott Laboratories, Pharmaceutical Products Group, where he led the development and commercialization of HUMIRA</w:t>
      </w:r>
      <w:r>
        <w:rPr>
          <w:rFonts w:ascii="Arial" w:hAnsi="Arial"/>
          <w:color w:val="000000"/>
          <w:sz w:val="13"/>
        </w:rPr>
        <w:t>®</w:t>
      </w:r>
      <w:r>
        <w:rPr>
          <w:rFonts w:ascii="Arial" w:hAnsi="Arial"/>
          <w:color w:val="000000"/>
          <w:sz w:val="20"/>
        </w:rPr>
        <w:t>, a drug approved for nine indications with over $200 billion in lifetime sales. Dr. Leiden is actively involved in all aspects of our business, including our preclinical, clinical, and business development activities.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Drs. Glick and Leiden lead our team of experienced drug hunters and developers with deep experience in identifying, developing, and commercializing medicines across indications and drug types. Members of our management team have served in senior positions at Merck &amp; Co., Inc., Sanofi S.A., Pfizer Inc., C4 Therapeutics, Inc., SpringWorks Therapeutics, Inc., IFM Therapeutics, Novartis AG, and Bristol-Myers Squibb Company. In addition to Drs. Glick and Leiden, other members of our board of directors possess a diverse set of skills related to the discovery, development, acquisition, and commercialization of transformative medicines and have experience in leading, founding, or building biopharmaceutical companies that include Abbott Laboratories, Horizon Therapeutics plc, and Vertex.</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management and board of directors are complemented by scientific co-founders and a scientific advisory board composed of preeminent immunology researchers, including multiple investigators at the Howard Hughes Medical Institute and leading experts globally who have conducted foundational research to identify and characterize a number of our therapeutic targets, including RIPK2 and SLC15A4.</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Since our inception in 2021, we have raised an aggregate of approximately $726.5 million from a collection of leading investors, mutual funds, and global family offices. Our investor syndicate includes over 30 venture capital investors, mutual funds, long-only funds, global family offices, and corporate venture funds.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Our Approach to Immunology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 xml:space="preserve">The human immune system is a complex network of cells, tissues, and organs that can be divided into two primary components: the innate immune system and adaptive immune system. The innate immune system, which forms the body’s first line of defense, is a cellular network with highly selective receptors and activators that responds to pathogenic stimuli, both directly and by producing proinflammatory cytokines that activate the secondary line of defense: the adaptive immune system. The adaptive immune system helps eliminate pathogens and retains a memory of them for a more effective immune response to previously encountered pathogens. While these responses are necessary for normal homeostatic function and host defense, </w:t>
      </w:r>
      <w:r>
        <w:rPr>
          <w:rFonts w:ascii="Arial" w:hAnsi="Arial"/>
          <w:i/>
          <w:color w:val="000000"/>
          <w:sz w:val="20"/>
        </w:rPr>
        <w:t>chronic</w:t>
      </w:r>
      <w:r>
        <w:rPr>
          <w:rFonts w:ascii="Times New Roman" w:hAnsi="Times New Roman"/>
          <w:color w:val="000000"/>
          <w:sz w:val="20"/>
        </w:rPr>
        <w:t xml:space="preserve"> </w:t>
      </w:r>
      <w:r>
        <w:rPr>
          <w:rFonts w:ascii="Arial" w:hAnsi="Arial"/>
          <w:color w:val="000000"/>
          <w:sz w:val="20"/>
        </w:rPr>
        <w:t>proinflammatory signaling that remains unresolved propagates inflammatory disease and organ damage, as shown below.</w:t>
      </w:r>
      <w:r>
        <w:rPr>
          <w:rFonts w:ascii="Times New Roman" w:hAnsi="Times New Roman"/>
          <w:color w:val="000000"/>
          <w:sz w:val="20"/>
        </w:rPr>
        <w:t xml:space="preserve"> </w:t>
      </w:r>
    </w:p>
    <w:p>
      <w:pPr>
        <w:pStyle w:val="TextBody"/>
        <w:bidi w:val="0"/>
        <w:ind w:left="0" w:right="0" w:firstLine="619"/>
        <w:jc w:val="left"/>
        <w:rPr/>
      </w:pPr>
      <w:r>
        <w:rPr/>
        <w:t> </w:t>
      </w:r>
    </w:p>
    <w:p>
      <w:pPr>
        <w:pStyle w:val="TextBody"/>
        <w:bidi w:val="0"/>
        <w:jc w:val="center"/>
        <w:rPr/>
      </w:pPr>
      <w:r>
        <w:rPr/>
        <w:drawing>
          <wp:inline distT="0" distB="0" distL="0" distR="0">
            <wp:extent cx="6010275" cy="244792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6010275" cy="2447925"/>
                    </a:xfrm>
                    <a:prstGeom prst="rect">
                      <a:avLst/>
                    </a:prstGeom>
                  </pic:spPr>
                </pic:pic>
              </a:graphicData>
            </a:graphic>
          </wp:inline>
        </w:drawing>
      </w:r>
    </w:p>
    <w:p>
      <w:pPr>
        <w:pStyle w:val="TextBody"/>
        <w:bidi w:val="0"/>
        <w:ind w:left="0" w:right="0" w:firstLine="619"/>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Current therapies for inflammatory diseases are largely focused on the downstream adaptive immune response—specifically, the inhibition of cytokines—and have produced meaningful benefits for patients, but share fundamental limitations despite targeting different cytokines. Because cytokines have redundant function, blocking any one downstream cytokine does not prevent others from activating the adaptive immune response. Cytokines have many functions and therefore inhibiting a cytokine relevant in disease also negatively impacts normal homeostasis and is typically associated with immunosuppression. Therapeutic approaches that block multiple cytokines have the potential to increase susceptibility to life-threatening infection. In addition, cytokine inhibition does not address parts of the innate immune response, such as recruitment and activation of neutrophils or macrophages, which themselves can damage tissue independent of the adaptive immune response. Therefore, we believe existing therapeutics will continue to be challenging to combine safely into additive or synergistic multidrug regimens and leave disease mechanisms unaddressed. By targeting innate immune responses or upstream signaling nodes as shown in the graphic below, our product candidates have the potential, whether as monotherapies or in combination, to address the issue of downstream cytokine redundancy while having less immunosuppressive risk.</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b/>
          <w:color w:val="000000"/>
          <w:sz w:val="20"/>
        </w:rPr>
        <w:t>Mechanisms of Action for Our Lead Product Candidates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4438650" cy="395287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4438650" cy="3952875"/>
                    </a:xfrm>
                    <a:prstGeom prst="rect">
                      <a:avLst/>
                    </a:prstGeom>
                  </pic:spPr>
                </pic:pic>
              </a:graphicData>
            </a:graphic>
          </wp:inline>
        </w:drawing>
      </w:r>
    </w:p>
    <w:p>
      <w:pPr>
        <w:pStyle w:val="TextBody"/>
        <w:bidi w:val="0"/>
        <w:jc w:val="center"/>
        <w:rPr/>
      </w:pPr>
      <w:r>
        <w:rPr/>
        <w:t> </w:t>
      </w:r>
    </w:p>
    <w:p>
      <w:pPr>
        <w:pStyle w:val="TextBody"/>
        <w:bidi w:val="0"/>
        <w:ind w:left="0" w:right="0" w:firstLine="619"/>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We believe our portfolio of product candidates aimed at known and novel targets in the immune system can produce major treatment advances for patients by expanding the aperture of how inflammatory diseases can be treated. Our strategy is focused on modulating the root of inflammatory dysregulation through highly selective targeting of key nodes in the immune system. Through this approach, we believe we can provide new monotherapy treatments for patients and physicians and enable tolerable combination options to further improve the breadth, depth, and durability of patient responses.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Our Approach to Therapeutic Development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Drug discovery and development at Odyssey is run by a team of experts who collectively have decades of experience across biotechnology and pharmaceutical companies.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first seek to identify targets that address patient populations with significant unmet need within immunology. In considering targets, we prefer those where the biology is well characterized and where clinical or translational evidence can be combined with human genetics to inform potential safety and efficacy.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After identifying a potential therapeutic target and a patient population with unmet need, we focus on five questions:</w:t>
      </w:r>
      <w:r>
        <w:rPr>
          <w:rFonts w:ascii="Times New Roman" w:hAnsi="Times New Roman"/>
          <w:color w:val="000000"/>
          <w:sz w:val="20"/>
        </w:rPr>
        <w:t xml:space="preserve"> </w:t>
      </w:r>
    </w:p>
    <w:p>
      <w:pPr>
        <w:pStyle w:val="TextBody"/>
        <w:bidi w:val="0"/>
        <w:spacing w:before="120" w:after="283"/>
        <w:ind w:left="619" w:right="0" w:hanging="0"/>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What specific problem(s) are we seeking to address? </w:t>
      </w:r>
    </w:p>
    <w:p>
      <w:pPr>
        <w:pStyle w:val="TextBody"/>
        <w:bidi w:val="0"/>
        <w:spacing w:before="120" w:after="283"/>
        <w:ind w:left="619" w:right="0" w:hanging="0"/>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Is there an opportunity to make significant advances over standard of care? </w:t>
      </w:r>
    </w:p>
    <w:p>
      <w:pPr>
        <w:pStyle w:val="TextBody"/>
        <w:bidi w:val="0"/>
        <w:spacing w:before="120" w:after="283"/>
        <w:ind w:left="619" w:right="0" w:hanging="0"/>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Is the patient population sufficiently large to support a meaningful commercial opportunity in one or more indications? </w:t>
      </w:r>
    </w:p>
    <w:p>
      <w:pPr>
        <w:pStyle w:val="TextBody"/>
        <w:bidi w:val="0"/>
        <w:spacing w:before="120" w:after="283"/>
        <w:ind w:left="619" w:right="0" w:hanging="0"/>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Can the drug candidate make a timely entry to the market (e.g., as one of the first two entrants for a particular mechanism)? </w:t>
      </w:r>
    </w:p>
    <w:p>
      <w:pPr>
        <w:pStyle w:val="TextBody"/>
        <w:bidi w:val="0"/>
        <w:spacing w:before="120" w:after="283"/>
        <w:ind w:left="619" w:right="0" w:hanging="0"/>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 xml:space="preserve">Will any given target have potential additivity or synergy with other drug candidates in our portfolio?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strive to have conviction on these questions when we initiate a program and continually revisit these questions as programs advance.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then filter targets using a number of considerations, including the clinical development path time and investment to achieve value inflection. For example, we evaluate whether there is a definable patient population that can provide unambiguous proof-of-concept or the potential to demonstrate proof-of-mechanism in healthy participant studies. In addition, we consider whether there is a patient selection or biomarker strategy in key indications that can improve probability of success.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Following target selection, we leverage internal capabilities to determine which modality—small molecule or protein therapeutic—is optimal for effectively drugging the core biology we aim to address. We believe that our approach has the potential to develop medicines targeting diseases across the estimated $100 billion inflammatory disease market. Our estimate of the size of the inflammatory disease market is based on third-party research, such as the article titled “</w:t>
      </w:r>
      <w:r>
        <w:rPr>
          <w:rFonts w:ascii="Arial" w:hAnsi="Arial"/>
          <w:i/>
          <w:color w:val="000000"/>
          <w:sz w:val="20"/>
        </w:rPr>
        <w:t>Drug Sales to Reach $1.9 Trillion Within 5 Years?</w:t>
      </w:r>
      <w:r>
        <w:rPr>
          <w:rFonts w:ascii="Times New Roman" w:hAnsi="Times New Roman"/>
          <w:color w:val="000000"/>
          <w:sz w:val="20"/>
        </w:rPr>
        <w:t xml:space="preserve">” </w:t>
      </w:r>
      <w:r>
        <w:rPr>
          <w:rFonts w:ascii="Arial" w:hAnsi="Arial"/>
          <w:color w:val="000000"/>
          <w:sz w:val="20"/>
        </w:rPr>
        <w:t>published in Volume 22, Issue 3 of Nature Reviews Drug Discovery, which has valued the inflammatory disease market in excess of $100 billion based on current approved therapies. Given our focus on what we believe to be the root of inflammatory dysregulation, we believe our approach could have applicability across this market.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graphic below illustrates our target selection and preclinical and clinical process described above in greater detail.</w:t>
      </w:r>
      <w:r>
        <w:rPr>
          <w:rFonts w:ascii="Times New Roman" w:hAnsi="Times New Roman"/>
          <w:color w:val="000000"/>
          <w:sz w:val="20"/>
        </w:rPr>
        <w:t xml:space="preserve"> </w:t>
      </w:r>
    </w:p>
    <w:p>
      <w:pPr>
        <w:pStyle w:val="TextBody"/>
        <w:bidi w:val="0"/>
        <w:ind w:left="0" w:right="0" w:firstLine="619"/>
        <w:jc w:val="left"/>
        <w:rPr/>
      </w:pPr>
      <w:r>
        <w:rPr/>
        <w:t> </w:t>
      </w:r>
    </w:p>
    <w:p>
      <w:pPr>
        <w:pStyle w:val="TextBody"/>
        <w:bidi w:val="0"/>
        <w:jc w:val="left"/>
        <w:rPr/>
      </w:pPr>
      <w:r>
        <w:rPr/>
        <w:drawing>
          <wp:inline distT="0" distB="0" distL="0" distR="0">
            <wp:extent cx="6724650" cy="328612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6724650" cy="32861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Small Molecules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Small molecules are preferred to address intracellular targets or provide an oral option where that administration route will be important for prescribers and patients. We have internal expertise that enables us to pursue a number of small-molecule mechanisms, including traditional inhibitors, protein-protein inhibitors, molecular glues, and protein degraders. To support our discovery and development, we have invested in a suite of tools and capabilities, including our AI/ML platform.</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AI/ML platform is designed to support small-molecule drug discovery from program initiation through identification of a development candidate in silico. Specifically, leveraging our platform can (1) help to elucidate cryptic pockets through novel techniques pioneered by our employees, (2) enable us to use virtual screening and generative chemistry to identify and optimize hits, and (3) when used alongside traditional medicinal chemistry efforts, enable us to efficiently progress our programs. Our ability to leverage this technology has been instrumental in the discovery and development of some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Protein Therapeutics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believe that protein therapeutics are ideal for extracellular targets, particularly where multiple targets or receptors must be engaged for desired pharmacology. Within the protein therapeutic class, there are numerous formats that have been used in approved drugs, including monoclonal antibodies or their fragments, or Fab, bispecific antibodies,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fusion proteins, and VHH-based single-domain antibodies and derivatives thereof, which we collectively refer to as VHH or V-bodies. We believe VHH provide a superior platform for the development of next-generation protein therapeutics compared to conventional antibodies and fusion proteins because of their lower molecular weight, modularity, ease of engineering and manufacturing, and developability characteristics—such as higher melting temperatures that are correlated with improved stability, which can simplify storage and transportation. In addition, VHH are typically more soluble than monoclonal antibodies, which can enable high-concentration formulations for subcutaneous dosing—preferred by patients and payors—compared to intravenous delivery. Like our small-molecule research, we employ AI and ML models in developing our protein therapeutics. These models enable us to identify favorable combinations of VHH and help guide optimization of affinity, stability, and developability.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use of individual VHH domains and the ability to modify the number and relative arrangement of such domains has the potential to allow us to create versatile molecules that can be combined to recognize distinct features of a particular target or multiple distinct targets. Combining multiple targeting molecules could enable us to create biparatopic antibodies, which use multiple binders on the same target to increase potency or receptor clustering, or create multispecific V-bodies that recognize multiple receptor targets (e.g., bispecific or trispecific) to improve potency and cell type selectivity, or induce novel cell-cell interactions. We believe the VHH platform also offers the flexibility to enable the inclusion of other technologies, such as half-life extension, use of multiple formats (e.g., fragment crystallizable, or Fc, -based or linear), and the creation of non-antibody-like geometric arrangements of binding domains, including variable interdomain linker length to modulate spacing between binding elements, which can optimize binding potency, selectivity, and PK properties.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expertise and investment in protein production, purification, and reconstitution enables us to take a structure-guided approach across our entire portfolio of small molecules and protein therapeutics, and provides an opportunity to address historically challenging targets such as transcription factors. Transcription factors are difficult drug targets due to their inherent flexibility and poor behavior in the absence of stabilizing co-factors. Our team consists of scientists who have conducted and published leading research in the field of reconstituting functional transcription factor complexes for biochemical and structural characterization. We believe we can use structure-guided hit finding in such reconstitution processes and direct biochemical assessments to characterize hits instead of relying on downstream, indirect phenotypic readouts that are poorly translatable to target-directed drug discovery.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Our Product Candidates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publicly disclosed portfolio consists of five wholly owned immunology programs and one partnered immunology program, with additional undisclosed preclinical programs, that include both small molecules and protein therapeutics. We believe that considering two modalities provides us with a better ability to select the right modality to most effectively treat the core biology problem we are aiming to address, and each of our modalities has well-prescribed development and regulatory pathways. For our lead programs, we have prioritized targets that we believe are of high interest to pharmaceutical companies to provide partnering flexibility, and for which we believe the disease biology is relatively well understood through the availability and use of genetic, clinical, or translational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RIPK2</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OD-001 is an oral small-molecule RIPK2 scaffolding inhibitor product candidate in phase 2a development for the treatment of UC, one of the two main types of IBD. RIPK2 is a critical signaling protein of the innate immune system that responds to bacterial byproducts from the GI tract and has been implicated as an initiator of IBD and is thought to mediate resistance to standard-of-care therapies, including TNF and integrin-blocking therapies. By addressing IBD at an upstream point in the immune response, we believe that OD-001, as either monotherapy or in combination with existing therapies, has the potential to break the current therapeutic ceiling in IBD.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the fourth quarter of 2024, we completed a phase 1 trial of OD-001 in healthy adult participants in Australia that demonstrated that OD-001 was well tolerated and provided sufficient exposure to achieve C</w:t>
      </w:r>
      <w:r>
        <w:rPr>
          <w:rFonts w:ascii="Arial" w:hAnsi="Arial"/>
          <w:color w:val="000000"/>
          <w:sz w:val="13"/>
        </w:rPr>
        <w:t>ave</w:t>
      </w:r>
      <w:r>
        <w:rPr>
          <w:rFonts w:ascii="Times New Roman" w:hAnsi="Times New Roman"/>
          <w:color w:val="000000"/>
          <w:sz w:val="20"/>
        </w:rPr>
        <w:t xml:space="preserve"> </w:t>
      </w:r>
      <w:r>
        <w:rPr>
          <w:rFonts w:ascii="Arial" w:hAnsi="Arial"/>
          <w:color w:val="000000"/>
          <w:sz w:val="20"/>
        </w:rPr>
        <w:t>target coverage at or above IC</w:t>
      </w:r>
      <w:r>
        <w:rPr>
          <w:rFonts w:ascii="Arial" w:hAnsi="Arial"/>
          <w:color w:val="000000"/>
          <w:sz w:val="13"/>
        </w:rPr>
        <w:t>90</w:t>
      </w:r>
      <w:r>
        <w:rPr>
          <w:rFonts w:ascii="Arial" w:hAnsi="Arial"/>
          <w:color w:val="000000"/>
          <w:sz w:val="20"/>
        </w:rPr>
        <w:t>. In May 2025, we initiated dosing in an open-label phase 2a trial assessing OD-001 as a monotherapy at two dose levels in UC. We enrolled a total of 53 patients between part 1 (10 mg BID) and part 2 (20 mg BID) of the trial and the OD-001 treatment portion of part 1 and part 2 is completed. A total of 49 patients completed 12 weeks of treatment and were evaluable for the primary efficacy analysis per protocol. We have observed patient benefit that is concordant across multiple disease-relevant endpoints in patients treated at both dose levels. In addition, both doses were well tolerated with no SAEs, and no discontinuations due to AEs. Based on the efficacy and tolerability observed, we expect to commence a randomized, double-blind phase 2a trial assessing OD-001 in combination with an integrin-blocking therapy, vedolizumab, compared to vedolizumab plus placebo in the second half of 2026, with topline combination induction results expected in the second half of 2027 and OD-001 only 52-week maintenance results expected in the second half of 2028. In addition, we expect to initiate a randomized, double-blind, placebo-controlled phase 2b trial assessing two dose levels of OD-001 as a monotherapy compared to placebo in the second half of 2026, with topline monotherapy induction results expected in the second half of 2027. We anticipate conducting our future trials for this program at sites both in the United States and across the rest of the world pending approval and clearance to proceed by the applicable regulatory authorities.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RIPK2 Function as a Signaling Node Mediates Inflammatory Bowel Disease</w:t>
      </w:r>
      <w:r>
        <w:rPr>
          <w:rFonts w:ascii="Times New Roman" w:hAnsi="Times New Roman"/>
          <w:color w:val="000000"/>
          <w:sz w:val="20"/>
        </w:rPr>
        <w:t xml:space="preserve"> </w:t>
      </w:r>
    </w:p>
    <w:p>
      <w:pPr>
        <w:pStyle w:val="TextBody"/>
        <w:bidi w:val="0"/>
        <w:ind w:left="0" w:right="0" w:firstLine="619"/>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The RIPK2 signaling pathway has been observed to have three primary effects on innate immune cells: (1) causing innate immune cells to produce proinflammatory cytokines, (2) amplifying production of cytokines induced by microbial stimuli other than peptidoglycan, or PGN, that activate innate immune cells, and (3) inducing an activated phenotype in innate immune cells, which, depending on the specific cell type, damages the surrounding normal tissue by killing intestinal epithelial cells and degrading the supporting extracellular structure. The cytokines directly induced or amplified by RIPK2, including TNF, TL1A, IL-23, interleukin 6, or IL-6, and interleukin 1, or IL-1, recruit and activate T cells to initiate an adaptive immune response that is not specific for bacteria, resulting in damage to intestinal epithelial cells.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graphic below illustrates the role of RIPK2 in activating and amplifying immune response.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Role of RIPK2 in Innate Immune Activation and Adaptive Immune Response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6858000" cy="3562350"/>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6858000" cy="3562350"/>
                    </a:xfrm>
                    <a:prstGeom prst="rect">
                      <a:avLst/>
                    </a:prstGeom>
                  </pic:spPr>
                </pic:pic>
              </a:graphicData>
            </a:graphic>
          </wp:inline>
        </w:drawing>
      </w:r>
    </w:p>
    <w:p>
      <w:pPr>
        <w:pStyle w:val="TextBody"/>
        <w:bidi w:val="0"/>
        <w:ind w:left="0" w:right="0" w:firstLine="619"/>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Toll-like receptors, or TLRs, are another family of receptor proteins found in innate immune cells that respond to bacteria products other than PGN (i.e., LTA, flagellin, and LPS). To show the role of RIPK2 in amplification of TLR signaling, we conducted a study in which we exposed human peripheral blood mononuclear cells, or PBMCs, to a fragment of the bacterial byproduct PGN or a TLR agonist separately or PGN and a TLR agonist combined. When the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cells were exposed to both PGN and TLR, we observed an increase in proinflammatory TNF production by between four and 10 times when compared to PGN or TLR alone.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Observed Increase in Proinflammatory Cytokine Production by Human PBMCs When Exposed to Both PGN and TLR Agonists Over Either Alone</w:t>
      </w:r>
      <w:r>
        <w:rPr>
          <w:rFonts w:ascii="Times New Roman" w:hAnsi="Times New Roman"/>
          <w:color w:val="000000"/>
          <w:sz w:val="20"/>
        </w:rPr>
        <w:t xml:space="preserve"> </w:t>
      </w:r>
    </w:p>
    <w:p>
      <w:pPr>
        <w:pStyle w:val="TextBody"/>
        <w:bidi w:val="0"/>
        <w:jc w:val="center"/>
        <w:rPr/>
      </w:pPr>
      <w:r>
        <w:rPr/>
        <w:drawing>
          <wp:inline distT="0" distB="0" distL="0" distR="0">
            <wp:extent cx="4619625" cy="2914650"/>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4619625" cy="29146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Human PBMCs were stimulated for 24 hours by PGN fragment L18-MDP, a NOD2 agonist, or flagellin, a TLR5 agonist. Data from a single representative donor shown above as mean ± standard deviation; three individual donors tested total. PGN + TLR agonist co-stimulation resulted in significantly higher TNF production as compared to PGN alone. Statistical significance was calculated in GraphPad Prism 10.2.3 using one-way ANOVA, **** = p &lt; 0.0001, and TLR agonist alone, **** = p &lt; 0.0001.</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 xml:space="preserve">In addition to the role of RIPK2 in stimulating and amplifying the adaptive immune response through cytokine production, innate immune cells, such as neutrophils, also express RIPK2 and become activated following exposure to PGN. Activated neutrophils have been observed to directly damage the epithelial lining and mucosal immune defense barrier of the GI tract by releasing human neutrophil elastases that degrade key components of the intestinal epithelial membrane, </w:t>
      </w:r>
      <w:r>
        <w:rPr>
          <w:rFonts w:ascii="Symbol;serif" w:hAnsi="Symbol;serif"/>
          <w:color w:val="000000"/>
          <w:sz w:val="20"/>
        </w:rPr>
        <w:t>a</w:t>
      </w:r>
      <w:r>
        <w:rPr>
          <w:rFonts w:ascii="Arial" w:hAnsi="Arial"/>
          <w:color w:val="000000"/>
          <w:sz w:val="20"/>
        </w:rPr>
        <w:t xml:space="preserve">3 and </w:t>
      </w:r>
      <w:r>
        <w:rPr>
          <w:rFonts w:ascii="Symbol;serif" w:hAnsi="Symbol;serif"/>
          <w:color w:val="000000"/>
          <w:sz w:val="20"/>
        </w:rPr>
        <w:t>a</w:t>
      </w:r>
      <w:r>
        <w:rPr>
          <w:rFonts w:ascii="Arial" w:hAnsi="Arial"/>
          <w:color w:val="000000"/>
          <w:sz w:val="20"/>
        </w:rPr>
        <w:t>4 chains of type IV collagen. As a result, the mucosal immune defense barrier of the membrane fails, allowing bacteria and bacterial byproducts access to deeper layers of the intestine and creating a feed-forward response cycle. Since this tissue-damaging cycle only requires cells of the innate immune system, it may explain why therapies targeting the adaptive immune response, even when used in combination, induce remission in less than half of all patients. The ability of the innate immune system alone to initiate and sustain IBD is supported by experiments in animals that lack a functional adaptive immune system, such as in mice that lack recombination-activating genes (RAG1 and RAG2), genes essential for the development of the adaptive immune cell. For example, CD40 stimulation in RAG1/2 knockout mice activates the innate intestinal immune system in the absence of any cells of the adaptive immune system and causes intestinal inflammation and tissue damage. The TRUC model, in which mice are genetically deficient in both T-bet (a transcription factor) and RAG2, provides another example where IBD occurs in the absence of mature lymphocytes, the cells that mediate adaptive immune responses. In this model, the presence of specific but not pathogenic microbiota is sufficient to trigger the activation of the innate immune system, which leads to intestinal inflammation and damage.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Inflammatory Bowel Disease Background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IBD is a complex disease with many contributing factors, including genetic, environmental, and immunologic factors, and is divided into two primary categories: UC, involving the innermost lining of the large intestine, and Crohn’s disease, which can affect the full thickness of the bowel wall and all parts of the GI tract. Both types are chronic, relapsing, remitting, inflammatory conditions that begin most commonly during adolescence and young adulthood. IBD is characterized by a breakdown of the epithelial lining of the intestines, which leads to an inflammatory response that is triggered by exposing deeper parts of intestinal tissue to the bacteria present in the lumen of the GI tract. The inflammatory response can further damage epithelial tissue in the GI tract and prevent healing of existing damage, resulting in a continuing, self-perpetuating cycle of damage to the intestine in IBD. In addition to direct disease impacts,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patients with IBD experience negative impacts on their mental health, careers, and quality of life as compared to healthy individuals as a result of their recurrent disease symptoms and the need to cycle through therapeutic options.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IBD is estimated to affect two-to-three million people in the United States and over six million people globally. The IBD market was approximately $17 billion in the United States and $25 billion globally in 2025, and is expected to grow to approximately $31 billion in the United States and $40 billion globally by 2032.</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Approved biologics and those in late-stage development as well as targeted small molecule therapies only target cytokines that regulate downstream adaptive immune responses (e.g., TNF, IL-23, or TL1A) or block the recruitment and migration of adaptive immune cells (e.g., integrin or S1P1R), and therefore fail to address the inflammation and tissue damage caused directly by activated innate immune cells. Because existing therapies focus solely on the adaptive immune system, we believe that a novel therapy that blocks innate immune cell activation in response to microbial signals that initiate and drive IBD is needed. Cytokines and T cells within the adaptive immune system operate together through different mechanisms that are not inhibited by targeting only one aspect of the adaptive immune response. Although combinations of adaptive immune-targeted therapies are currently being evaluated in clinical trials, we believe there are key limitations to this approach due to the number of cytokines and adaptive cell types involved downstream of the RIPK2 node. Moreover, these approaches leave the innate immune response unchecked, allowing for ongoing intestinal inflammation and epithelial barrier breakdown, irrespective of cytokine blockade or reduced adaptive immune activation and recruitment.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Limitations of Existing IBD Therapies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 broad spectrum of cytokines and chemokines have been implicated in both UC and Crohn’s disease, several of which have been validated as drug targets to treat patients with moderate-to-severe IBD, starting with the TNF cytokine. Since the approval of the first TNF-blocking agent, REMICADE</w:t>
      </w:r>
      <w:r>
        <w:rPr>
          <w:rFonts w:ascii="Arial" w:hAnsi="Arial"/>
          <w:color w:val="000000"/>
          <w:sz w:val="13"/>
        </w:rPr>
        <w:t>®</w:t>
      </w:r>
      <w:r>
        <w:rPr>
          <w:rFonts w:ascii="Arial" w:hAnsi="Arial"/>
          <w:color w:val="000000"/>
          <w:sz w:val="20"/>
        </w:rPr>
        <w:t>, in 1998, a number of additional medicines targeting different cytokines or adaptive immune cells (e.g., integrins, IL-23, S1P1, and JAK) have been approved to treat IBD.</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Despite the number of therapeutic options available today, remission rates remain modest; only about 20% of patients (placebo adjusted) will respond to a particular treatment and reach disease remission. In addition, up to 45% of those who do initially respond to therapy eventually lose response over time and no approved therapies have addressed fibrostenotic disease. This leads to many patients having to cycle through therapies throughout their lives. In addition, some therapies, such as JAK inhibitors, have a black-box warning for the risk of fatal cardiovascular events. Finally, despite their broad use in patients with moderate or severe disease, biologics have only been observed to reduce long-term surgical rates by approximately 30%.</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placebo-adjusted clinical remission rates for drugs currently approved to treat UC and Crohn’s disease—targeting TNFs, integrins, IL-23, S1P1, or JAK—range from 8% to 26% for UC and 6% to 21% for Crohn’s disease, based on consolidated results from the respective approval studies summarized in Section 14 of their FDA labels. There are also multiple product candidates in development targeting integrins, TL1A, microRNA-124, or miR-124, S1P1, and IL-23 where placebo-adjusted clinical remission rates range from 8% to 28% in UC, based on consolidated results from corporate and conference presentations.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particular, it has been observed that in patients previously treated with an advanced therapy, or AT, targeting the adaptive immune response, efficacy is significantly lower when subsequently treated with another AT targeting a different component of the adaptive immune response. We believe this reflects the redundancy of cytokine signaling in disease and indicates that novel therapies targeting upstream disease mechanisms may be needed to improve response rates in patients who are refractory to one or more advanced therapies.</w:t>
      </w:r>
      <w:r>
        <w:rPr>
          <w:rFonts w:ascii="Times New Roman" w:hAnsi="Times New Roman"/>
          <w:color w:val="000000"/>
          <w:sz w:val="20"/>
        </w:rPr>
        <w:t xml:space="preserve"> </w:t>
      </w:r>
    </w:p>
    <w:p>
      <w:pPr>
        <w:pStyle w:val="TextBody"/>
        <w:bidi w:val="0"/>
        <w:ind w:left="0" w:right="0" w:firstLine="612"/>
        <w:jc w:val="left"/>
        <w:rPr/>
      </w:pPr>
      <w:r>
        <w:rPr/>
        <w:t> </w:t>
      </w:r>
    </w:p>
    <w:p>
      <w:pPr>
        <w:pStyle w:val="TextBody"/>
        <w:bidi w:val="0"/>
        <w:jc w:val="center"/>
        <w:rPr/>
      </w:pPr>
      <w:r>
        <w:rPr/>
        <w:drawing>
          <wp:inline distT="0" distB="0" distL="0" distR="0">
            <wp:extent cx="6410325" cy="3867150"/>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6410325" cy="3867150"/>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Clinical remission rates of phase 2 and phase 3 trials of approved or investigational therapies for UC derived from conference presentations, paper publications and FDA labels. Comparator trial data set represents 1,458 AT-naïve (406 placebo treated and 1,052 treated with active agent) and 1,254 AT-experienced (353 placebo treated and 901 treated with active agent) patients. In trials where multiple doses were tested, results reflect a weighted average.</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Based on the observed limitations of the advanced therapies, we believe that there is considerable interest for improved efficacy in UC and Crohn’s disease treatments, either through novel therapeutic mechanisms or by combining approved agents. We believe the underlying reason for the lack of transformative benefit to date is due to the number of cytokines and chemokines activated downstream of RIPK2 that have overlapping and redundant pathogenic effects in IBD, and the focus of existing therapies solely on the adaptive, and not the innate, immune system.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Potential for RIPK2 Inhibition Across IBD Patients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Activated RIPK2 has been observed in IBD across multiple preclinical analyses and studies. In particular, ubiquitin side chains have been observed on RIPK2, which is a post-translational modification (ubiquitination) understood to be formed only following RIPK2 activation by XIAP. As reflected in the graphic below, biopsy samples from both UC and Crohn’s disease patients were reported by a third party in the article titled “</w:t>
      </w:r>
      <w:r>
        <w:rPr>
          <w:rFonts w:ascii="Arial" w:hAnsi="Arial"/>
          <w:i/>
          <w:color w:val="000000"/>
          <w:sz w:val="20"/>
        </w:rPr>
        <w:t>Simultaneous substrate and ubiquitin modification recognition by bispecific antibodies enables detection of ubiquitinated RIP1 and RIP2</w:t>
      </w:r>
      <w:r>
        <w:rPr>
          <w:rFonts w:ascii="Times New Roman" w:hAnsi="Times New Roman"/>
          <w:color w:val="000000"/>
          <w:sz w:val="20"/>
        </w:rPr>
        <w:t xml:space="preserve">” </w:t>
      </w:r>
      <w:r>
        <w:rPr>
          <w:rFonts w:ascii="Arial" w:hAnsi="Arial"/>
          <w:color w:val="000000"/>
          <w:sz w:val="20"/>
        </w:rPr>
        <w:t>published in Volume 17, Issue 819 of Science Signaling to have elevated levels of ubiquitin side chains on RIPK2 compared to non-IBD patients, suggesting that RIPK2 was activated in IBD patients.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b/>
          <w:color w:val="000000"/>
          <w:sz w:val="20"/>
        </w:rPr>
        <w:t>Increased Levels of Activated (Ubiquitinated) RIPK2 in Patients With UC and Crohn’s Disease</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3552825" cy="2867025"/>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3552825" cy="28670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Statistical significance was calculated with Mann-Whitney test, *** = p &lt; 0.001.</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Human genetic studies have identified single nucleotide polymorphisms, or SNPs, in two genes known to regulate RIPK2 activity that are associated with increased risk of IBD: ATG16L1 (hazard ratio, or HR, of 1.2) and CARD9 (HR of 1.2). In addition, there are distinct CARD9 SNPs that are associated with reduced risk of IBD (HR of 0.3-0.4).</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an internal analysis, we used our proprietary gene signature that measures RNA expression levels made by a specific set of genes we believe are regulated by RIPK2 post-PGN stimulation. We refer to such levels using gene set variation analysis, or GSVA, of the RIPK2 gene signature. The chart below illustrates the results of a preclinical analysis—using third-party data from UC and Crohn’s disease patients in the article titled “</w:t>
      </w:r>
      <w:r>
        <w:rPr>
          <w:rFonts w:ascii="Arial" w:hAnsi="Arial"/>
          <w:i/>
          <w:color w:val="000000"/>
          <w:sz w:val="20"/>
        </w:rPr>
        <w:t>Ulcerative colitis mucosal transcriptomes reveal mitochondriopathy and personalized mechanisms underlying disease severity and treatment response</w:t>
      </w:r>
      <w:r>
        <w:rPr>
          <w:rFonts w:ascii="Times New Roman" w:hAnsi="Times New Roman"/>
          <w:color w:val="000000"/>
          <w:sz w:val="20"/>
        </w:rPr>
        <w:t xml:space="preserve">” </w:t>
      </w:r>
      <w:r>
        <w:rPr>
          <w:rFonts w:ascii="Arial" w:hAnsi="Arial"/>
          <w:color w:val="000000"/>
          <w:sz w:val="20"/>
        </w:rPr>
        <w:t>published in Volume 10 of Nature Communications and in the article titled</w:t>
      </w:r>
      <w:r>
        <w:rPr>
          <w:rFonts w:ascii="Times New Roman" w:hAnsi="Times New Roman"/>
          <w:color w:val="000000"/>
          <w:sz w:val="20"/>
        </w:rPr>
        <w:t xml:space="preserve"> “</w:t>
      </w:r>
      <w:r>
        <w:rPr>
          <w:rFonts w:ascii="Arial" w:hAnsi="Arial"/>
          <w:i/>
          <w:color w:val="000000"/>
          <w:sz w:val="20"/>
        </w:rPr>
        <w:t>IL-1-driven stromal–neutrophil interactions</w:t>
      </w:r>
      <w:r>
        <w:rPr>
          <w:rFonts w:ascii="Times New Roman" w:hAnsi="Times New Roman"/>
          <w:color w:val="000000"/>
          <w:sz w:val="20"/>
        </w:rPr>
        <w:t xml:space="preserve"> </w:t>
      </w:r>
      <w:r>
        <w:rPr>
          <w:rFonts w:ascii="Arial" w:hAnsi="Arial"/>
          <w:i/>
          <w:color w:val="000000"/>
          <w:sz w:val="20"/>
        </w:rPr>
        <w:t>define a subset of patients with inflammatory bowel disease that does not respond to therapies”</w:t>
      </w:r>
      <w:r>
        <w:rPr>
          <w:rFonts w:ascii="Times New Roman" w:hAnsi="Times New Roman"/>
          <w:color w:val="000000"/>
          <w:sz w:val="20"/>
        </w:rPr>
        <w:t xml:space="preserve"> </w:t>
      </w:r>
      <w:r>
        <w:rPr>
          <w:rFonts w:ascii="Arial" w:hAnsi="Arial"/>
          <w:color w:val="000000"/>
          <w:sz w:val="20"/>
        </w:rPr>
        <w:t>published in Volume 27 of Nature Medicine—deposited in the Gene Expression Omnibus that we conducted with a proprietary gene signature which shows RIPK2-dependent gene expression in intestinal biopsies from UC and Crohn’s disease patients compared to healthy subjects. In this analysis, we observed that</w:t>
      </w:r>
      <w:r>
        <w:rPr>
          <w:rFonts w:ascii="Times New Roman" w:hAnsi="Times New Roman"/>
          <w:color w:val="000000"/>
          <w:sz w:val="20"/>
        </w:rPr>
        <w:t xml:space="preserve"> </w:t>
      </w:r>
      <w:r>
        <w:rPr>
          <w:rFonts w:ascii="Arial" w:hAnsi="Arial"/>
          <w:color w:val="000000"/>
          <w:sz w:val="20"/>
        </w:rPr>
        <w:t>UC and Crohn’s disease patients, and in particular patients in the more severe disease categories, had a greater incidence of the RIPK2 GSVA (i.e., RIPK2 gene activation).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b/>
          <w:color w:val="000000"/>
          <w:sz w:val="20"/>
        </w:rPr>
        <w:t>Expression of Genes Induced by Active RIPK2 Was Increased in Patient Biopsies from UC and Crohn’s Disease Patients; Highest Expression Observed in Moderate and Severe Patients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5743575" cy="2895600"/>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5743575" cy="28956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The dashed line indicates 99th percentile of the patient’s t-distribution derived from the healthy control group (GSVA cutoff for the panel of UC=0.46 and Crohn’s disease=0.42). This value was used as a cutoff for patient-level determination of elevated RIPK2 signaling. Statistical significance was calculated with a Mann Whitney U-Test.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also measured our proprietary RIPK2 gene signature in a preclinical study of IBD patient biopsy samples both before and after treatment with approved drugs used to treat IBD. In this study and as set forth in and below the following figure, we observed that RIPK2 GSVA levels had a statistically significant decrease following treatment with several standard-of-care IBD therapies (infliximab, vedolizumab, and ustekinumab) in a majority of patients who responded to treatment, whereas pre- and post-treatment GSVA levels were statistically indistinguishable in a majority of patients who did not respond to treatment. Based on our observations, we believe that RIPK2 is activated in most IBD patients before treatment and remains activated in IBD patients who fail to respond to approved IBD therapies. We believe inhibiting RIPK2 as a treatment method has the potential to serve as a first-line therapy for patients with moderate-to-severe IBD and as a second-line treatment in patients who have been previously treated but have not responded to standard-of-care therapies, including infliximab, vedolizumab, or ustekinumab.</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charts below show the results of an analysis we conducted on public datasets described below.</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b/>
          <w:color w:val="000000"/>
          <w:sz w:val="20"/>
        </w:rPr>
        <w:t>Observed RIPK2 Gene Signature Expression Rates Remained Elevated in Non-Responders to Currently Available Therapies as Compared to Responding Patients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6162675" cy="2057400"/>
            <wp:effectExtent l="0" t="0" r="0" b="0"/>
            <wp:docPr id="1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 descr=""/>
                    <pic:cNvPicPr>
                      <a:picLocks noChangeAspect="1" noChangeArrowheads="1"/>
                    </pic:cNvPicPr>
                  </pic:nvPicPr>
                  <pic:blipFill>
                    <a:blip r:embed="rId14"/>
                    <a:stretch>
                      <a:fillRect/>
                    </a:stretch>
                  </pic:blipFill>
                  <pic:spPr bwMode="auto">
                    <a:xfrm>
                      <a:off x="0" y="0"/>
                      <a:ext cx="6162675" cy="20574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The infliximab and vedolizumab datasets used inflamed mucosal tissue and all patients in the dataset were included in the analysis. The ustekinumab dataset used uninflamed mucosal tissue and therefore the analysis was performed on a subset of patients (53%) having evidence of RIPK2 activation at baseline (GSVA score &gt; 0.1). ** = p &lt; 0.01; *** = p &lt; 0.001; **** = p &lt; 0.0001; n.s. = not significant.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Arial" w:hAnsi="Arial"/>
          <w:i/>
          <w:color w:val="000000"/>
          <w:sz w:val="20"/>
        </w:rPr>
        <w:t>The infliximab dataset included samples from 12 healthy subjects as a comparator (mean signature score=-0.71). The gene signature was observed to decrease selectively in responder populations post-treatment (n=8, mean pre-treatment score=0.23, mean post-treatment score=-0.61); at 80% power and p=0.05 significance, the analysis was designed to be sufficient to detect significant decreases to less than a mean post-treatment score of -0.22. There was no significant decrease observed in the non-responder populations post-treatment (n=15, mean pre-treatment score =0.54, mean post-treatment score=0.22); at 80% power and p=0.05 significance, the analysis was designed to be sufficient to detect significant decreases to less than a mean post-treatment score of 0.076.</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Arial" w:hAnsi="Arial"/>
          <w:i/>
          <w:color w:val="000000"/>
          <w:sz w:val="20"/>
        </w:rPr>
        <w:t>The vedolizumab dataset included samples from 12 healthy subjects as a comparator (mean signature score=-0.71). The gene signature was observed to decrease selectively in responder populations post-treatment (n=16, mean pre-treatment score=0.10, mean post-treatment score=-0.60); at 80% power and p=0.05 significance, the analysis was designed to be sufficient to detect significant decreases to less than a mean post-treatment score of -0.27. There was no significant decrease observed in the non-responder populations post-treatment (n=6, mean pre-treatment score =0.26, mean post-treatment score=0.33); at 80% power and p=0.05 significance, the analysis was designed to be sufficient to detect significant decreases to less than a mean post-treatment score of -0.78.</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Arial" w:hAnsi="Arial"/>
          <w:i/>
          <w:color w:val="000000"/>
          <w:sz w:val="20"/>
        </w:rPr>
        <w:t>The ustekinumab dataset included samples from 26 healthy subjects as a comparator (mean signature score=-0.29). The gene signature was observed to decrease selectively in responder populations post-treatment (n=17, mean pre-treatment score=0.44, mean post-treatment score=0.038); at 80% power and p=0.05 significance, the analysis was designed to be sufficient to detect significant decreases to less than a mean post-treatment score of 0.052. There was no significant decrease observed in the non-responder populations post-treatment (n=8, mean pre-treatment score=0.57, mean post-treatment score=0.37); at 80% power and p=0.05 significance, the analysis was designed to be sufficient to detect significant decreases to less than a mean post-treatment score of -0.049.</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another preclinical study reflected below, we evaluated inflammatory and fibrotic gene expression in human IBD biopsies treated with OD-001. Multiple biopsies from inflamed mucosa of IBD patients were collected and cultured with either OD-001 or vehicle control, followed by gene expression analysis using RNA sequencing. We observed a statistically significant reduction in the RIPK2 gene signature relative to random permutations. In addition, we assessed the treatment effect of OD-001 using published gene expression profiles associated with activation of inflammatory and fibrosis pathways. We observed a statistically significant reduction in an inflammatory monocyte signature (M5) and an inflammatory fibroblast signature (M4) reported in the article titled “</w:t>
      </w:r>
      <w:r>
        <w:rPr>
          <w:rFonts w:ascii="Arial" w:hAnsi="Arial"/>
          <w:i/>
          <w:color w:val="000000"/>
          <w:sz w:val="20"/>
        </w:rPr>
        <w:t>IL-1-driven stromal–neutrophil interactions define a subset of patients with inflammatory bowel disease that does</w:t>
      </w:r>
      <w:r>
        <w:rPr>
          <w:rFonts w:ascii="Times New Roman" w:hAnsi="Times New Roman"/>
          <w:color w:val="000000"/>
          <w:sz w:val="20"/>
        </w:rPr>
        <w:t xml:space="preserve"> </w:t>
      </w:r>
      <w:r>
        <w:rPr>
          <w:rFonts w:ascii="Arial" w:hAnsi="Arial"/>
          <w:i/>
          <w:color w:val="000000"/>
          <w:sz w:val="20"/>
        </w:rPr>
        <w:t>not</w:t>
      </w:r>
      <w:r>
        <w:rPr>
          <w:rFonts w:ascii="Times New Roman" w:hAnsi="Times New Roman"/>
          <w:color w:val="000000"/>
          <w:sz w:val="20"/>
        </w:rPr>
        <w:t xml:space="preserve"> </w:t>
      </w:r>
      <w:r>
        <w:rPr>
          <w:rFonts w:ascii="Arial" w:hAnsi="Arial"/>
          <w:i/>
          <w:color w:val="000000"/>
          <w:sz w:val="20"/>
        </w:rPr>
        <w:t>respond to therapies</w:t>
      </w:r>
      <w:r>
        <w:rPr>
          <w:rFonts w:ascii="Times New Roman" w:hAnsi="Times New Roman"/>
          <w:color w:val="000000"/>
          <w:sz w:val="20"/>
        </w:rPr>
        <w:t xml:space="preserve">” </w:t>
      </w:r>
      <w:r>
        <w:rPr>
          <w:rFonts w:ascii="Arial" w:hAnsi="Arial"/>
          <w:color w:val="000000"/>
          <w:sz w:val="20"/>
        </w:rPr>
        <w:t>published in Volume 27 of Nature Medicine, a TNF-mediated inflammation signature, defined as the union between sets N00446 (TNF-jun N-terminal kinases, or JNK), N00444 (TNF-p38), and N00151 (TNF-NF-κB) (KEGG pathway) and in a Crohn’s disease-penetrating fibrosis dataset published in the article titled “</w:t>
      </w:r>
      <w:r>
        <w:rPr>
          <w:rFonts w:ascii="Arial" w:hAnsi="Arial"/>
          <w:i/>
          <w:color w:val="000000"/>
          <w:sz w:val="20"/>
        </w:rPr>
        <w:t>Reverse translation approach generates a signature of penetrating fibrosis in</w:t>
      </w:r>
      <w:r>
        <w:rPr>
          <w:rFonts w:ascii="Times New Roman" w:hAnsi="Times New Roman"/>
          <w:color w:val="000000"/>
          <w:sz w:val="20"/>
        </w:rPr>
        <w:t xml:space="preserve"> </w:t>
      </w:r>
      <w:r>
        <w:rPr>
          <w:rFonts w:ascii="Arial" w:hAnsi="Arial"/>
          <w:i/>
          <w:color w:val="000000"/>
          <w:sz w:val="20"/>
        </w:rPr>
        <w:t>Crohn’s disease that is associated with anti-TNF response</w:t>
      </w:r>
      <w:r>
        <w:rPr>
          <w:rFonts w:ascii="Times New Roman" w:hAnsi="Times New Roman"/>
          <w:color w:val="000000"/>
          <w:sz w:val="20"/>
        </w:rPr>
        <w:t xml:space="preserve">” </w:t>
      </w:r>
      <w:r>
        <w:rPr>
          <w:rFonts w:ascii="Arial" w:hAnsi="Arial"/>
          <w:color w:val="000000"/>
          <w:sz w:val="20"/>
        </w:rPr>
        <w:t>published in Volume 71, Issue 7 of Gut.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RIPK2 Inhibition Reduced Expression of Inflammation and Fibrosis-Associated Gene Sets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3486150" cy="3752850"/>
            <wp:effectExtent l="0" t="0" r="0" b="0"/>
            <wp:docPr id="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descr=""/>
                    <pic:cNvPicPr>
                      <a:picLocks noChangeAspect="1" noChangeArrowheads="1"/>
                    </pic:cNvPicPr>
                  </pic:nvPicPr>
                  <pic:blipFill>
                    <a:blip r:embed="rId15"/>
                    <a:stretch>
                      <a:fillRect/>
                    </a:stretch>
                  </pic:blipFill>
                  <pic:spPr bwMode="auto">
                    <a:xfrm>
                      <a:off x="0" y="0"/>
                      <a:ext cx="3486150" cy="37528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The figure above depicts data from a total of nine biopsy pairs across seven patients (Crohn’s disease, n=3; UC, n=4). The barplots indicate fold-change in expression of gene sets between OD-001 treatment and control, error bars indicate standard deviation and p-values indicate enrichment of gene sets among downregulated genes. To calculate p-values relative to fold-change distributions, genes were randomly permuted 1,000 times with a total of 20 genes in each permutation. Average-fold-change was calculated for each permutation, creating a null distribution from which the p-value was determined. The fold-change cutoff for p=0.05 significance is -0.30. Average-fold-change in each of the gene sets listed in the figure in order of left to right is -0.51, -0.38, -0.47, -0.48 and -0.68, and average fold-changes in each gene set included above were statistically significant.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Based on the observations described above, we believe that RIPK2 was active in patients with IBD and that sustained RIPK2 gene expression in patients non-responsive to standard-of-care therapies suggests this pathway may be responsible for resistance. In addition, we believe the concordance between decreases in the RIPK2 gene signature and published gene signatures of inflammation and fibrosis following treatment with OD-001 suggests potential benefits on reducing inflammatory signaling and fibrosis. We believe that reducing fibrosis in IBD patients may prevent the serious long-term manifestations of the disease that are linked to surgical interventions and morbidity.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Our Solution: RIPK2 Scaffolding Inhibitor (OD-001)</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OD-001 is designed to be an advanced oral therapy that is amenable for broad use in moderate-to-severe IBD patients, either as a monotherapy or in combination. By blocking RIPK2 scaffolding with XIAP, which we believe is critical to downstream pathway signaling and activation of proinflammatory cells of both the innate and adaptive immune systems, OD-001 is designed to inhibit cytokine and chemokine production that activate the adaptive immune system and propagate the inflammatory response to reduce inflammation in the gut and allow the epithelial lining of the GI tract to heal. OD-001 is also designed to downregulate activity of innate immune system effector cells, such as neutrophils, which have been shown to directly damage the GI tract.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Preclinical Data</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have conducted a number of preclinical studies to examine the role of RIPK2 and OD-001, and we believe our preclinical data supports the potential of OD-001 as an oral treatment to suppress microbial signaling from PGN and reduce the amplification of the innate immune response following exposure to microbiota, with the potential for it to be used as a monotherapy or in combination therapy. In our preclinical studies, we observed that RIPK2 inhibition has the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 xml:space="preserve">potential to be additive or synergistic with standard-of-care therapies to reduce cytokine production, which may improve remission rates and prevent the development of resistance. Finally, the effects of RIPK2 scaffolding inhibition using OD-001 in our preclinical observations to date have been consistent across healthy and diseased human cells, and potency in human cells was observed to be generally consistent with activity in murine cells in vitro, </w:t>
      </w:r>
      <w:r>
        <w:rPr>
          <w:rFonts w:ascii="Arial" w:hAnsi="Arial"/>
          <w:i/>
          <w:color w:val="000000"/>
          <w:sz w:val="20"/>
        </w:rPr>
        <w:t>in vivo</w:t>
      </w:r>
      <w:r>
        <w:rPr>
          <w:rFonts w:ascii="Arial" w:hAnsi="Arial"/>
          <w:color w:val="000000"/>
          <w:sz w:val="20"/>
        </w:rPr>
        <w:t xml:space="preserve">, and </w:t>
      </w:r>
      <w:r>
        <w:rPr>
          <w:rFonts w:ascii="Arial" w:hAnsi="Arial"/>
          <w:i/>
          <w:color w:val="000000"/>
          <w:sz w:val="20"/>
        </w:rPr>
        <w:t>ex vivo</w:t>
      </w:r>
      <w:r>
        <w:rPr>
          <w:rFonts w:ascii="Arial" w:hAnsi="Arial"/>
          <w:color w:val="000000"/>
          <w:sz w:val="20"/>
        </w:rPr>
        <w:t xml:space="preserve">, which enables development of </w:t>
      </w:r>
      <w:r>
        <w:rPr>
          <w:rFonts w:ascii="Arial" w:hAnsi="Arial"/>
          <w:i/>
          <w:color w:val="000000"/>
          <w:sz w:val="20"/>
        </w:rPr>
        <w:t xml:space="preserve">in vitro-in vivo </w:t>
      </w:r>
      <w:r>
        <w:rPr>
          <w:rFonts w:ascii="Arial" w:hAnsi="Arial"/>
          <w:color w:val="000000"/>
          <w:sz w:val="20"/>
        </w:rPr>
        <w:t>correlations to inform dose selection and assessment of a PK-PD relationship in clinical development.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part of our preclinical development, we conducted a study where we stimulated human monocytes or a human NOD2 reporter cell line with a NOD2 agonist and treated either with OD-001 or the active metabolite of GSK2983559, a RIPK2 kinase inhibitor that was discovered by GSK plc, which we refer to as RIPK2 Kinase Inhibitor 1, to measure potential differences in impact on RIPK2 inhibition. The structure of GSK2983559 and the active metabolite were described in the article titled “</w:t>
      </w:r>
      <w:r>
        <w:rPr>
          <w:rFonts w:ascii="Arial" w:hAnsi="Arial"/>
          <w:i/>
          <w:color w:val="000000"/>
          <w:sz w:val="20"/>
        </w:rPr>
        <w:t xml:space="preserve">Discovery of a First-in-Class Receptor Interacting Protein 2 (RIP2) Kinase Specific Clinical Candidate, 2-((4-(Benzo[d]thiazol-5-ylamino)-6-(tert-butylsulfonyl)quinazolin-7-yl)oxy)ethyl Dihydrogen Phosphate, for the Treatment of Inflammatory Diseases” </w:t>
      </w:r>
      <w:r>
        <w:rPr>
          <w:rFonts w:ascii="Arial" w:hAnsi="Arial"/>
          <w:color w:val="000000"/>
          <w:sz w:val="20"/>
        </w:rPr>
        <w:t>published in Volume 62, Issue 14 of the Journal of Medicinal Chemistry. The comparisons and results described below using the RIPK2 kinase inhibitor may differ in material ways from third-party studies that use such inhibitor. In our study comparing OD-001 and RIPK2 Kinase Inhibitor 1, we observed differentiation of our scaffolding approach on RIPK2 activation (ubiquitination) and on multiple downstream steps indicative of RIPK2 pathway activity (e.g., NF-κB activation, measured by degradation of IκBa, and phosphorylation of p38 and JNK) from RIPK2 Kinase Inhibitor 1 under the same conditions. The graphics below illustrate the results from our study. As set forth below, we observed a blockade of downstream activation steps by scaffolding inhibition but not kinase inhibition at concentrations of 33 nM and above. Even at concentrations up to 1,000 nM, the kinase inhibitor did not show greater than 50% inhibition of NF-κB, a transcription factor believed to play a key role in inflammatory processes.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OD-001 Scaffolding Inhibition Reduced RIPK2 Activation (Ubiquitination) for Downstream Signaling (NF-</w:t>
      </w:r>
      <w:r>
        <w:rPr>
          <w:rFonts w:ascii="Arial" w:hAnsi="Arial"/>
          <w:color w:val="000000"/>
          <w:sz w:val="20"/>
        </w:rPr>
        <w:t>κ</w:t>
      </w:r>
      <w:r>
        <w:rPr>
          <w:rFonts w:ascii="Arial" w:hAnsi="Arial"/>
          <w:b/>
          <w:color w:val="000000"/>
          <w:sz w:val="20"/>
        </w:rPr>
        <w:t>B, p38, JNK)</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6553200" cy="2809875"/>
            <wp:effectExtent l="0" t="0" r="0" b="0"/>
            <wp:docPr id="1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 descr=""/>
                    <pic:cNvPicPr>
                      <a:picLocks noChangeAspect="1" noChangeArrowheads="1"/>
                    </pic:cNvPicPr>
                  </pic:nvPicPr>
                  <pic:blipFill>
                    <a:blip r:embed="rId16"/>
                    <a:stretch>
                      <a:fillRect/>
                    </a:stretch>
                  </pic:blipFill>
                  <pic:spPr bwMode="auto">
                    <a:xfrm>
                      <a:off x="0" y="0"/>
                      <a:ext cx="6553200" cy="28098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Left panel: Activated human macrophages were stimulated with the PGN fragment L18-MDP, a NOD2 agonist, for 30 minutes. RIPK2 ubiquitination was measured by immunoprecipitation of total ubiquitinated proteins using a ubiquitin-specific antibody (anti-FK2) followed by detection of RIPK2 by immunoblot. RIPK2 pathway activation was then assessed by measuring phosphorylation, a measure of cell signaling, of p38, phosphorylation of JNK, and degradation of IκB</w:t>
      </w:r>
      <w:r>
        <w:rPr>
          <w:rFonts w:ascii="Arial" w:hAnsi="Arial"/>
          <w:color w:val="000000"/>
          <w:sz w:val="20"/>
        </w:rPr>
        <w:t>a</w:t>
      </w:r>
      <w:r>
        <w:rPr>
          <w:rFonts w:ascii="Times New Roman" w:hAnsi="Times New Roman"/>
          <w:color w:val="000000"/>
          <w:sz w:val="20"/>
        </w:rPr>
        <w:t xml:space="preserve"> </w:t>
      </w:r>
      <w:r>
        <w:rPr>
          <w:rFonts w:ascii="Arial" w:hAnsi="Arial"/>
          <w:i/>
          <w:color w:val="000000"/>
          <w:sz w:val="20"/>
        </w:rPr>
        <w:t>using immunoblot of indicated proteins in whole cell lysate. Data from a single representative experiment shown above; RIPK2 ubiquitination was observed in two independent experiments and RIPK2 pathway activation was observed in three independent experiments.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Arial" w:hAnsi="Arial"/>
          <w:i/>
          <w:color w:val="000000"/>
          <w:sz w:val="20"/>
        </w:rPr>
        <w:t>Right panel: HEK-Blue hNOD2 reporter cells were stimulated with the PGN fragment L18-MDP, a NOD2 agonist, for 24 hours. Average dose-response curves for OD-001 (n=3) and RIPK2 Kinase Inhibitor 1 (n=2) shown.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another preclinical study, we observed OD-001 to achieve greater maximal inhibition of disease-relevant cytokines (TNF, TL1A, and IL-23) than RIPK2 Kinase Inhibitor 1 in human macrophages stimulated with PGN. The graphs below show the levels of cytokine inhibition observed following dosing with OD-001 and RIPK2 Kinase Inhibitor 1. These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graphs support our hypothesis that changing the structure of RIPK2 by blocking XIAP from binding inhibits the production of downstream proinflammatory cytokines more effectively than RIPK2 Kinase Inhibitor 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OD-001 Treatment Resulted in Greater Cytokine Inhibition as Compared to Kinase Inhibition Alone</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6534150" cy="2352675"/>
            <wp:effectExtent l="0" t="0" r="0" b="0"/>
            <wp:docPr id="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 descr=""/>
                    <pic:cNvPicPr>
                      <a:picLocks noChangeAspect="1" noChangeArrowheads="1"/>
                    </pic:cNvPicPr>
                  </pic:nvPicPr>
                  <pic:blipFill>
                    <a:blip r:embed="rId17"/>
                    <a:stretch>
                      <a:fillRect/>
                    </a:stretch>
                  </pic:blipFill>
                  <pic:spPr bwMode="auto">
                    <a:xfrm>
                      <a:off x="0" y="0"/>
                      <a:ext cx="6534150" cy="23526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Activated human macrophages were stimulated with the PGN fragment L18-MDP, a NOD2 agonist, for 24 hours. Average dose-response curves of OD-001 (n=3) and RIPK2 Kinase Inhibitor 1 (n=3) for inhibition of TNF, TL1A, and IL-23 shown. Average data shown as mean ± standard error of the mean.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believe OD-001 has the potential to be a potent and selective inhibitor of PGN-induced cytokine production. In another study comparing the effect of OD-001 on TNF production from three off-target innate immune receptors—TLR5, TLR4, and TLR2—we did not observe any effect of OD-001 on TLR-induced signaling at concentrations greater than 100 times the EC</w:t>
      </w:r>
      <w:r>
        <w:rPr>
          <w:rFonts w:ascii="Arial" w:hAnsi="Arial"/>
          <w:color w:val="000000"/>
          <w:sz w:val="13"/>
        </w:rPr>
        <w:t>90</w:t>
      </w:r>
      <w:r>
        <w:rPr>
          <w:rFonts w:ascii="Arial" w:hAnsi="Arial"/>
          <w:color w:val="000000"/>
          <w:sz w:val="20"/>
        </w:rPr>
        <w:t>, a concentration to achieve 90% inhibition effect, for PGN-mediated TNF production. We believe that this selectivity can prevent adverse immunosuppression, allowing cells to respond to other pathogenic bacteria and prevent increased infection risk. The charts below show results from this study using the indicated agonist. At OD-001 concentrations of less than 10 nM, we observed 100% inhibition of TNF from PGN, whereas at concentrations approximately 100 times higher, 1000 nM, we observed no significant inhibition of TNF from activators of other innate immune receptors, suggesting highly potent and selective activity of OD-001 for only NOD1 or NOD2-mediated signaling from PGN.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OD-001 Was Highly Selective—Capable of Inhibiting TNF from NOD2 Agonism (On-Target) While Sparing TNF Production from Off-Target Immune Receptors (TLR5, TLR4, and TLR2)</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6534150" cy="2009775"/>
            <wp:effectExtent l="0" t="0" r="0" b="0"/>
            <wp:docPr id="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 descr=""/>
                    <pic:cNvPicPr>
                      <a:picLocks noChangeAspect="1" noChangeArrowheads="1"/>
                    </pic:cNvPicPr>
                  </pic:nvPicPr>
                  <pic:blipFill>
                    <a:blip r:embed="rId18"/>
                    <a:stretch>
                      <a:fillRect/>
                    </a:stretch>
                  </pic:blipFill>
                  <pic:spPr bwMode="auto">
                    <a:xfrm>
                      <a:off x="0" y="0"/>
                      <a:ext cx="6534150" cy="20097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Human monocytes were stimulated with the indicated agonist for 24 hours. Dose-response curve of OD-001 for inhibition of TNF following stimulation with the PGN fragment L18-MDP (n=7), flagellin (n=4), LPS (n=4), or Pam3CSK4 (n=4) shown. Average data shown as mean ± standard error of the mean.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Given the safety profile of OD-001 we observed in preclinical studies, we believe that it has the potential to be combined with standard-of-care therapies targeting the adaptive immune system to produce greater therapeutic results for patients. Similar to the effect of RIPK2 inhibition on the exaggerated innate immune response to multiple microbial ligands, we believe RIPK2 can also modulate the exaggerated response observed when TNF is activated alongside PGN. In addition, we observed in a study that while monotherapy treatment of RIPK2 or TNF-blocking agents have similar effects on IL-6 levels in murine lamina propria mononuclear cells, or LPMCs, which are mucosal membrane cells in mice, the combination of both reduces IL-6 activation to unstimulated levels.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graphs below show the effect we observed on IL-6 levels in human monocytes stimulated with TNF or PGN or a combination of both and exposed to 100 nM of OD-001 and murine LPMCs stimulated with phorbol 12-myristate 13-acetate, or PMA, ionomycin, and PGN to mimic the simultaneous activation of the adaptive and innate immune systems. The elevated levels of IL-6 we observed when stimulated by PGN and TNF aligns with our belief of the dual roles of RIPK2 as a signal transducer and amplifier. We believe the significant decrease in IL-6 levels observed from OD-001 alone in the human model and OD-001 both alone and with a TNF blocker, anti-mouse TNF</w:t>
      </w:r>
      <w:r>
        <w:rPr>
          <w:rFonts w:ascii="Symbol;serif" w:hAnsi="Symbol;serif"/>
          <w:color w:val="000000"/>
          <w:sz w:val="20"/>
        </w:rPr>
        <w:t>a</w:t>
      </w:r>
      <w:r>
        <w:rPr>
          <w:rFonts w:ascii="Times New Roman" w:hAnsi="Times New Roman"/>
          <w:color w:val="000000"/>
          <w:sz w:val="20"/>
        </w:rPr>
        <w:t xml:space="preserve"> </w:t>
      </w:r>
      <w:r>
        <w:rPr>
          <w:rFonts w:ascii="Arial" w:hAnsi="Arial"/>
          <w:color w:val="000000"/>
          <w:sz w:val="20"/>
        </w:rPr>
        <w:t>manufactured by Bio X Cell (catalog number BE0058), in the murine model suggests RIPK2 inhibition is important in reducing proinflammatory cytokines.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Treatment With OD-001 Reduced IL-6 Levels in PGN- and TNF-Stimulated Human Monocytes and in Combination With TNF Blocker (Anti-TNF) in Murine LPMC Models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6172200" cy="3467100"/>
            <wp:effectExtent l="0" t="0" r="0" b="0"/>
            <wp:docPr id="1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8" descr=""/>
                    <pic:cNvPicPr>
                      <a:picLocks noChangeAspect="1" noChangeArrowheads="1"/>
                    </pic:cNvPicPr>
                  </pic:nvPicPr>
                  <pic:blipFill>
                    <a:blip r:embed="rId19"/>
                    <a:stretch>
                      <a:fillRect/>
                    </a:stretch>
                  </pic:blipFill>
                  <pic:spPr bwMode="auto">
                    <a:xfrm>
                      <a:off x="0" y="0"/>
                      <a:ext cx="6172200" cy="34671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Left panel: Human monocytes were stimulated for 24 hours by PGN fragment L18-MDP, a NOD2 agonist, or recombinant human TNF, or a combination of both. Data are pooled from 13 individual donors and shown as mean ± standard error of the mean. Statistical significance was calculated in GraphPad Prism 10.2.3 using one-way ANOVA; ** = p &lt; 0.01; *** = p &lt; 0.001; n.s. = not significant.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Arial" w:hAnsi="Arial"/>
          <w:i/>
          <w:color w:val="000000"/>
          <w:sz w:val="20"/>
        </w:rPr>
        <w:t>Right panel: Murine LPMCs isolated from inflamed colons of 3% DSS mice (n=10) and activated in vitro with a combination of the PGN fragment C12-iE-DAP (NOD1 agonist), PMA, and ionomycin. Data from a single representative experiment shown above as mean ± standard deviation; a total of three individual experiments were performed. Statistical significance was calculated in GraphPad Prism 10.2.3 using one-way ANOVA; **** = p &lt; 0.0001.</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also observed this synergy in combination with other standard-of-care therapies for IBD. For example, in one of our preclinical studies where we combined OD-001 and upadacitinib, an approved JAK inhibitor, we observed that the combination had the potential to not only deepen activity of either agent alone, but to reduce inflammation to baseline or below, as seen with IL-6 and IFN</w:t>
      </w:r>
      <w:r>
        <w:rPr>
          <w:rFonts w:ascii="Symbol;serif" w:hAnsi="Symbol;serif"/>
          <w:color w:val="000000"/>
          <w:sz w:val="20"/>
        </w:rPr>
        <w:t>g</w:t>
      </w:r>
      <w:r>
        <w:rPr>
          <w:rFonts w:ascii="Times New Roman" w:hAnsi="Times New Roman"/>
          <w:color w:val="000000"/>
          <w:sz w:val="20"/>
        </w:rPr>
        <w:t xml:space="preserve"> </w:t>
      </w:r>
      <w:r>
        <w:rPr>
          <w:rFonts w:ascii="Arial" w:hAnsi="Arial"/>
          <w:color w:val="000000"/>
          <w:sz w:val="20"/>
        </w:rPr>
        <w:t>in the below graphs.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b/>
          <w:color w:val="000000"/>
          <w:sz w:val="20"/>
        </w:rPr>
        <w:t>Treatment With OD-001 Reduced IL-6 and IFN</w:t>
      </w:r>
      <w:r>
        <w:rPr>
          <w:rFonts w:ascii="Symbol;serif" w:hAnsi="Symbol;serif"/>
          <w:b/>
          <w:color w:val="000000"/>
          <w:sz w:val="20"/>
        </w:rPr>
        <w:t>g</w:t>
      </w:r>
      <w:r>
        <w:rPr>
          <w:rFonts w:ascii="Times New Roman" w:hAnsi="Times New Roman"/>
          <w:color w:val="000000"/>
          <w:sz w:val="20"/>
        </w:rPr>
        <w:t xml:space="preserve"> </w:t>
      </w:r>
      <w:r>
        <w:rPr>
          <w:rFonts w:ascii="Arial" w:hAnsi="Arial"/>
          <w:b/>
          <w:color w:val="000000"/>
          <w:sz w:val="20"/>
        </w:rPr>
        <w:t>Levels in PMA-, Ionomycin-, and PGN-Stimulated Murine Models Both as Monotherapy and in Combination With a JAK Inhibitor (JAKi)</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6353175" cy="3295650"/>
            <wp:effectExtent l="0" t="0" r="0" b="0"/>
            <wp:docPr id="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 descr=""/>
                    <pic:cNvPicPr>
                      <a:picLocks noChangeAspect="1" noChangeArrowheads="1"/>
                    </pic:cNvPicPr>
                  </pic:nvPicPr>
                  <pic:blipFill>
                    <a:blip r:embed="rId20"/>
                    <a:stretch>
                      <a:fillRect/>
                    </a:stretch>
                  </pic:blipFill>
                  <pic:spPr bwMode="auto">
                    <a:xfrm>
                      <a:off x="0" y="0"/>
                      <a:ext cx="6353175" cy="32956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Murine LPMCs isolated from inflamed colons of 3% DSS mice (n=10) and activated in vitro with a combination of the PGN fragment C12-iE-DAP (NOD1 agonist), PMA, and ionomycin. Data from a single representative experiment shown above as mean ± standard deviation; a total of three individual experiments were performed. Statistical significance was calculated in GraphPad Prism 10.2.3 using one-way ANOVA; * = p &lt; 0.05; ** = p &lt; 0.01; **** = p &lt; 0.0001.</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 xml:space="preserve">The mechanisms of action of certain other approved drugs for IBD, including vedolizumab, do not translate to effects in the </w:t>
      </w:r>
      <w:r>
        <w:rPr>
          <w:rFonts w:ascii="Arial" w:hAnsi="Arial"/>
          <w:i/>
          <w:color w:val="000000"/>
          <w:sz w:val="20"/>
        </w:rPr>
        <w:t>in vitro</w:t>
      </w:r>
      <w:r>
        <w:rPr>
          <w:rFonts w:ascii="Times New Roman" w:hAnsi="Times New Roman"/>
          <w:color w:val="000000"/>
          <w:sz w:val="20"/>
        </w:rPr>
        <w:t xml:space="preserve"> </w:t>
      </w:r>
      <w:r>
        <w:rPr>
          <w:rFonts w:ascii="Arial" w:hAnsi="Arial"/>
          <w:color w:val="000000"/>
          <w:sz w:val="20"/>
        </w:rPr>
        <w:t xml:space="preserve">model systems described above for TNF blockers and JAK inhibitors. Specifically, the mechanism of action of vedolizumab requires that the drug blocks the recruitment of T cells from circulation into the intestinal tissue, which cannot be recapitulated in this </w:t>
      </w:r>
      <w:r>
        <w:rPr>
          <w:rFonts w:ascii="Arial" w:hAnsi="Arial"/>
          <w:i/>
          <w:color w:val="000000"/>
          <w:sz w:val="20"/>
        </w:rPr>
        <w:t>in vitro</w:t>
      </w:r>
      <w:r>
        <w:rPr>
          <w:rFonts w:ascii="Times New Roman" w:hAnsi="Times New Roman"/>
          <w:color w:val="000000"/>
          <w:sz w:val="20"/>
        </w:rPr>
        <w:t xml:space="preserve"> </w:t>
      </w:r>
      <w:r>
        <w:rPr>
          <w:rFonts w:ascii="Arial" w:hAnsi="Arial"/>
          <w:color w:val="000000"/>
          <w:sz w:val="20"/>
        </w:rPr>
        <w:t>model. As a result, we have not similarly tested OD-001 in certain other combinations, including with vedolizumab.</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Translational Data</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To assess the potency of RIPK2 inhibition across human cells, we selected a panel of different immune cells from healthy donors, including macrophages, monocytes, and dendritic cells, and observed similar potency (0.5–2.0 nM IC</w:t>
      </w:r>
      <w:r>
        <w:rPr>
          <w:rFonts w:ascii="Arial" w:hAnsi="Arial"/>
          <w:color w:val="000000"/>
          <w:sz w:val="13"/>
        </w:rPr>
        <w:t>50</w:t>
      </w:r>
      <w:r>
        <w:rPr>
          <w:rFonts w:ascii="Arial" w:hAnsi="Arial"/>
          <w:color w:val="000000"/>
          <w:sz w:val="20"/>
        </w:rPr>
        <w:t>, the measure of the concentration required to inhibit a process by 50%, for TNF production) across each type of cell following stimulation with PGN. We believe this consistency suggests that there will be predictable target coverage across RIPK2-expressing cells relevant to disease.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Thereafter, to assess the potency of RIPK2 inhibition in human cells relevant to IBD, we isolated LPMCs from colon tissue biopsies of patients with Crohn’s disease who had either not received advanced therapies or were resistant to such therapies. Similar to the experimental design in healthy human immune cells, we exposed the Crohn’s disease patients’ LPMCs to PGN after treatment with OD-001 and observed an IC</w:t>
      </w:r>
      <w:r>
        <w:rPr>
          <w:rFonts w:ascii="Arial" w:hAnsi="Arial"/>
          <w:color w:val="000000"/>
          <w:sz w:val="13"/>
        </w:rPr>
        <w:t>50</w:t>
      </w:r>
      <w:r>
        <w:rPr>
          <w:rFonts w:ascii="Times New Roman" w:hAnsi="Times New Roman"/>
          <w:color w:val="000000"/>
          <w:sz w:val="20"/>
        </w:rPr>
        <w:t xml:space="preserve"> </w:t>
      </w:r>
      <w:r>
        <w:rPr>
          <w:rFonts w:ascii="Arial" w:hAnsi="Arial"/>
          <w:color w:val="000000"/>
          <w:sz w:val="20"/>
        </w:rPr>
        <w:t>for TNF production of approximately 1 nM with inhibition greater than 80% in both groups. We believe these results suggest RIPK2 inhibition may be a promising treatment option for both newly diagnosed and refractory IBD patients.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table to the left below lists the observed potency of OD-001 at inhibiting TNF production across a number of relevant cell types. The graph to the right below illustrates the TNF inhibition we observed in LPMCs from colon tissue taken from representative Crohn’s disease patients with active disease after we treated such LPMCs with OD-001 prior to stimulation with PGN fragment for 72 hours. Two samples were from patients who had no known treatment with anti-TNF drugs and four were from patients who were anti-TNF drug resistant. We observed that the LPMCs from both anti-TNF naïve and anti-TNF resistant patients were sensitive to RIPK2 inhibition.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b/>
          <w:color w:val="000000"/>
          <w:sz w:val="20"/>
        </w:rPr>
        <w:t>OD-001 Was a Potent Inhibitor of TNF Across Cells of Anti-TNF Resistant and Naïve Patients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6858000" cy="3086100"/>
            <wp:effectExtent l="0" t="0" r="0" b="0"/>
            <wp:docPr id="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 descr=""/>
                    <pic:cNvPicPr>
                      <a:picLocks noChangeAspect="1" noChangeArrowheads="1"/>
                    </pic:cNvPicPr>
                  </pic:nvPicPr>
                  <pic:blipFill>
                    <a:blip r:embed="rId21"/>
                    <a:stretch>
                      <a:fillRect/>
                    </a:stretch>
                  </pic:blipFill>
                  <pic:spPr bwMode="auto">
                    <a:xfrm>
                      <a:off x="0" y="0"/>
                      <a:ext cx="6858000" cy="30861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Human LPMCs isolated from inflamed resected intestinal tissue from Crohn’s disease patients and stimulated for 72 hours by the PGN fragment L18-MDP, a NOD2 agonist. Dose-response curve of OD-001 for inhibition of TNF in anti-TNF resistant (n=4) or anti-TNF naïve (n=2) shown. Average data shown as mean ± standard error of the mean.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In Vivo Murine Models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Given the complex and heterogeneous nature of human IBD, we do not believe that any single preclinical model has emerged as being strongly predictive for human efficacy or for providing a comparison of the therapeutic potential of different compounds or mechanisms. However, there are three preclinical models where approved cytokine therapies have been observed to be active and where we believe a genetic link to RIPK2 has been suggested through siRNA or gene knockout. We, and others, have similarly observed that the pharmacologic inhibition of RIPK2 is effective on one or more measures of disease in each of these models.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table below sets forth these three models and their microbiota, genetic, or pharmacologic link to RIPK2 inhibition, and the approved agents that have also demonstrated the potential translatability of these results to humans.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Comparison of Murine Model Responses Across RIPK2 Programs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4486275" cy="2495550"/>
            <wp:effectExtent l="0" t="0" r="0" b="0"/>
            <wp:docPr id="2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1" descr=""/>
                    <pic:cNvPicPr>
                      <a:picLocks noChangeAspect="1" noChangeArrowheads="1"/>
                    </pic:cNvPicPr>
                  </pic:nvPicPr>
                  <pic:blipFill>
                    <a:blip r:embed="rId22"/>
                    <a:stretch>
                      <a:fillRect/>
                    </a:stretch>
                  </pic:blipFill>
                  <pic:spPr bwMode="auto">
                    <a:xfrm>
                      <a:off x="0" y="0"/>
                      <a:ext cx="4486275" cy="24955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Note: Activity of anti-IL-23 and anti-TNF has been shown in the TNBS murine model, which is similar to DNBS.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Two of these models, T-bet-/- RAG2-/- UC, or TRUC, and SAMP1/YitFc, have been shown to be microbiota dependent. Boehringer Ingelheim published positive results in 2021 using their RIPK2 scaffolding inhibitor in the TRUC model, which is characterized by microbe-driven inflammation of the large intestine. Given the activity observed with their RIPK2 inhibitor in that model, we elected to test a close analog of OD-001 in the SAMP1/YitFc model, which is characterized by spontaneous inflammation of the small intestines and where activity has been observed with anti-TNF therapy. In this model, we observed a statistically significant reduction in TNF gene expression in the intestine and, more importantly, a significant reduction in the histology score in the intestine, which we believe is a more accurate assessment of disease activity than cytokine production since it captures cellular and structural changes in the intestine.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graphs below show the reduction in TNF levels and reduced histology score we observed from our preclinical study described above. In the study, we treated age-matched SAMP1/YitFc mice (7-8-weeks old) daily with 200 mg/kg of a close analog of OD-001 or with a control vehicle for 8 weeks, after which TNF gene expression and intestinal pathology were assessed.</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Treatment of Mice With OD-001 Analog Observed to Reduce TNF Production and Severity of Ileitis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5038725" cy="2686050"/>
            <wp:effectExtent l="0" t="0" r="0" b="0"/>
            <wp:docPr id="2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2" descr=""/>
                    <pic:cNvPicPr>
                      <a:picLocks noChangeAspect="1" noChangeArrowheads="1"/>
                    </pic:cNvPicPr>
                  </pic:nvPicPr>
                  <pic:blipFill>
                    <a:blip r:embed="rId23"/>
                    <a:stretch>
                      <a:fillRect/>
                    </a:stretch>
                  </pic:blipFill>
                  <pic:spPr bwMode="auto">
                    <a:xfrm>
                      <a:off x="0" y="0"/>
                      <a:ext cx="5038725" cy="26860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Left figure presents TNF fold-change based on the relative RNA expression compared to age-matched non-disease animals in vehicle group (n=9) and RIPK2 treatment group (n=15). Right figure presents total histology score in vehicle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group (n=10) and RIPK2 treatment group (n=15). Statistical significance was calculated in GraphPad Prism 10.2.3 using unpaired t-test; * = p &lt; 0.05; *** = p &lt; 0.001.</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To test the relationship between PK and PD effect (e.g., reduction of cytokine production systemically and in the colon), we used a PGN-stimulation PK/PD model. In this model, we dosed mice with OD-001 ranging from 1-300 mg/kg, which achieved trough concentrations of OD-001 of 0.1-10 nM in the blood, and—at the time the trough concentration was measured—we administered the PGN stimulus. We observed reductions in TNF in the plasma and in colon tissue following PGN stimulation in mice treated with OD-001. The graphs below show the statistically significant reduction of TNF levels in the plasma and colon tissue of the mice observed following OD-001 doses greater than or equal to 100 mg/kg. The figure to the right shows that doses of OD-001 equal to or greater than 100 mg/kg were observed to achieve trough concentrations of OD-001 that were greater than 1 nM in plasma. The observations from this preclinical study further support our belief that RIPK2 inhibition with OD-001 has the potential to significantly reduce signaling leading to TNF production, which we believe is a key mediator of inflammatory damage in IBD patients.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OD-001 Treatment Led to Dose-Dependent Reduction in TNF Expression in Plasma and Colon Tissue in Murine Models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6619875" cy="3133725"/>
            <wp:effectExtent l="0" t="0" r="0" b="0"/>
            <wp:docPr id="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3" descr=""/>
                    <pic:cNvPicPr>
                      <a:picLocks noChangeAspect="1" noChangeArrowheads="1"/>
                    </pic:cNvPicPr>
                  </pic:nvPicPr>
                  <pic:blipFill>
                    <a:blip r:embed="rId24"/>
                    <a:stretch>
                      <a:fillRect/>
                    </a:stretch>
                  </pic:blipFill>
                  <pic:spPr bwMode="auto">
                    <a:xfrm>
                      <a:off x="0" y="0"/>
                      <a:ext cx="6619875" cy="31337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Each dot represents an individual mouse, excluding identified outliers. For plasma samples, group sizes are as follows: control (n=4), vehicle (n=8), 1 mg/kg OD-001 (n=9), 10 mg/kg OD-001 (n=9), 100 mg/kg OD-001 (n=8), and 300 mg/kg OD-001 (n=9). For colon tissue samples group, sizes are as follows: control (n=4), vehicle (n=10), 1 mg/kg OD-001 (n=10), 10 mg/kg OD-001 (n=10), 100 mg/kg OD-001 (n=10), and 300 mg/kg OD-001 (n=10). Identification of outliers within groups was performed using the GraphPad Prism “Identify Outlier” function, applying Method “ROUT,” and setting the remove outlier parameter at Q = 1%. Data shown as mean ± standard error of the mean. Statistical significance was calculated in GraphPad Prism 10.2.3 using one-way ANOVA; ** = p &lt; 0.01; **** = p &lt; 0.0001.</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 xml:space="preserve">We then integrated the </w:t>
      </w:r>
      <w:r>
        <w:rPr>
          <w:rFonts w:ascii="Arial" w:hAnsi="Arial"/>
          <w:i/>
          <w:color w:val="000000"/>
          <w:sz w:val="20"/>
        </w:rPr>
        <w:t>in vivo</w:t>
      </w:r>
      <w:r>
        <w:rPr>
          <w:rFonts w:ascii="Times New Roman" w:hAnsi="Times New Roman"/>
          <w:color w:val="000000"/>
          <w:sz w:val="20"/>
        </w:rPr>
        <w:t xml:space="preserve"> </w:t>
      </w:r>
      <w:r>
        <w:rPr>
          <w:rFonts w:ascii="Arial" w:hAnsi="Arial"/>
          <w:color w:val="000000"/>
          <w:sz w:val="20"/>
        </w:rPr>
        <w:t xml:space="preserve">PGN-challenge model with an </w:t>
      </w:r>
      <w:r>
        <w:rPr>
          <w:rFonts w:ascii="Arial" w:hAnsi="Arial"/>
          <w:i/>
          <w:color w:val="000000"/>
          <w:sz w:val="20"/>
        </w:rPr>
        <w:t>ex vivo</w:t>
      </w:r>
      <w:r>
        <w:rPr>
          <w:rFonts w:ascii="Times New Roman" w:hAnsi="Times New Roman"/>
          <w:color w:val="000000"/>
          <w:sz w:val="20"/>
        </w:rPr>
        <w:t xml:space="preserve"> </w:t>
      </w:r>
      <w:r>
        <w:rPr>
          <w:rFonts w:ascii="Arial" w:hAnsi="Arial"/>
          <w:color w:val="000000"/>
          <w:sz w:val="20"/>
        </w:rPr>
        <w:t xml:space="preserve">PGN-challenge model. In the </w:t>
      </w:r>
      <w:r>
        <w:rPr>
          <w:rFonts w:ascii="Arial" w:hAnsi="Arial"/>
          <w:i/>
          <w:color w:val="000000"/>
          <w:sz w:val="20"/>
        </w:rPr>
        <w:t>ex vivo</w:t>
      </w:r>
      <w:r>
        <w:rPr>
          <w:rFonts w:ascii="Times New Roman" w:hAnsi="Times New Roman"/>
          <w:color w:val="000000"/>
          <w:sz w:val="20"/>
        </w:rPr>
        <w:t xml:space="preserve"> </w:t>
      </w:r>
      <w:r>
        <w:rPr>
          <w:rFonts w:ascii="Arial" w:hAnsi="Arial"/>
          <w:color w:val="000000"/>
          <w:sz w:val="20"/>
        </w:rPr>
        <w:t xml:space="preserve">PGN-challenge model, we dosed mice and then drew their blood approximately three hours later. The blood was subsequently stimulated with PGN and we assessed TNF levels approximately four hours later. The aim of this study was to determine if results in the </w:t>
      </w:r>
      <w:r>
        <w:rPr>
          <w:rFonts w:ascii="Arial" w:hAnsi="Arial"/>
          <w:i/>
          <w:color w:val="000000"/>
          <w:sz w:val="20"/>
        </w:rPr>
        <w:t>ex vivo</w:t>
      </w:r>
      <w:r>
        <w:rPr>
          <w:rFonts w:ascii="Times New Roman" w:hAnsi="Times New Roman"/>
          <w:color w:val="000000"/>
          <w:sz w:val="20"/>
        </w:rPr>
        <w:t xml:space="preserve"> </w:t>
      </w:r>
      <w:r>
        <w:rPr>
          <w:rFonts w:ascii="Arial" w:hAnsi="Arial"/>
          <w:color w:val="000000"/>
          <w:sz w:val="20"/>
        </w:rPr>
        <w:t xml:space="preserve">stimulation assay would be similar to </w:t>
      </w:r>
      <w:r>
        <w:rPr>
          <w:rFonts w:ascii="Arial" w:hAnsi="Arial"/>
          <w:i/>
          <w:color w:val="000000"/>
          <w:sz w:val="20"/>
        </w:rPr>
        <w:t>in vivo</w:t>
      </w:r>
      <w:r>
        <w:rPr>
          <w:rFonts w:ascii="Times New Roman" w:hAnsi="Times New Roman"/>
          <w:color w:val="000000"/>
          <w:sz w:val="20"/>
        </w:rPr>
        <w:t xml:space="preserve"> </w:t>
      </w:r>
      <w:r>
        <w:rPr>
          <w:rFonts w:ascii="Arial" w:hAnsi="Arial"/>
          <w:color w:val="000000"/>
          <w:sz w:val="20"/>
        </w:rPr>
        <w:t>results. We observed a similar relationship between cytokine inhibition and potency between the models, with free drug levels of 1.5-2 nM inhibiting TNF production by 50%.</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 xml:space="preserve">The concentrations required in these two murine models for inhibition were also similar to the concentration required for 50% target inhibition in human whole blood (0.2 nM free drug), suggesting concordance between the murine in vivo and ex vivo results and concentrations required for similar effect in human cells. We believe these data support the use of an in vitro human whole blood assay in our phase 1 healthy participant trial to predict the dose required for a desired level of RIPK2 inhibition and to inform dose selection for subsequent clinical trials in IBD patients. The illustration to the left below summarizes the design of both the preclinical in vivo PGN-challenge model and the preclinical </w:t>
      </w:r>
      <w:r>
        <w:rPr>
          <w:rFonts w:ascii="Arial" w:hAnsi="Arial"/>
          <w:i/>
          <w:color w:val="000000"/>
          <w:sz w:val="20"/>
        </w:rPr>
        <w:t xml:space="preserve">ex vivo </w:t>
      </w:r>
      <w:r>
        <w:rPr>
          <w:rFonts w:ascii="Arial" w:hAnsi="Arial"/>
          <w:color w:val="000000"/>
          <w:sz w:val="20"/>
        </w:rPr>
        <w:t>PGN-challenge model. The graph to the right below illustrates the increasing level of TNF inhibition at higher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concentrations of OD-001, and the table below sets forth the observed total and free drug potency in vitro with human blood, and in vivo and ex vivo using mouse blood as reflected by IC</w:t>
      </w:r>
      <w:r>
        <w:rPr>
          <w:rFonts w:ascii="Arial" w:hAnsi="Arial"/>
          <w:color w:val="000000"/>
          <w:sz w:val="13"/>
        </w:rPr>
        <w:t>50</w:t>
      </w:r>
      <w:r>
        <w:rPr>
          <w:rFonts w:ascii="Times New Roman" w:hAnsi="Times New Roman"/>
          <w:color w:val="000000"/>
          <w:sz w:val="20"/>
        </w:rPr>
        <w:t xml:space="preserve"> </w:t>
      </w:r>
      <w:r>
        <w:rPr>
          <w:rFonts w:ascii="Arial" w:hAnsi="Arial"/>
          <w:color w:val="000000"/>
          <w:sz w:val="20"/>
        </w:rPr>
        <w:t>and IC</w:t>
      </w:r>
      <w:r>
        <w:rPr>
          <w:rFonts w:ascii="Arial" w:hAnsi="Arial"/>
          <w:color w:val="000000"/>
          <w:sz w:val="13"/>
        </w:rPr>
        <w:t>90</w:t>
      </w:r>
      <w:r>
        <w:rPr>
          <w:rFonts w:ascii="Times New Roman" w:hAnsi="Times New Roman"/>
          <w:color w:val="000000"/>
          <w:sz w:val="20"/>
        </w:rPr>
        <w:t xml:space="preserve"> </w:t>
      </w:r>
      <w:r>
        <w:rPr>
          <w:rFonts w:ascii="Arial" w:hAnsi="Arial"/>
          <w:color w:val="000000"/>
          <w:sz w:val="20"/>
        </w:rPr>
        <w:t xml:space="preserve">values, which represent 50 and 90% inhibition, respectively. The concordance across the measured values suggests an </w:t>
      </w:r>
      <w:r>
        <w:rPr>
          <w:rFonts w:ascii="Arial" w:hAnsi="Arial"/>
          <w:i/>
          <w:color w:val="000000"/>
          <w:sz w:val="20"/>
        </w:rPr>
        <w:t xml:space="preserve">ex vivo </w:t>
      </w:r>
      <w:r>
        <w:rPr>
          <w:rFonts w:ascii="Arial" w:hAnsi="Arial"/>
          <w:color w:val="000000"/>
          <w:sz w:val="20"/>
        </w:rPr>
        <w:t xml:space="preserve">stimulation assay may be used in clinical development to inform </w:t>
      </w:r>
      <w:r>
        <w:rPr>
          <w:rFonts w:ascii="Arial" w:hAnsi="Arial"/>
          <w:i/>
          <w:color w:val="000000"/>
          <w:sz w:val="20"/>
        </w:rPr>
        <w:t>in vivo</w:t>
      </w:r>
      <w:r>
        <w:rPr>
          <w:rFonts w:ascii="Times New Roman" w:hAnsi="Times New Roman"/>
          <w:color w:val="000000"/>
          <w:sz w:val="20"/>
        </w:rPr>
        <w:t xml:space="preserve"> </w:t>
      </w:r>
      <w:r>
        <w:rPr>
          <w:rFonts w:ascii="Arial" w:hAnsi="Arial"/>
          <w:color w:val="000000"/>
          <w:sz w:val="20"/>
        </w:rPr>
        <w:t>cytokine inhibition.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i/>
          <w:color w:val="000000"/>
          <w:sz w:val="20"/>
        </w:rPr>
        <w:t>In Vivo</w:t>
      </w:r>
      <w:r>
        <w:rPr>
          <w:rFonts w:ascii="Times New Roman" w:hAnsi="Times New Roman"/>
          <w:color w:val="000000"/>
          <w:sz w:val="20"/>
        </w:rPr>
        <w:t xml:space="preserve"> </w:t>
      </w:r>
      <w:r>
        <w:rPr>
          <w:rFonts w:ascii="Arial" w:hAnsi="Arial"/>
          <w:b/>
          <w:color w:val="000000"/>
          <w:sz w:val="20"/>
        </w:rPr>
        <w:t>and</w:t>
      </w:r>
      <w:r>
        <w:rPr>
          <w:rFonts w:ascii="Times New Roman" w:hAnsi="Times New Roman"/>
          <w:color w:val="000000"/>
          <w:sz w:val="20"/>
        </w:rPr>
        <w:t xml:space="preserve"> </w:t>
      </w:r>
      <w:r>
        <w:rPr>
          <w:rFonts w:ascii="Arial" w:hAnsi="Arial"/>
          <w:b/>
          <w:i/>
          <w:color w:val="000000"/>
          <w:sz w:val="20"/>
        </w:rPr>
        <w:t>Ex Vivo</w:t>
      </w:r>
      <w:r>
        <w:rPr>
          <w:rFonts w:ascii="Times New Roman" w:hAnsi="Times New Roman"/>
          <w:color w:val="000000"/>
          <w:sz w:val="20"/>
        </w:rPr>
        <w:t xml:space="preserve"> </w:t>
      </w:r>
      <w:r>
        <w:rPr>
          <w:rFonts w:ascii="Arial" w:hAnsi="Arial"/>
          <w:b/>
          <w:color w:val="000000"/>
          <w:sz w:val="20"/>
        </w:rPr>
        <w:t>Murine Challenge Model Design and Results, and Human In Vitro Results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drawing>
          <wp:inline distT="0" distB="0" distL="0" distR="0">
            <wp:extent cx="6858000" cy="3286125"/>
            <wp:effectExtent l="0" t="0" r="0" b="0"/>
            <wp:docPr id="2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4" descr=""/>
                    <pic:cNvPicPr>
                      <a:picLocks noChangeAspect="1" noChangeArrowheads="1"/>
                    </pic:cNvPicPr>
                  </pic:nvPicPr>
                  <pic:blipFill>
                    <a:blip r:embed="rId25"/>
                    <a:stretch>
                      <a:fillRect/>
                    </a:stretch>
                  </pic:blipFill>
                  <pic:spPr bwMode="auto">
                    <a:xfrm>
                      <a:off x="0" y="0"/>
                      <a:ext cx="6858000" cy="3286125"/>
                    </a:xfrm>
                    <a:prstGeom prst="rect">
                      <a:avLst/>
                    </a:prstGeom>
                  </pic:spPr>
                </pic:pic>
              </a:graphicData>
            </a:graphic>
          </wp:inline>
        </w:drawing>
      </w:r>
    </w:p>
    <w:p>
      <w:pPr>
        <w:pStyle w:val="TextBody"/>
        <w:bidi w:val="0"/>
        <w:ind w:left="0" w:right="0" w:firstLine="619"/>
        <w:jc w:val="left"/>
        <w:rPr/>
      </w:pPr>
      <w:r>
        <w:rPr/>
        <w:t> </w:t>
      </w:r>
    </w:p>
    <w:p>
      <w:pPr>
        <w:pStyle w:val="TextBody"/>
        <w:bidi w:val="0"/>
        <w:jc w:val="center"/>
        <w:rPr>
          <w:rFonts w:ascii="Times New Roman" w:hAnsi="Times New Roman"/>
          <w:sz w:val="20"/>
        </w:rPr>
      </w:pPr>
      <w:r>
        <w:rPr>
          <w:rFonts w:ascii="Arial" w:hAnsi="Arial"/>
          <w:i/>
          <w:color w:val="000000"/>
          <w:sz w:val="20"/>
        </w:rPr>
        <w:t>In the dose response curves, each dot represents an individual mouse excluding identified outliers. In vivo data are pooled from six independent studies with TNF inhibition shown for 212 mice. Ex vivo data are pooled from two independent studies with TNF inhibition shown for 48 mice. The dose-response curves were overlaid and analyzed in GraphPad Prism 9.2 by nonlinear regression using the “log(inhibitor) as compared to normalized response—Variable slope” function with the constraint that Hill slope &gt; 1. Identification of outliers within groups was performed using the GraphPad Prism “Identify Outlier” function and applying Method “ROUT,” and setting the remove outlier parameter at Q = 1%. Human whole blood was stimulated with the PGN fragment L18-MDP, a NOD2 agonist, for 24 hours and TNF inhibition by OD-001 was evaluated. Data shown as the geometric mean +/- standard error of the mean from 34 healthy donors.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OD-001 Phase 1 Clinical Trial</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 xml:space="preserve">Our phase 1 clinical trial in healthy participants assessed OD-001 in a four-part, double-blind trial designed to investigate safety, tolerability, PK, and PD with single ascending doses (SAD, part one) and multiple ascending doses once or twice daily for 14 days (MAD, part two). Parts three and four of the trial were designed to investigate food-effect and potential for drug-drug interactions, or DDI, respectively. Exploratory endpoints included an </w:t>
      </w:r>
      <w:r>
        <w:rPr>
          <w:rFonts w:ascii="Arial" w:hAnsi="Arial"/>
          <w:i/>
          <w:color w:val="000000"/>
          <w:sz w:val="20"/>
        </w:rPr>
        <w:t>ex vivo</w:t>
      </w:r>
      <w:r>
        <w:rPr>
          <w:rFonts w:ascii="Times New Roman" w:hAnsi="Times New Roman"/>
          <w:color w:val="000000"/>
          <w:sz w:val="20"/>
        </w:rPr>
        <w:t xml:space="preserve"> </w:t>
      </w:r>
      <w:r>
        <w:rPr>
          <w:rFonts w:ascii="Arial" w:hAnsi="Arial"/>
          <w:color w:val="000000"/>
          <w:sz w:val="20"/>
        </w:rPr>
        <w:t>PGN stimulation assay using whole blood to determine PD effects.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SAD cohorts received doses from 3 to 200 mg. The MAD cohorts received doses from 10 mg once daily up to 50 mg twice daily, or BID. SAD and MAD cohorts each consisted of eight participants with six receiving OD-001 and two receiving placebo. Food effect was tested and there was no difference in PK observed between fasted and fed states. Potential for DDI that could change midazolam exposure was tested and no significant changes in midazolam exposure were observed. In total, 81 participants received OD-001 and 20 received placebo.</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Safety assessments were completed across all parts of this clinical trial. All dose levels were generally well tolerated with no SAEs, dose-limiting toxicities, or suspected unexpected serious adverse reactions, or SUSARs. In addition, no clinically significant or abnormal findings related to OD-001 were identified by electrocardiogram, or ECG. The majority of treatment-emergent adverse events, or TEAEs, among participants who received OD-001 or placebo were classified as grade 1 (mild). In total, 52% of OD-001-treated participants had any TEAEs compared to 60% of placebo-treated participants.</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The table below summarizes TEAEs classified as either grade 2 (moderate) or grade 3 (severe) that were identified in participants treated with OD-001 (n=7) and if they were deemed to be treatment-related adverse events, or TRAEs. None of the TEAEs caused dosing to be interrupted or caused participants to be discontinued from the study. All of the grade 2 TEAEs reported in the 200 mg SAD cohort were identified in one participant who was subsequently found to have undiagnosed hyperglycemia, suggestive of underlying pre-diabetes.</w:t>
      </w:r>
    </w:p>
    <w:p>
      <w:pPr>
        <w:pStyle w:val="TextBody"/>
        <w:bidi w:val="0"/>
        <w:ind w:left="0" w:right="0" w:firstLine="612"/>
        <w:jc w:val="left"/>
        <w:rPr/>
      </w:pPr>
      <w:r>
        <w:rPr/>
        <w:t> </w:t>
      </w:r>
    </w:p>
    <w:p>
      <w:pPr>
        <w:pStyle w:val="TextBody"/>
        <w:bidi w:val="0"/>
        <w:jc w:val="center"/>
        <w:rPr/>
      </w:pPr>
      <w:r>
        <w:rPr/>
        <w:drawing>
          <wp:inline distT="0" distB="0" distL="0" distR="0">
            <wp:extent cx="6858000" cy="3409950"/>
            <wp:effectExtent l="0" t="0" r="0" b="0"/>
            <wp:docPr id="2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5" descr=""/>
                    <pic:cNvPicPr>
                      <a:picLocks noChangeAspect="1" noChangeArrowheads="1"/>
                    </pic:cNvPicPr>
                  </pic:nvPicPr>
                  <pic:blipFill>
                    <a:blip r:embed="rId26"/>
                    <a:stretch>
                      <a:fillRect/>
                    </a:stretch>
                  </pic:blipFill>
                  <pic:spPr bwMode="auto">
                    <a:xfrm>
                      <a:off x="0" y="0"/>
                      <a:ext cx="6858000" cy="3409950"/>
                    </a:xfrm>
                    <a:prstGeom prst="rect">
                      <a:avLst/>
                    </a:prstGeom>
                  </pic:spPr>
                </pic:pic>
              </a:graphicData>
            </a:graphic>
          </wp:inline>
        </w:drawing>
      </w:r>
    </w:p>
    <w:p>
      <w:pPr>
        <w:pStyle w:val="TextBody"/>
        <w:bidi w:val="0"/>
        <w:ind w:left="0" w:right="0" w:firstLine="612"/>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The most common grade 2 or higher TEAE observed was neutrophil count decrease, which we believe is an on-target effect linked to a potential reduction in IL-1ß signaling caused by RIPK2 inhibition. IL-1ß signaling blockade is expected to lower neutrophil counts based on similar findings reported in clinical studies testing the effects of canakinumab, an approved, well-tolerated IL-1ß blocking drug. In participants dosed with OD-001, the nadirs were observed between day six and 14 of dosing; in all participants, dosing continued and, following the nadir, neutrophil counts returned to normal levels, suggesting a homeostatic compensatory mechanism.</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increases in transaminases (ALT and AST) were transient, such that these lab values returned to levels within the normal range. For example, the grade 2 ALT elevation in one participant in the 20 mg BID multiple dose DDI cohort occurred on day six of dosing, with an increase that was 3.7-fold above baseline and 3.0-fold above the upper limit of normal (threshold for grade 2 classification); dosing continued, after which ALT levels decreased and were within the normal range by day 12, and remained in the normal range thereafter.</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PK analysis in the MAD and DDI groups generally shows proportionality of steady-state exposures with dose.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b/>
          <w:color w:val="000000"/>
          <w:sz w:val="20"/>
        </w:rPr>
        <w:t>Summary of Pharmacokinetics in MAD and DDI Dose Groups</w:t>
      </w:r>
      <w:r>
        <w:rPr>
          <w:rFonts w:ascii="Times New Roman" w:hAnsi="Times New Roman"/>
          <w:color w:val="000000"/>
          <w:sz w:val="20"/>
        </w:rPr>
        <w:t xml:space="preserve"> </w:t>
      </w:r>
    </w:p>
    <w:p>
      <w:pPr>
        <w:pStyle w:val="TextBody"/>
        <w:bidi w:val="0"/>
        <w:jc w:val="center"/>
        <w:rPr/>
      </w:pPr>
      <w:r>
        <w:rPr/>
        <w:drawing>
          <wp:inline distT="0" distB="0" distL="0" distR="0">
            <wp:extent cx="6410325" cy="3390900"/>
            <wp:effectExtent l="0" t="0" r="0" b="0"/>
            <wp:docPr id="2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6" descr=""/>
                    <pic:cNvPicPr>
                      <a:picLocks noChangeAspect="1" noChangeArrowheads="1"/>
                    </pic:cNvPicPr>
                  </pic:nvPicPr>
                  <pic:blipFill>
                    <a:blip r:embed="rId27"/>
                    <a:stretch>
                      <a:fillRect/>
                    </a:stretch>
                  </pic:blipFill>
                  <pic:spPr bwMode="auto">
                    <a:xfrm>
                      <a:off x="0" y="0"/>
                      <a:ext cx="6410325" cy="3390900"/>
                    </a:xfrm>
                    <a:prstGeom prst="rect">
                      <a:avLst/>
                    </a:prstGeom>
                  </pic:spPr>
                </pic:pic>
              </a:graphicData>
            </a:graphic>
          </wp:inline>
        </w:drawing>
      </w:r>
    </w:p>
    <w:p>
      <w:pPr>
        <w:pStyle w:val="TextBody"/>
        <w:bidi w:val="0"/>
        <w:ind w:left="0" w:right="0" w:firstLine="619"/>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 xml:space="preserve">In this trial, we utilized an </w:t>
      </w:r>
      <w:r>
        <w:rPr>
          <w:rFonts w:ascii="Arial" w:hAnsi="Arial"/>
          <w:i/>
          <w:color w:val="000000"/>
          <w:sz w:val="20"/>
        </w:rPr>
        <w:t>ex vivo</w:t>
      </w:r>
      <w:r>
        <w:rPr>
          <w:rFonts w:ascii="Times New Roman" w:hAnsi="Times New Roman"/>
          <w:color w:val="000000"/>
          <w:sz w:val="20"/>
        </w:rPr>
        <w:t xml:space="preserve"> </w:t>
      </w:r>
      <w:r>
        <w:rPr>
          <w:rFonts w:ascii="Arial" w:hAnsi="Arial"/>
          <w:color w:val="000000"/>
          <w:sz w:val="20"/>
        </w:rPr>
        <w:t xml:space="preserve">whole blood PGN stimulation assay measuring TNF to confirm target and pathway inhibition. Based on the results from this assay, tolerable doses have been identified that we believe may be potentially efficacious in patients with IBD. In the figure below, the results of the </w:t>
      </w:r>
      <w:r>
        <w:rPr>
          <w:rFonts w:ascii="Arial" w:hAnsi="Arial"/>
          <w:i/>
          <w:color w:val="000000"/>
          <w:sz w:val="20"/>
        </w:rPr>
        <w:t>ex vivo</w:t>
      </w:r>
      <w:r>
        <w:rPr>
          <w:rFonts w:ascii="Times New Roman" w:hAnsi="Times New Roman"/>
          <w:color w:val="000000"/>
          <w:sz w:val="20"/>
        </w:rPr>
        <w:t xml:space="preserve"> </w:t>
      </w:r>
      <w:r>
        <w:rPr>
          <w:rFonts w:ascii="Arial" w:hAnsi="Arial"/>
          <w:color w:val="000000"/>
          <w:sz w:val="20"/>
        </w:rPr>
        <w:t>stimulation assay in participants treated with OD-001 doses of 10-50 mg BID after one and 14 days of dosing are shown. Based on the area under the curve, or AUC, for TNF release at steady state over the 12-hour interval between doses, a dose of 20 mg BID inhibits TNF release by approximately 90%, which is a similar level of inhibition to that observed with the higher doses tested. We believe approximately 90% reduction of TNF identifies a dose expected to be potentially efficacious because this magnitude of reduction was observed in RIPK2 knockout mice that are protected from IBD.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b/>
          <w:color w:val="000000"/>
          <w:sz w:val="20"/>
        </w:rPr>
        <w:t>Summary of Pharmacodynamics in MAD and DDI Dose Groups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5457825" cy="3771900"/>
            <wp:effectExtent l="0" t="0" r="0" b="0"/>
            <wp:docPr id="2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 descr=""/>
                    <pic:cNvPicPr>
                      <a:picLocks noChangeAspect="1" noChangeArrowheads="1"/>
                    </pic:cNvPicPr>
                  </pic:nvPicPr>
                  <pic:blipFill>
                    <a:blip r:embed="rId28"/>
                    <a:stretch>
                      <a:fillRect/>
                    </a:stretch>
                  </pic:blipFill>
                  <pic:spPr bwMode="auto">
                    <a:xfrm>
                      <a:off x="0" y="0"/>
                      <a:ext cx="5457825" cy="3771900"/>
                    </a:xfrm>
                    <a:prstGeom prst="rect">
                      <a:avLst/>
                    </a:prstGeom>
                  </pic:spPr>
                </pic:pic>
              </a:graphicData>
            </a:graphic>
          </wp:inline>
        </w:drawing>
      </w:r>
    </w:p>
    <w:p>
      <w:pPr>
        <w:pStyle w:val="TextBody"/>
        <w:bidi w:val="0"/>
        <w:ind w:left="0" w:right="0" w:firstLine="619"/>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Below we detail the pharmacokinetics of the 10 and 20 mg BID dose in the multiple dose cohorts compared to the concentration to achieve IC</w:t>
      </w:r>
      <w:r>
        <w:rPr>
          <w:rFonts w:ascii="Arial" w:hAnsi="Arial"/>
          <w:color w:val="000000"/>
          <w:sz w:val="13"/>
        </w:rPr>
        <w:t>90</w:t>
      </w:r>
      <w:r>
        <w:rPr>
          <w:rFonts w:ascii="Times New Roman" w:hAnsi="Times New Roman"/>
          <w:color w:val="000000"/>
          <w:sz w:val="20"/>
        </w:rPr>
        <w:t xml:space="preserve"> </w:t>
      </w:r>
      <w:r>
        <w:rPr>
          <w:rFonts w:ascii="Arial" w:hAnsi="Arial"/>
          <w:color w:val="000000"/>
          <w:sz w:val="20"/>
        </w:rPr>
        <w:t>coverage which illustrates that the 10 mg BID and 20 mg BID dose would be expected to provide potentially efficacious concentration in patients by exceeding the IC</w:t>
      </w:r>
      <w:r>
        <w:rPr>
          <w:rFonts w:ascii="Arial" w:hAnsi="Arial"/>
          <w:color w:val="000000"/>
          <w:sz w:val="13"/>
        </w:rPr>
        <w:t xml:space="preserve">90 </w:t>
      </w:r>
      <w:r>
        <w:rPr>
          <w:rFonts w:ascii="Arial" w:hAnsi="Arial"/>
          <w:color w:val="000000"/>
          <w:sz w:val="20"/>
        </w:rPr>
        <w:t>value for 8 and 10 hours of the 12-hour dosing interval, respectively.</w:t>
      </w:r>
    </w:p>
    <w:p>
      <w:pPr>
        <w:pStyle w:val="TextBody"/>
        <w:bidi w:val="0"/>
        <w:spacing w:before="240" w:after="283"/>
        <w:jc w:val="center"/>
        <w:rPr>
          <w:rFonts w:ascii="Times New Roman" w:hAnsi="Times New Roman"/>
          <w:sz w:val="20"/>
        </w:rPr>
      </w:pPr>
      <w:r>
        <w:rPr>
          <w:rFonts w:ascii="Arial" w:hAnsi="Arial"/>
          <w:b/>
          <w:color w:val="000000"/>
          <w:sz w:val="20"/>
        </w:rPr>
        <w:t>Summary of Pharmacokinetics vs. Human Whole Blood IC</w:t>
      </w:r>
      <w:r>
        <w:rPr>
          <w:rFonts w:ascii="Arial" w:hAnsi="Arial"/>
          <w:b/>
          <w:color w:val="000000"/>
          <w:sz w:val="13"/>
        </w:rPr>
        <w:t>90</w:t>
      </w:r>
      <w:r>
        <w:rPr>
          <w:rFonts w:ascii="Times New Roman" w:hAnsi="Times New Roman"/>
          <w:color w:val="000000"/>
          <w:sz w:val="20"/>
        </w:rPr>
        <w:t xml:space="preserve"> </w:t>
      </w:r>
    </w:p>
    <w:p>
      <w:pPr>
        <w:pStyle w:val="TextBody"/>
        <w:bidi w:val="0"/>
        <w:ind w:left="0" w:right="0" w:firstLine="720"/>
        <w:jc w:val="left"/>
        <w:rPr/>
      </w:pPr>
      <w:r>
        <w:rPr/>
        <w:t> </w:t>
      </w:r>
    </w:p>
    <w:p>
      <w:pPr>
        <w:pStyle w:val="TextBody"/>
        <w:bidi w:val="0"/>
        <w:ind w:left="0" w:right="0" w:firstLine="720"/>
        <w:jc w:val="center"/>
        <w:rPr/>
      </w:pPr>
      <w:r>
        <w:rPr/>
        <w:drawing>
          <wp:inline distT="0" distB="0" distL="0" distR="0">
            <wp:extent cx="4905375" cy="2362200"/>
            <wp:effectExtent l="0" t="0" r="0" b="0"/>
            <wp:docPr id="2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8" descr=""/>
                    <pic:cNvPicPr>
                      <a:picLocks noChangeAspect="1" noChangeArrowheads="1"/>
                    </pic:cNvPicPr>
                  </pic:nvPicPr>
                  <pic:blipFill>
                    <a:blip r:embed="rId29"/>
                    <a:stretch>
                      <a:fillRect/>
                    </a:stretch>
                  </pic:blipFill>
                  <pic:spPr bwMode="auto">
                    <a:xfrm>
                      <a:off x="0" y="0"/>
                      <a:ext cx="4905375" cy="2362200"/>
                    </a:xfrm>
                    <a:prstGeom prst="rect">
                      <a:avLst/>
                    </a:prstGeom>
                  </pic:spPr>
                </pic:pic>
              </a:graphicData>
            </a:graphic>
          </wp:inline>
        </w:drawing>
      </w:r>
    </w:p>
    <w:p>
      <w:pPr>
        <w:pStyle w:val="TextBody"/>
        <w:bidi w:val="0"/>
        <w:ind w:left="0" w:right="0" w:firstLine="72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We selected 20 mg twice daily, or BID, as the maximal dose level to be tested in our phase 2a clinical trial. Based on the 20 mg BID dose and the results from six-month rat and nine-month dog toxicology studies, we project a &gt; 15x AUC margin and &gt; 10x C</w:t>
      </w:r>
      <w:r>
        <w:rPr>
          <w:rFonts w:ascii="Arial" w:hAnsi="Arial"/>
          <w:color w:val="000000"/>
          <w:sz w:val="13"/>
        </w:rPr>
        <w:t>max</w:t>
      </w:r>
      <w:r>
        <w:rPr>
          <w:rFonts w:ascii="Times New Roman" w:hAnsi="Times New Roman"/>
          <w:color w:val="000000"/>
          <w:sz w:val="20"/>
        </w:rPr>
        <w:t xml:space="preserve"> </w:t>
      </w:r>
      <w:r>
        <w:rPr>
          <w:rFonts w:ascii="Arial" w:hAnsi="Arial"/>
          <w:color w:val="000000"/>
          <w:sz w:val="20"/>
        </w:rPr>
        <w:t>margin relative to the no observed adverse effect level, or NOAEL. For the 10 mg BID dose, we project a &gt;26x AUC margin and &gt; 17x C</w:t>
      </w:r>
      <w:r>
        <w:rPr>
          <w:rFonts w:ascii="Arial" w:hAnsi="Arial"/>
          <w:color w:val="000000"/>
          <w:sz w:val="13"/>
        </w:rPr>
        <w:t>max</w:t>
      </w:r>
      <w:r>
        <w:rPr>
          <w:rFonts w:ascii="Times New Roman" w:hAnsi="Times New Roman"/>
          <w:color w:val="000000"/>
          <w:sz w:val="20"/>
        </w:rPr>
        <w:t xml:space="preserve"> </w:t>
      </w:r>
      <w:r>
        <w:rPr>
          <w:rFonts w:ascii="Arial" w:hAnsi="Arial"/>
          <w:color w:val="000000"/>
          <w:sz w:val="20"/>
        </w:rPr>
        <w:t>margin relative to the NOAEL. These toxicology results will ultimately be included in a regulatory submission if OD-001 were to be submitted for approval in the future. For context, the drug approval packages for approved UC therapies, such as upadacitinib, a JAK inhibitor, indicate an approximately two-times margin, and, for ozanimod, an S1P1 inhibitor, indicate a &lt; 10x margin between the AUC at NOAEL in their selected toxicology species and human AUC at their labeled dose.</w:t>
      </w:r>
    </w:p>
    <w:p>
      <w:pPr>
        <w:pStyle w:val="TextBody"/>
        <w:bidi w:val="0"/>
        <w:spacing w:before="240" w:after="283"/>
        <w:jc w:val="left"/>
        <w:rPr>
          <w:rFonts w:ascii="Times New Roman" w:hAnsi="Times New Roman"/>
          <w:sz w:val="20"/>
        </w:rPr>
      </w:pPr>
      <w:r>
        <w:rPr>
          <w:rFonts w:ascii="Arial" w:hAnsi="Arial"/>
          <w:i/>
          <w:color w:val="000000"/>
          <w:sz w:val="20"/>
        </w:rPr>
        <w:t>OD-001 Phase 2a Signal-Seeking Trial in Patients With Moderate-to-Severe UC</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Our ongoing phase 2a two-part, multicenter trial is designed to assess the safety and efficacy of OD-001 in participants with moderately to severely active UC who have had an inadequate response to conventional therapies such as 5-ASA or methotrexate, steroids, or advanced therapies, such as anti-TNF blocker HUMIRA</w:t>
      </w:r>
      <w:r>
        <w:rPr>
          <w:rFonts w:ascii="Arial" w:hAnsi="Arial"/>
          <w:color w:val="000000"/>
          <w:sz w:val="13"/>
        </w:rPr>
        <w:t>®</w:t>
      </w:r>
      <w:r>
        <w:rPr>
          <w:rFonts w:ascii="Arial" w:hAnsi="Arial"/>
          <w:color w:val="000000"/>
          <w:sz w:val="20"/>
        </w:rPr>
        <w:t>. Disease severity was assessed at screening based on the modified Mayo clinical score, or MMCS, and inclusion required a Mayo endoscopic score, or MES, of 2-3 (moderate to severe) and a MMCS of 5-9.</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Several design and operational elements were incorporated to minimize the potential for placebo effects. First, we worked with a leading IBD-focused clinical research organization, Alimentiv, which has deep experience with trial sites and investigators globally. Second, our clinical development team participated in all site initiations and worked closely with investigators throughout the trial. Third, in collaboration with Alimentiv, we incorporated multiple elements into the trial design, such as requiring objective evidence of active disease at screening, which included centrally read and blinded endoscopic assessments and requiring a Mayo endoscopy score of 2 or 3 (indicating moderate or severe disease). Fourth, we assessed validated biomarkers of active intestinal inflammation, such as fecal calprotectin, to confirm active disease in patients. Fifth, we limited concomitant steroid use to a maximum dose of 20 mg of prednisone or equivalent and required the patients to be on a stable dose during the screening and OD-001 induction period. We believe these approaches are consistent with contemporary best practices for executing a well-controlled clinical trial and limiting the potential for placebo effects on efficacy endpoints. Recent clinical trials conducted using these types of best practices and design elements, including Prometheus' ARTEMIS-UC trial of tulisokibart (NCT04996797) and Abivax’s pooled ABTECT-1 (NCT05507203) and ABTECT-2 (NCT05507216) trials, reported placebo clinical remission rates of less than 5%.</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trial consists of a sequential three-period treatment regimen comprising an OD-001 induction period (period 1), followed by a vedolizumab induction period (period 2) and a vedolizumab maintenance period (period 3).</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Phase 2a Trial Overview</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6858000" cy="3390900"/>
            <wp:effectExtent l="0" t="0" r="0" b="0"/>
            <wp:docPr id="3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9" descr=""/>
                    <pic:cNvPicPr>
                      <a:picLocks noChangeAspect="1" noChangeArrowheads="1"/>
                    </pic:cNvPicPr>
                  </pic:nvPicPr>
                  <pic:blipFill>
                    <a:blip r:embed="rId30"/>
                    <a:stretch>
                      <a:fillRect/>
                    </a:stretch>
                  </pic:blipFill>
                  <pic:spPr bwMode="auto">
                    <a:xfrm>
                      <a:off x="0" y="0"/>
                      <a:ext cx="6858000" cy="3390900"/>
                    </a:xfrm>
                    <a:prstGeom prst="rect">
                      <a:avLst/>
                    </a:prstGeom>
                  </pic:spPr>
                </pic:pic>
              </a:graphicData>
            </a:graphic>
          </wp:inline>
        </w:drawing>
      </w:r>
    </w:p>
    <w:p>
      <w:pPr>
        <w:pStyle w:val="TextBody"/>
        <w:bidi w:val="0"/>
        <w:ind w:left="0" w:right="0" w:firstLine="619"/>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ind w:left="0" w:right="0" w:firstLine="619"/>
        <w:jc w:val="left"/>
        <w:rPr>
          <w:rFonts w:ascii="Arial" w:hAnsi="Arial"/>
          <w:color w:val="000000"/>
          <w:sz w:val="20"/>
        </w:rPr>
      </w:pPr>
      <w:r>
        <w:rPr>
          <w:rFonts w:ascii="Arial" w:hAnsi="Arial"/>
          <w:color w:val="000000"/>
          <w:sz w:val="20"/>
        </w:rPr>
        <w:t>Part 1 of the trial was a non-randomized, open-label cohort of eight patients receiving OD-001 at 10 mg BID for 12 weeks. Part 2 included 45 patients randomized in a 1:4 ratio to receive either OD-001 10 mg BID for two weeks followed by 20 mg BID for 10 weeks, or OD-001 20 mg BID for 12 weeks. In part 2, participants and investigators were blinded to treatment assignment. Given this was the first trial of OD-001 in patients with active disease, the escalation framework utilized in part 2 was designed to assess a potential tolerability benefit of using an intra-patient dose escalation, if such a framework were to be needed.</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primary endpoint for the trial is change from baseline in MMCS following 12-week induction therapy. The MMCS is a composite score with three components, each graded from 0 to 3: MES, rectal bleeding score, and stool frequency score (the latter two together forming the patient-reported outcomes, or PRO-2 score). Key secondary and exploratory endpoints include proportion of participants achieving clinical remission, endoscopic improvement, symptomatic improvement, histologic and endoscopic improvement, or HEMI, and clinical response. Biopsies collected during endoscopy are used for histological assessments and exploratory biomarker analyses. Blood and stool samples were collected at multiple points in the trial to evaluate inflammatory markers, pharmacokinetics, and exploratory biomarkers. Evaluation of these histologic assessments and exploratory biomarkers are currently ongoing and we expect to share these results at a future medical meeting.</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 xml:space="preserve">Part 2 of the trial was powered to 90% to demonstrate a change from baseline in the three-component MMCS of 2 points (with an assumed standard deviation of 4 points and two-sided alpha of 0.05) using a paired </w:t>
      </w:r>
      <w:r>
        <w:rPr>
          <w:rFonts w:ascii="Arial" w:hAnsi="Arial"/>
          <w:i/>
          <w:color w:val="000000"/>
          <w:sz w:val="20"/>
        </w:rPr>
        <w:t>t</w:t>
      </w:r>
      <w:r>
        <w:rPr>
          <w:rFonts w:ascii="Arial" w:hAnsi="Arial"/>
          <w:color w:val="000000"/>
          <w:sz w:val="20"/>
        </w:rPr>
        <w:t>-test against a null hypothesis of no change. In addition to MMCS, part 2 of the trial was powered to 82% at the two-sided 0.1 significance level to detect a ≥ 15% difference in clinical remission rate for OD-001 compared to a historical placebo rate of 10% based on our internal meta-analysis of published literature and supported by a third party meta-analyses using individual patient data that was published in Volume 19, Issue 10 of the Journal of Crohn’s and Colitis “</w:t>
      </w:r>
      <w:r>
        <w:rPr>
          <w:rFonts w:ascii="Arial" w:hAnsi="Arial"/>
          <w:i/>
          <w:color w:val="000000"/>
          <w:sz w:val="20"/>
        </w:rPr>
        <w:t>Placebo rates in randomized clinical trials of ulcerative colitis: an individual patient data meta-analysis</w:t>
      </w:r>
      <w:r>
        <w:rPr>
          <w:rFonts w:ascii="Arial" w:hAnsi="Arial"/>
          <w:color w:val="000000"/>
          <w:sz w:val="20"/>
        </w:rPr>
        <w:t>,” which derived a 9% placebo clinical remission rate estimate and a 33% placebo clinical response rate estimate.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 total of 49 patients completed 12 weeks of OD-001 induction treatment and were evaluable for the primary efficacy analysis across part 1 and part 2. All eight patients enrolled in part 1 completed 12 weeks of treatment with OD-001 and were evaluable for the primary efficacy analysis per protocol. In part 2, of the 45 patients enrolled, 41 patients completed 12 weeks of treatment and were evaluable for the primary efficacy analysis per protocol.</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A summary of baseline characteristics for the 53 patients enrolled in the trial, including the eight patients in part 1 and the 45 patients in part 2, are reported below. We believe the characteristics of the patients enrolled in our trial are similar to those of the patients enrolled in contemporary phase 2 and phase 3 trials of other investigational therapies in moderate-to-severe UC such as obefazimod (NCT04023396, NCT05507203, NCT05507216), MORF-057 (NCT05291689, NCT05611671), icotrokinra (NCT06049017), tulisokibart (NCT04996797), duvakitug (NCT05499130), and afimkibart (NCT04090411), for which comparative baseline characteristics are shown. The AT-experienced population included patients who failed up to three lines of prior therapy, with most being exposed to one or two approved or investigational agents such as adalimumab, golimumab, etrasimod, etrolizumab, icotrokinra, infliximab, MORF-057, PN-943, rosnilimab, a TYK2 inhibitor, and ustekinumab.</w:t>
      </w:r>
    </w:p>
    <w:p>
      <w:pPr>
        <w:pStyle w:val="TextBody"/>
        <w:bidi w:val="0"/>
        <w:spacing w:before="120" w:after="283"/>
        <w:jc w:val="center"/>
        <w:rPr>
          <w:rFonts w:ascii="Arial" w:hAnsi="Arial"/>
          <w:color w:val="000000"/>
          <w:sz w:val="20"/>
        </w:rPr>
      </w:pPr>
      <w:r>
        <w:rPr>
          <w:rFonts w:ascii="Arial" w:hAnsi="Arial"/>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Arial" w:hAnsi="Arial"/>
          <w:b/>
          <w:color w:val="000000"/>
          <w:sz w:val="20"/>
        </w:rPr>
      </w:pPr>
      <w:r>
        <w:rPr>
          <w:rFonts w:ascii="Arial" w:hAnsi="Arial"/>
          <w:b/>
          <w:color w:val="000000"/>
          <w:sz w:val="20"/>
        </w:rPr>
        <w:t>Baseline Characteristics of Enrolled Patients in OD-001 Phase 2a Trial and Comparative Contemporary UC Studies</w:t>
      </w:r>
    </w:p>
    <w:p>
      <w:pPr>
        <w:pStyle w:val="TextBody"/>
        <w:bidi w:val="0"/>
        <w:jc w:val="center"/>
        <w:rPr/>
      </w:pPr>
      <w:r>
        <w:rPr/>
        <w:t> </w:t>
      </w:r>
    </w:p>
    <w:p>
      <w:pPr>
        <w:pStyle w:val="TextBody"/>
        <w:bidi w:val="0"/>
        <w:jc w:val="center"/>
        <w:rPr/>
      </w:pPr>
      <w:r>
        <w:rPr/>
        <w:drawing>
          <wp:inline distT="0" distB="0" distL="0" distR="0">
            <wp:extent cx="6858000" cy="3543300"/>
            <wp:effectExtent l="0" t="0" r="0" b="0"/>
            <wp:docPr id="3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0" descr=""/>
                    <pic:cNvPicPr>
                      <a:picLocks noChangeAspect="1" noChangeArrowheads="1"/>
                    </pic:cNvPicPr>
                  </pic:nvPicPr>
                  <pic:blipFill>
                    <a:blip r:embed="rId31"/>
                    <a:stretch>
                      <a:fillRect/>
                    </a:stretch>
                  </pic:blipFill>
                  <pic:spPr bwMode="auto">
                    <a:xfrm>
                      <a:off x="0" y="0"/>
                      <a:ext cx="6858000" cy="3543300"/>
                    </a:xfrm>
                    <a:prstGeom prst="rect">
                      <a:avLst/>
                    </a:prstGeom>
                  </pic:spPr>
                </pic:pic>
              </a:graphicData>
            </a:graphic>
          </wp:inline>
        </w:drawing>
      </w:r>
    </w:p>
    <w:p>
      <w:pPr>
        <w:pStyle w:val="TextBody"/>
        <w:bidi w:val="0"/>
        <w:ind w:left="0" w:right="0" w:firstLine="619"/>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Patients in our clinical trial were enrolled across 18 sites and 7 countries, which included Australia, Canada, Jordan, Moldova, Poland, Ukraine, and New Zealand. Recent clinical studies, such as the Abivax phase 3 ABTECT-1 and ABTECT-2 trials, have shown that in well-controlled clinical studies, placebo remission rates are similar between geographies. Below, we summarize the clinical remission rates across Western Europe, Eastern Europe, and the rest of the world that were published in "</w:t>
      </w:r>
      <w:r>
        <w:rPr>
          <w:rFonts w:ascii="Arial" w:hAnsi="Arial"/>
          <w:i/>
          <w:color w:val="000000"/>
          <w:sz w:val="20"/>
        </w:rPr>
        <w:t>P1159 – Pooled Analysis of Efficacy and Safety of Once-Daily Oral Obefazimod in European Patients From the ABTECT Phase 3, Double-Blind, Placebo-Controlled Induction Trials</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at the European Crohn’s and Colitis Organisation Meeting in 2026.</w:t>
      </w:r>
    </w:p>
    <w:p>
      <w:pPr>
        <w:pStyle w:val="TextBody"/>
        <w:bidi w:val="0"/>
        <w:ind w:left="0" w:right="0" w:firstLine="619"/>
        <w:jc w:val="left"/>
        <w:rPr/>
      </w:pPr>
      <w:r>
        <w:rPr/>
        <w:t> </w:t>
      </w:r>
    </w:p>
    <w:p>
      <w:pPr>
        <w:pStyle w:val="TextBody"/>
        <w:bidi w:val="0"/>
        <w:spacing w:before="120" w:after="283"/>
        <w:jc w:val="left"/>
        <w:rPr/>
      </w:pPr>
      <w:r>
        <w:rPr/>
        <w:drawing>
          <wp:inline distT="0" distB="0" distL="0" distR="0">
            <wp:extent cx="6858000" cy="2200275"/>
            <wp:effectExtent l="0" t="0" r="0" b="0"/>
            <wp:docPr id="3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1" descr=""/>
                    <pic:cNvPicPr>
                      <a:picLocks noChangeAspect="1" noChangeArrowheads="1"/>
                    </pic:cNvPicPr>
                  </pic:nvPicPr>
                  <pic:blipFill>
                    <a:blip r:embed="rId32"/>
                    <a:stretch>
                      <a:fillRect/>
                    </a:stretch>
                  </pic:blipFill>
                  <pic:spPr bwMode="auto">
                    <a:xfrm>
                      <a:off x="0" y="0"/>
                      <a:ext cx="6858000" cy="2200275"/>
                    </a:xfrm>
                    <a:prstGeom prst="rect">
                      <a:avLst/>
                    </a:prstGeom>
                  </pic:spPr>
                </pic:pic>
              </a:graphicData>
            </a:graphic>
          </wp:inline>
        </w:drawing>
      </w:r>
    </w:p>
    <w:p>
      <w:pPr>
        <w:pStyle w:val="TextBody"/>
        <w:bidi w:val="0"/>
        <w:spacing w:before="120" w:after="283"/>
        <w:ind w:left="0" w:right="0" w:firstLine="619"/>
        <w:jc w:val="left"/>
        <w:rPr/>
      </w:pPr>
      <w:r>
        <w:rPr/>
        <w:t>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Below, we summarize the preliminary 12-week safety observations for the 53 patients enrolled in part 1 and part 2 of this trial. These data will not be finalized until database lock and, thus, are subject to change prior to release of the final clinical study report.</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Both doses were well tolerated with only three treatment-emergent and drug-related adverse events in part 2 and none in part 1. For the 53 treated patients, two (4%) experienced a TRAE. These two patients experienced</w:t>
        <w:br/>
      </w:r>
      <w:r>
        <w:rPr>
          <w:rFonts w:ascii="Times New Roman" w:hAnsi="Times New Roman"/>
          <w:color w:val="000000"/>
          <w:sz w:val="20"/>
        </w:rPr>
        <w:t> </w:t>
      </w:r>
    </w:p>
    <w:p>
      <w:pPr>
        <w:pStyle w:val="TextBody"/>
        <w:bidi w:val="0"/>
        <w:spacing w:before="120" w:after="283"/>
        <w:jc w:val="center"/>
        <w:rPr>
          <w:rFonts w:ascii="Arial" w:hAnsi="Arial"/>
          <w:color w:val="000000"/>
          <w:sz w:val="20"/>
        </w:rPr>
      </w:pPr>
      <w:r>
        <w:rPr>
          <w:rFonts w:ascii="Arial" w:hAnsi="Arial"/>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an aggregate of three drug-related AEs, which AEs included two fevers and one headache, all of which were mild (grade 1). There were no severe (grade 3 or higher) TEAEs reported. In addition, there were no SAEs, dose-limiting toxicities, AEs based on liver function abnormalities, or SUSARs. The most common adverse events observed were headache or fever, with five occurrences of each and a majority were not deemed related to OD-001. Headache and fever occurred sporadically throughout the OD-001 induction period, none led to dosing interruption or discontinuation, and all resolved with continued dosing. Three patients discontinued treatment for reasons unrelated to study drug. The first was a patient in Ukraine who left the country and the other two were patients who withdrew consent. One patient who completed dosing in part 2 was not evaluable due to non-adherence to the trial protocol.</w:t>
      </w:r>
    </w:p>
    <w:p>
      <w:pPr>
        <w:pStyle w:val="TextBody"/>
        <w:bidi w:val="0"/>
        <w:spacing w:before="240" w:after="283"/>
        <w:jc w:val="center"/>
        <w:rPr>
          <w:rFonts w:ascii="Times New Roman" w:hAnsi="Times New Roman"/>
          <w:sz w:val="20"/>
        </w:rPr>
      </w:pPr>
      <w:r>
        <w:rPr>
          <w:rFonts w:ascii="Arial" w:hAnsi="Arial"/>
          <w:b/>
          <w:color w:val="000000"/>
          <w:sz w:val="20"/>
        </w:rPr>
        <w:t>Summary of Safety and Tolerability in All Part 1 and Part 2 Patients</w:t>
      </w:r>
      <w:r>
        <w:rPr>
          <w:rFonts w:ascii="Times New Roman" w:hAnsi="Times New Roman"/>
          <w:color w:val="000000"/>
          <w:sz w:val="20"/>
        </w:rPr>
        <w:t xml:space="preserve"> </w:t>
      </w:r>
      <w:r>
        <w:rPr>
          <w:rFonts w:ascii="Arial" w:hAnsi="Arial"/>
          <w:b/>
          <w:color w:val="000000"/>
          <w:sz w:val="20"/>
        </w:rPr>
        <w:t>Enrolled</w:t>
      </w:r>
    </w:p>
    <w:p>
      <w:pPr>
        <w:pStyle w:val="TextBody"/>
        <w:bidi w:val="0"/>
        <w:jc w:val="center"/>
        <w:rPr/>
      </w:pPr>
      <w:r>
        <w:rPr/>
        <w:t> </w:t>
      </w:r>
    </w:p>
    <w:p>
      <w:pPr>
        <w:pStyle w:val="TextBody"/>
        <w:bidi w:val="0"/>
        <w:jc w:val="center"/>
        <w:rPr/>
      </w:pPr>
      <w:r>
        <w:rPr/>
        <w:drawing>
          <wp:inline distT="0" distB="0" distL="0" distR="0">
            <wp:extent cx="6581775" cy="3543300"/>
            <wp:effectExtent l="0" t="0" r="0" b="0"/>
            <wp:docPr id="3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2" descr=""/>
                    <pic:cNvPicPr>
                      <a:picLocks noChangeAspect="1" noChangeArrowheads="1"/>
                    </pic:cNvPicPr>
                  </pic:nvPicPr>
                  <pic:blipFill>
                    <a:blip r:embed="rId33"/>
                    <a:stretch>
                      <a:fillRect/>
                    </a:stretch>
                  </pic:blipFill>
                  <pic:spPr bwMode="auto">
                    <a:xfrm>
                      <a:off x="0" y="0"/>
                      <a:ext cx="6581775" cy="3543300"/>
                    </a:xfrm>
                    <a:prstGeom prst="rect">
                      <a:avLst/>
                    </a:prstGeom>
                  </pic:spPr>
                </pic:pic>
              </a:graphicData>
            </a:graphic>
          </wp:inline>
        </w:drawing>
      </w:r>
    </w:p>
    <w:p>
      <w:pPr>
        <w:pStyle w:val="TextBody"/>
        <w:bidi w:val="0"/>
        <w:ind w:left="0" w:right="0" w:firstLine="619"/>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Evidence of clinical benefit was observed in both AT-experienced and AT-naïve patients. The primary endpoint, change in MMCS, was met in the trial. Specifically, in the 49 patients evaluable for the primary efficacy analysis per protocol, we observed a clinically meaningful reduction in disease activity, with a mean reduction in MMCS from baseline of 2.6 (</w:t>
      </w:r>
      <w:r>
        <w:rPr>
          <w:rFonts w:ascii="Arial" w:hAnsi="Arial"/>
          <w:i/>
          <w:color w:val="000000"/>
          <w:sz w:val="20"/>
        </w:rPr>
        <w:t xml:space="preserve">p </w:t>
      </w:r>
      <w:r>
        <w:rPr>
          <w:rFonts w:ascii="Arial" w:hAnsi="Arial"/>
          <w:color w:val="000000"/>
          <w:sz w:val="20"/>
        </w:rPr>
        <w:t>&lt; 0.001) points. Both part 1 and part 2 also independently met the primary endpoint, with mean reduction in MMCS from baseline of 3.1 (</w:t>
      </w:r>
      <w:r>
        <w:rPr>
          <w:rFonts w:ascii="Arial" w:hAnsi="Arial"/>
          <w:i/>
          <w:color w:val="000000"/>
          <w:sz w:val="20"/>
        </w:rPr>
        <w:t>p</w:t>
      </w:r>
      <w:r>
        <w:rPr>
          <w:rFonts w:ascii="Arial" w:hAnsi="Arial"/>
          <w:color w:val="000000"/>
          <w:sz w:val="20"/>
        </w:rPr>
        <w:t>=0.004) and 2.5 (</w:t>
      </w:r>
      <w:r>
        <w:rPr>
          <w:rFonts w:ascii="Arial" w:hAnsi="Arial"/>
          <w:i/>
          <w:color w:val="000000"/>
          <w:sz w:val="20"/>
        </w:rPr>
        <w:t>p</w:t>
      </w:r>
      <w:r>
        <w:rPr>
          <w:rFonts w:ascii="Times New Roman" w:hAnsi="Times New Roman"/>
          <w:color w:val="000000"/>
          <w:sz w:val="20"/>
        </w:rPr>
        <w:t xml:space="preserve"> </w:t>
      </w:r>
      <w:r>
        <w:rPr>
          <w:rFonts w:ascii="Arial" w:hAnsi="Arial"/>
          <w:color w:val="000000"/>
          <w:sz w:val="20"/>
        </w:rPr>
        <w:t>&lt; 0.001) points, respectively.</w:t>
      </w:r>
    </w:p>
    <w:p>
      <w:pPr>
        <w:pStyle w:val="TextBody"/>
        <w:bidi w:val="0"/>
        <w:spacing w:before="120" w:after="283"/>
        <w:ind w:left="0" w:right="0" w:firstLine="619"/>
        <w:jc w:val="left"/>
        <w:rPr>
          <w:rFonts w:ascii="Arial" w:hAnsi="Arial"/>
          <w:color w:val="000000"/>
          <w:sz w:val="20"/>
        </w:rPr>
      </w:pPr>
      <w:r>
        <w:rPr>
          <w:rFonts w:ascii="Arial" w:hAnsi="Arial"/>
          <w:color w:val="000000"/>
          <w:sz w:val="20"/>
        </w:rPr>
        <w:t>In a combined analysis of part 1 and part 2, 27% of patients achieved clinical remission, defined as a three-component MMCS score ≤ 2 (stool frequency subscore (SFS) ≤ 1, rectal bleeding subscore (RBS) = 0, and MES ≤ 1) at week 12. In the combined dataset, 33% of patients achieved endoscopic improvement, defined as MES ≤ 1, 47% of patients achieved symptomatic remission, defined as SFS ≤1 and RBS = 0, and 61% of patients achieved clinical response, defined as a decrease in MMCS of ≥ 2 points from baseline. In addition, 22% of patients achieved HEMI, defined as a MES ≤ 1 and Geboes score of ≤ 3.1. Of the patients who achieved clinical remission 62% also achieved HEMI. With respect to concomitant steroid use, of the eight patients in part 1, none were treated with concomitant steroids, and 27% of the 41 patients in part 2 were taking concomitant steroids. The overall rate of concomitant steroid use in the 49 evaluable patients was 22%.</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the figure below, we have compared our results across key secondary and exploratory endpoints to historical placebo rates reported.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center"/>
        <w:rPr>
          <w:rFonts w:ascii="Arial" w:hAnsi="Arial"/>
          <w:b/>
          <w:color w:val="000000"/>
          <w:sz w:val="20"/>
        </w:rPr>
      </w:pPr>
      <w:r>
        <w:rPr>
          <w:rFonts w:ascii="Arial" w:hAnsi="Arial"/>
          <w:b/>
          <w:color w:val="000000"/>
          <w:sz w:val="20"/>
        </w:rPr>
        <w:t>Summary of Secondary and Exploratory Efficacy Endpoints at Week 12 (Parts 1 and 2 Combined)</w:t>
      </w:r>
    </w:p>
    <w:p>
      <w:pPr>
        <w:pStyle w:val="TextBody"/>
        <w:bidi w:val="0"/>
        <w:jc w:val="center"/>
        <w:rPr/>
      </w:pPr>
      <w:r>
        <w:rPr/>
        <w:drawing>
          <wp:inline distT="0" distB="0" distL="0" distR="0">
            <wp:extent cx="5867400" cy="3390900"/>
            <wp:effectExtent l="0" t="0" r="0" b="0"/>
            <wp:docPr id="3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3" descr=""/>
                    <pic:cNvPicPr>
                      <a:picLocks noChangeAspect="1" noChangeArrowheads="1"/>
                    </pic:cNvPicPr>
                  </pic:nvPicPr>
                  <pic:blipFill>
                    <a:blip r:embed="rId34"/>
                    <a:stretch>
                      <a:fillRect/>
                    </a:stretch>
                  </pic:blipFill>
                  <pic:spPr bwMode="auto">
                    <a:xfrm>
                      <a:off x="0" y="0"/>
                      <a:ext cx="5867400" cy="33909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Historic placebo benchmarks are derived from contemporary post-PoC UC trials run between 2020-2025; average of placebo group clinical remission is 10% across 11 phase 2 and phase 3 trials, and analysis represents 3,012 total patients and 820 placebo-treated patients; average of placebo group endoscopic improvement is 15% across 10 phase 2 and phase 3 trials, and analysis represents 2,920 total patients and 789 placebo-treated patients; average of placebo group symptomatic remission is 18% across five phase 2 and phase 3 trials, and analysis represents 1,872 total patients and 517 placebo-treated patients; average of placebo group clinical response is 37% across nine phase 2 and phase 3 trials, and analysis represents 2,633 total patients and 726 placebo-treated patients; average of placebo HEMI is 10% across eight phase 2 and phase 3 trials, and analysis represents 2,565 total patients and 676 placebo-treated patients. Our internal assessment of historic placebo rate is supported by third-party publications assessing placebo rates using individual patient data, including the 2025 article titled “Placebo Rates in Randomized Clinical Trials of Ulcerative Colitis: An Individual Patient Data Meta-Analysis,” published in Volume 19, Issue 10 of the Journal of Crohn’s and Colitis, which derived a 9% placebo clinical remission rate estimate and a 33% placebo clinical response rate estimate.</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Similar activity was observed across secondary and exploratory efficacy measures in part 1 and part 2 of the trial suggesting both meet or exceed drug exposure levels necessary for maximal therapeutic benefit from RIPK2 scaffolding inhibition.</w:t>
      </w:r>
    </w:p>
    <w:p>
      <w:pPr>
        <w:pStyle w:val="TextBody"/>
        <w:bidi w:val="0"/>
        <w:spacing w:before="120" w:after="283"/>
        <w:jc w:val="center"/>
        <w:rPr>
          <w:rFonts w:ascii="Arial" w:hAnsi="Arial"/>
          <w:color w:val="000000"/>
          <w:sz w:val="20"/>
        </w:rPr>
      </w:pPr>
      <w:r>
        <w:rPr>
          <w:rFonts w:ascii="Arial" w:hAnsi="Arial"/>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Arial" w:hAnsi="Arial"/>
          <w:b/>
          <w:color w:val="000000"/>
          <w:sz w:val="20"/>
        </w:rPr>
      </w:pPr>
      <w:r>
        <w:rPr>
          <w:rFonts w:ascii="Arial" w:hAnsi="Arial"/>
          <w:b/>
          <w:color w:val="000000"/>
          <w:sz w:val="20"/>
        </w:rPr>
        <w:t>Summary of Secondary and Exploratory Efficacy Endpoints in Part 1 and Part 2 Patients</w:t>
      </w:r>
    </w:p>
    <w:p>
      <w:pPr>
        <w:pStyle w:val="TextBody"/>
        <w:bidi w:val="0"/>
        <w:jc w:val="center"/>
        <w:rPr/>
      </w:pPr>
      <w:r>
        <w:rPr/>
        <w:t> </w:t>
      </w:r>
    </w:p>
    <w:p>
      <w:pPr>
        <w:pStyle w:val="TextBody"/>
        <w:bidi w:val="0"/>
        <w:jc w:val="center"/>
        <w:rPr/>
      </w:pPr>
      <w:r>
        <w:rPr/>
        <w:drawing>
          <wp:inline distT="0" distB="0" distL="0" distR="0">
            <wp:extent cx="6477000" cy="3171825"/>
            <wp:effectExtent l="0" t="0" r="0" b="0"/>
            <wp:docPr id="3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4" descr=""/>
                    <pic:cNvPicPr>
                      <a:picLocks noChangeAspect="1" noChangeArrowheads="1"/>
                    </pic:cNvPicPr>
                  </pic:nvPicPr>
                  <pic:blipFill>
                    <a:blip r:embed="rId35"/>
                    <a:stretch>
                      <a:fillRect/>
                    </a:stretch>
                  </pic:blipFill>
                  <pic:spPr bwMode="auto">
                    <a:xfrm>
                      <a:off x="0" y="0"/>
                      <a:ext cx="6477000" cy="3171825"/>
                    </a:xfrm>
                    <a:prstGeom prst="rect">
                      <a:avLst/>
                    </a:prstGeom>
                  </pic:spPr>
                </pic:pic>
              </a:graphicData>
            </a:graphic>
          </wp:inline>
        </w:drawing>
      </w:r>
    </w:p>
    <w:p>
      <w:pPr>
        <w:pStyle w:val="TextBody"/>
        <w:bidi w:val="0"/>
        <w:jc w:val="center"/>
        <w:rPr/>
      </w:pPr>
      <w:r>
        <w:rPr/>
        <w:t> </w:t>
      </w:r>
    </w:p>
    <w:p>
      <w:pPr>
        <w:pStyle w:val="TextBody"/>
        <w:bidi w:val="0"/>
        <w:ind w:left="0" w:right="0" w:firstLine="619"/>
        <w:jc w:val="left"/>
        <w:rPr>
          <w:rFonts w:ascii="Times New Roman" w:hAnsi="Times New Roman"/>
          <w:sz w:val="20"/>
        </w:rPr>
      </w:pPr>
      <w:r>
        <w:rPr>
          <w:rFonts w:ascii="Arial" w:hAnsi="Arial"/>
          <w:color w:val="000000"/>
          <w:sz w:val="20"/>
        </w:rPr>
        <w:t>In addition, we have assessed the clinical remission rate in patients who are AT naïve and AT experienced as reflected in the figure below which we benchmark to historical placebo rates observed in contemporary phase 2 and phase 3 trials of approved or investigational adaptive therapies for UC for which we identified a breakdown of results into AT naïve and AT experienced patient populations. We believe that our results broken out by prior AT-exposure are an important consideration in assessing OD-001. First, we have observed a similar overall clinical remission rate in AT-naïve and AT-experienced patients which we believe suggests the innate immune mechanism of our drug may overcome resistance to existing adaptive immune targeted therapies. Activated innate immune cells, for example inflammatory monocytes, are commonly elevated in patients who have developed resistance to standard of care therapies and these cells highly express RIPK2. Innate immune cells are the key cell types targeted by OD-001 and targeting these cell types provides a mechanistic hypothesis for the use of OD-001 in patients who have previously failed an advanced therapy. Second, historic placebo response rates are significantly lower in AT-experienced patients, on the order of 3% in this historic placebo dataset, suggesting the clinical remission rate observed with OD-001 in the AT-experienced patient subset is unlikely to be explained by a placebo effect. In addition to the four clinical remissions observed in the AT-experienced population, an additional patient had endoscopic improvement, for a combined clinical remission and endoscopic improvement rate of 31%.</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Arial" w:hAnsi="Arial"/>
          <w:b/>
          <w:color w:val="000000"/>
          <w:sz w:val="20"/>
        </w:rPr>
      </w:pPr>
      <w:r>
        <w:rPr>
          <w:rFonts w:ascii="Arial" w:hAnsi="Arial"/>
          <w:b/>
          <w:color w:val="000000"/>
          <w:sz w:val="20"/>
        </w:rPr>
        <w:t>Clinical Remission With OD-001 in AT-Experienced (n=16) and AT-Naïve (n=33) Patients</w:t>
      </w:r>
    </w:p>
    <w:p>
      <w:pPr>
        <w:pStyle w:val="TextBody"/>
        <w:bidi w:val="0"/>
        <w:jc w:val="center"/>
        <w:rPr/>
      </w:pPr>
      <w:r>
        <w:rPr/>
        <w:t> </w:t>
      </w:r>
    </w:p>
    <w:p>
      <w:pPr>
        <w:pStyle w:val="TextBody"/>
        <w:bidi w:val="0"/>
        <w:jc w:val="center"/>
        <w:rPr/>
      </w:pPr>
      <w:r>
        <w:rPr/>
        <w:drawing>
          <wp:inline distT="0" distB="0" distL="0" distR="0">
            <wp:extent cx="4676775" cy="3209925"/>
            <wp:effectExtent l="0" t="0" r="0" b="0"/>
            <wp:docPr id="3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5" descr=""/>
                    <pic:cNvPicPr>
                      <a:picLocks noChangeAspect="1" noChangeArrowheads="1"/>
                    </pic:cNvPicPr>
                  </pic:nvPicPr>
                  <pic:blipFill>
                    <a:blip r:embed="rId36"/>
                    <a:stretch>
                      <a:fillRect/>
                    </a:stretch>
                  </pic:blipFill>
                  <pic:spPr bwMode="auto">
                    <a:xfrm>
                      <a:off x="0" y="0"/>
                      <a:ext cx="4676775" cy="3209925"/>
                    </a:xfrm>
                    <a:prstGeom prst="rect">
                      <a:avLst/>
                    </a:prstGeom>
                  </pic:spPr>
                </pic:pic>
              </a:graphicData>
            </a:graphic>
          </wp:inline>
        </w:drawing>
      </w:r>
    </w:p>
    <w:p>
      <w:pPr>
        <w:pStyle w:val="TextBody"/>
        <w:bidi w:val="0"/>
        <w:ind w:left="0" w:right="0" w:firstLine="720"/>
        <w:jc w:val="center"/>
        <w:rPr/>
      </w:pPr>
      <w:r>
        <w:rPr/>
        <w:t> </w:t>
      </w:r>
    </w:p>
    <w:p>
      <w:pPr>
        <w:pStyle w:val="TextBody"/>
        <w:bidi w:val="0"/>
        <w:jc w:val="center"/>
        <w:rPr>
          <w:rFonts w:ascii="Times New Roman" w:hAnsi="Times New Roman"/>
          <w:sz w:val="20"/>
        </w:rPr>
      </w:pPr>
      <w:r>
        <w:rPr>
          <w:rFonts w:ascii="Arial" w:hAnsi="Arial"/>
          <w:i/>
          <w:color w:val="000000"/>
          <w:sz w:val="20"/>
        </w:rPr>
        <w:t>OD-001 results are consolidated from both part 1 and part 2. The historic placebo rate presented in this figure reflects the weighted average of the placebo rates from the phase 2a and 2b trials of MORF-057, phase 2b duvakitug trial, and phase 3 trials of obefazimod from their conference presentations or paper publications and RINVOQ</w:t>
      </w:r>
      <w:r>
        <w:rPr>
          <w:rFonts w:ascii="Arial" w:hAnsi="Arial"/>
          <w:color w:val="000000"/>
          <w:sz w:val="13"/>
        </w:rPr>
        <w:t>®</w:t>
      </w:r>
      <w:r>
        <w:rPr>
          <w:rFonts w:ascii="Times New Roman" w:hAnsi="Times New Roman"/>
          <w:color w:val="000000"/>
          <w:sz w:val="20"/>
        </w:rPr>
        <w:t xml:space="preserve"> </w:t>
      </w:r>
      <w:r>
        <w:rPr>
          <w:rFonts w:ascii="Arial" w:hAnsi="Arial"/>
          <w:i/>
          <w:color w:val="000000"/>
          <w:sz w:val="20"/>
        </w:rPr>
        <w:t>phase 3 trials in UC as presented in their FDA label. The placebo comparator trial dataset represents 406 placebo-treated AT-naïve and 353 placebo-treated AT-experienced patients.</w:t>
      </w:r>
    </w:p>
    <w:p>
      <w:pPr>
        <w:pStyle w:val="TextBody"/>
        <w:bidi w:val="0"/>
        <w:spacing w:before="120" w:after="283"/>
        <w:ind w:left="0" w:right="0" w:firstLine="619"/>
        <w:jc w:val="left"/>
        <w:rPr>
          <w:rFonts w:ascii="Arial" w:hAnsi="Arial"/>
          <w:color w:val="000000"/>
          <w:sz w:val="20"/>
        </w:rPr>
      </w:pPr>
      <w:r>
        <w:rPr>
          <w:rFonts w:ascii="Arial" w:hAnsi="Arial"/>
          <w:color w:val="000000"/>
          <w:sz w:val="20"/>
        </w:rPr>
        <w:t>Fecal calprotectin is a validated biomarker used to detect gastrointestinal inflammation and assess disease severity in UC. Below we detail the change in median fecal calprotectin from screening to week 12 observed in patients who achieved clinical remission, clinical response, or who had no response. Consistent with the efficacy endpoints detailed above, we observed a reduction in fecal calprotectin in patients who achieved clinical remission to normal levels and a reduction in patients with clinical response. Across all three groups, we observed a similar baseline level of fecal calprotectin suggesting similar disease severity in patients at screening who had clinical benefit or not.</w:t>
      </w:r>
    </w:p>
    <w:p>
      <w:pPr>
        <w:pStyle w:val="TextBody"/>
        <w:bidi w:val="0"/>
        <w:spacing w:before="120" w:after="283"/>
        <w:ind w:left="0" w:right="0" w:firstLine="720"/>
        <w:jc w:val="left"/>
        <w:rPr/>
      </w:pPr>
      <w:r>
        <w:rPr/>
        <w:t> </w:t>
      </w:r>
    </w:p>
    <w:p>
      <w:pPr>
        <w:pStyle w:val="TextBody"/>
        <w:bidi w:val="0"/>
        <w:jc w:val="center"/>
        <w:rPr/>
      </w:pPr>
      <w:r>
        <w:rPr/>
        <w:drawing>
          <wp:inline distT="0" distB="0" distL="0" distR="0">
            <wp:extent cx="4610100" cy="2924175"/>
            <wp:effectExtent l="0" t="0" r="0" b="0"/>
            <wp:docPr id="3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6" descr=""/>
                    <pic:cNvPicPr>
                      <a:picLocks noChangeAspect="1" noChangeArrowheads="1"/>
                    </pic:cNvPicPr>
                  </pic:nvPicPr>
                  <pic:blipFill>
                    <a:blip r:embed="rId37"/>
                    <a:stretch>
                      <a:fillRect/>
                    </a:stretch>
                  </pic:blipFill>
                  <pic:spPr bwMode="auto">
                    <a:xfrm>
                      <a:off x="0" y="0"/>
                      <a:ext cx="4610100" cy="2924175"/>
                    </a:xfrm>
                    <a:prstGeom prst="rect">
                      <a:avLst/>
                    </a:prstGeom>
                  </pic:spPr>
                </pic:pic>
              </a:graphicData>
            </a:graphic>
          </wp:inline>
        </w:drawing>
      </w:r>
    </w:p>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ind w:left="0" w:right="0" w:firstLine="619"/>
        <w:jc w:val="left"/>
        <w:rPr>
          <w:rFonts w:ascii="Arial" w:hAnsi="Arial"/>
          <w:color w:val="000000"/>
          <w:sz w:val="20"/>
        </w:rPr>
      </w:pPr>
      <w:r>
        <w:rPr>
          <w:rFonts w:ascii="Arial" w:hAnsi="Arial"/>
          <w:color w:val="000000"/>
          <w:sz w:val="20"/>
        </w:rPr>
        <w:t>In a symptomatic disease such as UC, the time for onset to benefit is important for patient acceptance and compliance with a therapy. In the figure below, we show the time course for symptomatic improvement based on patient reported blood in stool, one of the two components of the PRO-2 score. As shown in the figure below, patients who achieved either clinical remission or clinical response had a rapid reduction in their daily bleeding scores by week 2 with continued reduction in bleeding score through induction treatment with OD-001.</w:t>
      </w:r>
    </w:p>
    <w:p>
      <w:pPr>
        <w:pStyle w:val="TextBody"/>
        <w:bidi w:val="0"/>
        <w:ind w:left="0" w:right="0" w:firstLine="619"/>
        <w:jc w:val="left"/>
        <w:rPr/>
      </w:pPr>
      <w:r>
        <w:rPr/>
        <w:t> </w:t>
      </w:r>
    </w:p>
    <w:p>
      <w:pPr>
        <w:pStyle w:val="TextBody"/>
        <w:bidi w:val="0"/>
        <w:jc w:val="center"/>
        <w:rPr/>
      </w:pPr>
      <w:r>
        <w:rPr/>
        <w:drawing>
          <wp:inline distT="0" distB="0" distL="0" distR="0">
            <wp:extent cx="5791200" cy="3076575"/>
            <wp:effectExtent l="0" t="0" r="0" b="0"/>
            <wp:docPr id="3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7" descr=""/>
                    <pic:cNvPicPr>
                      <a:picLocks noChangeAspect="1" noChangeArrowheads="1"/>
                    </pic:cNvPicPr>
                  </pic:nvPicPr>
                  <pic:blipFill>
                    <a:blip r:embed="rId38"/>
                    <a:stretch>
                      <a:fillRect/>
                    </a:stretch>
                  </pic:blipFill>
                  <pic:spPr bwMode="auto">
                    <a:xfrm>
                      <a:off x="0" y="0"/>
                      <a:ext cx="5791200" cy="3076575"/>
                    </a:xfrm>
                    <a:prstGeom prst="rect">
                      <a:avLst/>
                    </a:prstGeom>
                  </pic:spPr>
                </pic:pic>
              </a:graphicData>
            </a:graphic>
          </wp:inline>
        </w:drawing>
      </w:r>
    </w:p>
    <w:p>
      <w:pPr>
        <w:pStyle w:val="TextBody"/>
        <w:bidi w:val="0"/>
        <w:ind w:left="0" w:right="0" w:firstLine="619"/>
        <w:jc w:val="left"/>
        <w:rPr/>
      </w:pPr>
      <w:r>
        <w:rPr/>
        <w:t> </w:t>
      </w:r>
    </w:p>
    <w:p>
      <w:pPr>
        <w:pStyle w:val="TextBody"/>
        <w:bidi w:val="0"/>
        <w:ind w:left="0" w:right="0" w:firstLine="619"/>
        <w:jc w:val="left"/>
        <w:rPr>
          <w:rFonts w:ascii="Arial" w:hAnsi="Arial"/>
          <w:color w:val="000000"/>
          <w:sz w:val="20"/>
        </w:rPr>
      </w:pPr>
      <w:r>
        <w:rPr>
          <w:rFonts w:ascii="Arial" w:hAnsi="Arial"/>
          <w:color w:val="000000"/>
          <w:sz w:val="20"/>
        </w:rPr>
        <w:t>Below we provide additional granularity on two AT-experienced patients who achieved clinical remission during OD-001 treatment. While these results cannot be extrapolated to all patients treated during this trial, or future trials, we believe the temporal characteristics of patient reported outcomes are important to understand the overall trial results.</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Patient A is a 44-year-old male located in Australia who has a 13-year history of UC and prior exposure to anti-TNF therapy. This patient had a MES of 2 and MMCS of 6 at screening and was not treated with concomitant steroids during OD-001 induction. At the end of the 12-week OD-001 treatment period, Patient A reached clinical remission, HEMI, and endoscopic remission (MES=0). During screening, Patient A had blood in his stool &gt; 80% of days and, after two weeks of treatment, only had bleeding reported on one day in the following 10 weeks. Bleeding is a sign of mucosal damage that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underlies IBD. This data is supported by histologic assessment at week 12, where one can observe an intact mucosal barrier and no neutrophil infiltrate, an innate immune cell type involved in mucosal damage.</w:t>
      </w:r>
    </w:p>
    <w:p>
      <w:pPr>
        <w:pStyle w:val="TextBody"/>
        <w:bidi w:val="0"/>
        <w:spacing w:before="240" w:after="283"/>
        <w:jc w:val="center"/>
        <w:rPr/>
      </w:pPr>
      <w:r>
        <w:rPr/>
        <w:drawing>
          <wp:inline distT="0" distB="0" distL="0" distR="0">
            <wp:extent cx="3638550" cy="4400550"/>
            <wp:effectExtent l="0" t="0" r="0" b="0"/>
            <wp:docPr id="3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8" descr=""/>
                    <pic:cNvPicPr>
                      <a:picLocks noChangeAspect="1" noChangeArrowheads="1"/>
                    </pic:cNvPicPr>
                  </pic:nvPicPr>
                  <pic:blipFill>
                    <a:blip r:embed="rId39"/>
                    <a:stretch>
                      <a:fillRect/>
                    </a:stretch>
                  </pic:blipFill>
                  <pic:spPr bwMode="auto">
                    <a:xfrm>
                      <a:off x="0" y="0"/>
                      <a:ext cx="3638550" cy="4400550"/>
                    </a:xfrm>
                    <a:prstGeom prst="rect">
                      <a:avLst/>
                    </a:prstGeom>
                  </pic:spPr>
                </pic:pic>
              </a:graphicData>
            </a:graphic>
          </wp:inline>
        </w:drawing>
      </w:r>
    </w:p>
    <w:p>
      <w:pPr>
        <w:pStyle w:val="TextBody"/>
        <w:bidi w:val="0"/>
        <w:ind w:left="0" w:right="0" w:firstLine="619"/>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Patient B is a 55-year-old female located in Canada with a five-year history of UC and prior exposure to two advanced therapies, an anti-IL-23 and a S1P1 inhibitor. Patient B had an MES of 2 and an MMCS of 5 at screening. At the end of the 12-week OD-001 treatment period, Patient B had reached clinical remission and HEMI. However, approximately four weeks after stopping treatment with OD-001 and initiation of treatment with vedolizumab, Patient B experienced rapid worsening of her UC symptoms. At week 18, Patient B's PRO-2 score reached 5 and the investigator discontinued the patient from the trial so she could be treated with another approved therapy. We believe Patient B's results are helpful to assess the effects of OD-001 for two reasons. First, the remission Patient B achieved during OD-001 treatment is unlikely to be driven by a placebo effect given she lost response when OD-001 was stopped and subsequent induction treatment with vedolizumab, an approved agent, started. Second, this result can potentially illustrate the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differentiation of targeting RIPK2, an upstream component of the inflammatory process as compared to a downstream adaptive mechanism.</w:t>
      </w:r>
    </w:p>
    <w:p>
      <w:pPr>
        <w:pStyle w:val="TextBody"/>
        <w:bidi w:val="0"/>
        <w:spacing w:before="240" w:after="283"/>
        <w:jc w:val="center"/>
        <w:rPr/>
      </w:pPr>
      <w:r>
        <w:rPr/>
        <w:drawing>
          <wp:inline distT="0" distB="0" distL="0" distR="0">
            <wp:extent cx="6276975" cy="2647950"/>
            <wp:effectExtent l="0" t="0" r="0" b="0"/>
            <wp:docPr id="4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9" descr=""/>
                    <pic:cNvPicPr>
                      <a:picLocks noChangeAspect="1" noChangeArrowheads="1"/>
                    </pic:cNvPicPr>
                  </pic:nvPicPr>
                  <pic:blipFill>
                    <a:blip r:embed="rId40"/>
                    <a:stretch>
                      <a:fillRect/>
                    </a:stretch>
                  </pic:blipFill>
                  <pic:spPr bwMode="auto">
                    <a:xfrm>
                      <a:off x="0" y="0"/>
                      <a:ext cx="6276975" cy="2647950"/>
                    </a:xfrm>
                    <a:prstGeom prst="rect">
                      <a:avLst/>
                    </a:prstGeom>
                  </pic:spPr>
                </pic:pic>
              </a:graphicData>
            </a:graphic>
          </wp:inline>
        </w:drawing>
      </w:r>
    </w:p>
    <w:p>
      <w:pPr>
        <w:pStyle w:val="TextBody"/>
        <w:bidi w:val="0"/>
        <w:ind w:left="0" w:right="0" w:firstLine="619"/>
        <w:jc w:val="left"/>
        <w:rPr/>
      </w:pPr>
      <w:r>
        <w:rPr/>
        <w:t> </w:t>
      </w:r>
    </w:p>
    <w:p>
      <w:pPr>
        <w:pStyle w:val="TextBody"/>
        <w:bidi w:val="0"/>
        <w:ind w:left="0" w:right="0" w:firstLine="619"/>
        <w:jc w:val="left"/>
        <w:rPr>
          <w:rFonts w:ascii="Arial" w:hAnsi="Arial"/>
          <w:color w:val="000000"/>
          <w:sz w:val="20"/>
        </w:rPr>
      </w:pPr>
      <w:r>
        <w:rPr>
          <w:rFonts w:ascii="Arial" w:hAnsi="Arial"/>
          <w:color w:val="000000"/>
          <w:sz w:val="20"/>
        </w:rPr>
        <w:t>Based on the results from this phase 2a trial, we believe OD-001 may be an effective and well-tolerated therapy for moderate-to-severe UC patients that is potentially differentiated from existing standard of care agents.</w:t>
      </w:r>
    </w:p>
    <w:p>
      <w:pPr>
        <w:pStyle w:val="TextBody"/>
        <w:bidi w:val="0"/>
        <w:ind w:left="0" w:right="0" w:firstLine="619"/>
        <w:jc w:val="left"/>
        <w:rPr/>
      </w:pPr>
      <w:r>
        <w:rPr/>
        <w:t> </w:t>
      </w:r>
    </w:p>
    <w:p>
      <w:pPr>
        <w:pStyle w:val="TextBody"/>
        <w:bidi w:val="0"/>
        <w:ind w:left="0" w:right="0" w:firstLine="619"/>
        <w:jc w:val="left"/>
        <w:rPr>
          <w:rFonts w:ascii="Arial" w:hAnsi="Arial"/>
          <w:color w:val="000000"/>
          <w:sz w:val="20"/>
        </w:rPr>
      </w:pPr>
      <w:r>
        <w:rPr>
          <w:rFonts w:ascii="Arial" w:hAnsi="Arial"/>
          <w:color w:val="000000"/>
          <w:sz w:val="20"/>
        </w:rPr>
        <w:t>Given the results observed in part 1, we elected to initiate an expansion cohort at 10 mg BID. This expansion cohort of seven patients was fully enrolled in March 2026.</w:t>
      </w:r>
    </w:p>
    <w:p>
      <w:pPr>
        <w:pStyle w:val="TextBody"/>
        <w:bidi w:val="0"/>
        <w:spacing w:before="240" w:after="283"/>
        <w:jc w:val="left"/>
        <w:rPr>
          <w:rFonts w:ascii="Arial" w:hAnsi="Arial"/>
          <w:i/>
          <w:color w:val="000000"/>
          <w:sz w:val="20"/>
        </w:rPr>
      </w:pPr>
      <w:r>
        <w:rPr>
          <w:rFonts w:ascii="Arial" w:hAnsi="Arial"/>
          <w:i/>
          <w:color w:val="000000"/>
          <w:sz w:val="20"/>
        </w:rPr>
        <w:t>Next Steps for OD-001</w:t>
      </w:r>
    </w:p>
    <w:p>
      <w:pPr>
        <w:pStyle w:val="TextBody"/>
        <w:bidi w:val="0"/>
        <w:spacing w:before="120" w:after="283"/>
        <w:ind w:left="0" w:right="0" w:firstLine="619"/>
        <w:jc w:val="left"/>
        <w:rPr>
          <w:rFonts w:ascii="Arial" w:hAnsi="Arial"/>
          <w:color w:val="000000"/>
          <w:sz w:val="20"/>
        </w:rPr>
      </w:pPr>
      <w:r>
        <w:rPr>
          <w:rFonts w:ascii="Arial" w:hAnsi="Arial"/>
          <w:color w:val="000000"/>
          <w:sz w:val="20"/>
        </w:rPr>
        <w:t>Pending discussions with regulators, we plan to advance our RIPK2 program into a phase 2b randomized, double-blind, and placebo-controlled monotherapy induction and maintenance trial and a randomized, double-blind phase 2a combination trial, with standard-of-care vedolizumab compared to vedolizumab plus placebo for induction, followed by OD-001-only monotherapy maintenance treatment in both groups.</w:t>
      </w:r>
    </w:p>
    <w:p>
      <w:pPr>
        <w:pStyle w:val="TextBody"/>
        <w:bidi w:val="0"/>
        <w:spacing w:before="120" w:after="283"/>
        <w:ind w:left="0" w:right="0" w:firstLine="619"/>
        <w:jc w:val="left"/>
        <w:rPr>
          <w:rFonts w:ascii="Arial" w:hAnsi="Arial"/>
          <w:color w:val="000000"/>
          <w:sz w:val="20"/>
        </w:rPr>
      </w:pPr>
      <w:r>
        <w:rPr>
          <w:rFonts w:ascii="Arial" w:hAnsi="Arial"/>
          <w:color w:val="000000"/>
          <w:sz w:val="20"/>
        </w:rPr>
        <w:t>The trial design of the phase 2a combination trial is not yet finalized. As of the date of this prospectus, we plan to initiate this trial in the second half of 2026 to evaluate OD-001 in combination with an integrin-blocking therapy, vedolizumab, for induction and will also evaluate OD-001 as a single-agent maintenance therapy from week 12 to week 52 in approximately 146 patients with moderate-to-severe UC. We expect to randomize patients to either OD-001 plus vedolizumab or vedolizumab plus placebo for induction over 12 weeks. After induction, all patients will be treated with OD-001 for an additional 40 weeks as part of the 52-week maintenance readout. We believe OD-001 may offer a compelling profile for prescribers and patients given its potential to be used in combination with established standard-of-care therapies during induction to potentially improve remission rates and subsequently as a well-tolerated, oral-only monotherapy for long-term maintenance. We believe this will be the first assessment of an innate plus an adaptive immune therapy for IBD and given the mechanism of RIPK2 as compared to approved or investigational therapies, that it can enable orthogonal combinations to both potentially improve efficacy and also prevent the development of resistance through targeting of inflammatory monocytes, a key cell type that is present in patients with resistance to existing advanced therapies. We selected vedolizumab as the first combination partner based on its position as a first-line advanced standard-of-care therapy for most UC patients, its favorable safety profile compared to other advanced therapies, its expected complementary mechanism of action to OD-001, its gut-restricted mechanism of action, and translational evidence supporting RIPK2 activation as a potential resistance mechanism. We are currently evaluating other potential combinations with standard of care agents, such as JAK inhibitors or TNF blockers, and may initiate additional combination studies in the future.</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currently expect to release topline combination induction results with vedolizumab from this trial in the second half of 2027. We anticipate conducting this second OD-001 phase 2a trial at approximately 100 sites globally, including in the countries and sites included in our phase 2a trial, as well as additional countries and sites in South America, North America, Western Europe, Eastern Europe, and Africa, pending submission of CTAs or an IND and approval and clearance to proceed by the applicable regulatory authorities.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Arial" w:hAnsi="Arial"/>
          <w:b/>
          <w:color w:val="000000"/>
          <w:sz w:val="20"/>
        </w:rPr>
      </w:pPr>
      <w:r>
        <w:rPr>
          <w:rFonts w:ascii="Arial" w:hAnsi="Arial"/>
          <w:b/>
          <w:color w:val="000000"/>
          <w:sz w:val="20"/>
        </w:rPr>
        <w:t>OD-001 Planned Phase 2a Combination Trial Design</w:t>
      </w:r>
    </w:p>
    <w:p>
      <w:pPr>
        <w:pStyle w:val="TextBody"/>
        <w:bidi w:val="0"/>
        <w:jc w:val="center"/>
        <w:rPr/>
      </w:pPr>
      <w:r>
        <w:rPr/>
        <w:t> </w:t>
      </w:r>
    </w:p>
    <w:p>
      <w:pPr>
        <w:pStyle w:val="TextBody"/>
        <w:bidi w:val="0"/>
        <w:jc w:val="center"/>
        <w:rPr/>
      </w:pPr>
      <w:r>
        <w:rPr/>
        <w:drawing>
          <wp:inline distT="0" distB="0" distL="0" distR="0">
            <wp:extent cx="6029325" cy="3152775"/>
            <wp:effectExtent l="0" t="0" r="0" b="0"/>
            <wp:docPr id="4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0" descr=""/>
                    <pic:cNvPicPr>
                      <a:picLocks noChangeAspect="1" noChangeArrowheads="1"/>
                    </pic:cNvPicPr>
                  </pic:nvPicPr>
                  <pic:blipFill>
                    <a:blip r:embed="rId41"/>
                    <a:stretch>
                      <a:fillRect/>
                    </a:stretch>
                  </pic:blipFill>
                  <pic:spPr bwMode="auto">
                    <a:xfrm>
                      <a:off x="0" y="0"/>
                      <a:ext cx="6029325" cy="3152775"/>
                    </a:xfrm>
                    <a:prstGeom prst="rect">
                      <a:avLst/>
                    </a:prstGeom>
                  </pic:spPr>
                </pic:pic>
              </a:graphicData>
            </a:graphic>
          </wp:inline>
        </w:drawing>
      </w:r>
    </w:p>
    <w:p>
      <w:pPr>
        <w:pStyle w:val="TextBody"/>
        <w:bidi w:val="0"/>
        <w:jc w:val="center"/>
        <w:rPr/>
      </w:pPr>
      <w:r>
        <w:rPr/>
        <w:t> </w:t>
      </w:r>
    </w:p>
    <w:p>
      <w:pPr>
        <w:pStyle w:val="TextBody"/>
        <w:bidi w:val="0"/>
        <w:ind w:left="0" w:right="0" w:firstLine="619"/>
        <w:jc w:val="left"/>
        <w:rPr>
          <w:rFonts w:ascii="Arial" w:hAnsi="Arial"/>
          <w:color w:val="000000"/>
          <w:sz w:val="20"/>
        </w:rPr>
      </w:pPr>
      <w:r>
        <w:rPr>
          <w:rFonts w:ascii="Arial" w:hAnsi="Arial"/>
          <w:color w:val="000000"/>
          <w:sz w:val="20"/>
        </w:rPr>
        <w:t>The trial design of the phase 2b monotherapy trial is not yet finalized. As of the date of this prospectus, we plan to initiate a phase 2b double-blind, randomized, and placebo-controlled monotherapy trial in the second half of 2026 to evaluate OD-001 at a 10 mg BID and 20 mg BID dose compared to placebo in approximately 180 patients randomized 1:1:1 for induction. We will also assess OD-001 as single-agent maintenance therapy from week 12 to week 52.</w:t>
      </w:r>
    </w:p>
    <w:p>
      <w:pPr>
        <w:pStyle w:val="TextBody"/>
        <w:bidi w:val="0"/>
        <w:spacing w:before="120" w:after="283"/>
        <w:ind w:left="0" w:right="0" w:firstLine="619"/>
        <w:jc w:val="left"/>
        <w:rPr>
          <w:rFonts w:ascii="Arial" w:hAnsi="Arial"/>
          <w:color w:val="000000"/>
          <w:sz w:val="20"/>
        </w:rPr>
      </w:pPr>
      <w:r>
        <w:rPr>
          <w:rFonts w:ascii="Arial" w:hAnsi="Arial"/>
          <w:color w:val="000000"/>
          <w:sz w:val="20"/>
        </w:rPr>
        <w:t>We currently expect to release topline induction results from the phase 2b monotherapy trial in the second half of 2027. We anticipate conducting this trial at approximately 100 sites globally, including in the countries and sites included in our phase 2a trial, as well as additional sites in South America, North America, Western Europe, Eastern Europe, and Africa, pending submission of CTAs or an IND and approval and clearance to proceed by the applicable regulatory authorities.</w:t>
      </w:r>
    </w:p>
    <w:p>
      <w:pPr>
        <w:pStyle w:val="TextBody"/>
        <w:bidi w:val="0"/>
        <w:spacing w:before="240" w:after="283"/>
        <w:ind w:left="0" w:right="0" w:firstLine="619"/>
        <w:jc w:val="center"/>
        <w:rPr>
          <w:rFonts w:ascii="Arial" w:hAnsi="Arial"/>
          <w:b/>
          <w:color w:val="000000"/>
          <w:sz w:val="20"/>
        </w:rPr>
      </w:pPr>
      <w:r>
        <w:rPr>
          <w:rFonts w:ascii="Arial" w:hAnsi="Arial"/>
          <w:b/>
          <w:color w:val="000000"/>
          <w:sz w:val="20"/>
        </w:rPr>
        <w:t>OD-001 Planned Phase 2b Monotherapy Trial Design</w:t>
      </w:r>
    </w:p>
    <w:p>
      <w:pPr>
        <w:pStyle w:val="TextBody"/>
        <w:bidi w:val="0"/>
        <w:spacing w:before="120" w:after="283"/>
        <w:ind w:left="0" w:right="0" w:firstLine="619"/>
        <w:jc w:val="center"/>
        <w:rPr/>
      </w:pPr>
      <w:r>
        <w:rPr/>
        <w:t> </w:t>
      </w:r>
    </w:p>
    <w:p>
      <w:pPr>
        <w:pStyle w:val="TextBody"/>
        <w:bidi w:val="0"/>
        <w:spacing w:before="120" w:after="283"/>
        <w:jc w:val="center"/>
        <w:rPr/>
      </w:pPr>
      <w:r>
        <w:rPr/>
        <w:drawing>
          <wp:inline distT="0" distB="0" distL="0" distR="0">
            <wp:extent cx="6000750" cy="2809875"/>
            <wp:effectExtent l="0" t="0" r="0" b="0"/>
            <wp:docPr id="4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1" descr=""/>
                    <pic:cNvPicPr>
                      <a:picLocks noChangeAspect="1" noChangeArrowheads="1"/>
                    </pic:cNvPicPr>
                  </pic:nvPicPr>
                  <pic:blipFill>
                    <a:blip r:embed="rId42"/>
                    <a:stretch>
                      <a:fillRect/>
                    </a:stretch>
                  </pic:blipFill>
                  <pic:spPr bwMode="auto">
                    <a:xfrm>
                      <a:off x="0" y="0"/>
                      <a:ext cx="6000750" cy="2809875"/>
                    </a:xfrm>
                    <a:prstGeom prst="rect">
                      <a:avLst/>
                    </a:prstGeom>
                  </pic:spPr>
                </pic:pic>
              </a:graphicData>
            </a:graphic>
          </wp:inline>
        </w:drawing>
      </w:r>
    </w:p>
    <w:p>
      <w:pPr>
        <w:pStyle w:val="TextBody"/>
        <w:bidi w:val="0"/>
        <w:ind w:left="0" w:right="0" w:firstLine="619"/>
        <w:jc w:val="center"/>
        <w:rPr/>
      </w:pPr>
      <w:r>
        <w:rPr/>
        <w:t> </w:t>
      </w:r>
    </w:p>
    <w:p>
      <w:pPr>
        <w:pStyle w:val="TextBody"/>
        <w:bidi w:val="0"/>
        <w:spacing w:before="120" w:after="283"/>
        <w:jc w:val="center"/>
        <w:rPr>
          <w:rFonts w:ascii="Arial" w:hAnsi="Arial"/>
          <w:color w:val="000000"/>
          <w:sz w:val="20"/>
        </w:rPr>
      </w:pPr>
      <w:r>
        <w:rPr>
          <w:rFonts w:ascii="Arial" w:hAnsi="Arial"/>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As part of our clinical pharmacology activities to support the program, we are currently developing a formulation of OD-001 that we believe could enable a once-daily, or QD, dosing schedule if shown to be equivalent in a PK bridging study acceptable to relevant regulatory agencies.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Pending the completion of the ongoing monotherapy phase 2a trial of OD-001 and initiation of the phase 2a combination with vedolizumab and phase 2b monotherapy trials, we may initiate additional signal-seeking trials in other diseases we believe may be amenable to RIPK2 inhibition, including Crohn’s disease and spondyloarthritis, a type of immune-mediated arthritis that occurs in 10-39% of IBD patients.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SLC15A4</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OD-002 is an oral small-molecule SLC15A4 inhibitor product candidate currently in IND-enabling studies. SLC15A4 is a critical signaling protein in the immune response triggered by TLR7/8/9 activation from nucleic acids and nucleic acid-containing complexes. This pathway leads to the production of type I interferons and proinflammatory cytokines and chemokines, and activates pathogenic B cell proliferation. We believe that inhibition of SLC15A4 has the potential to be more effective than TLR7/8 inhibitors, which leave TLR9 unaddressed, or interferon-blocking drugs, which fail to reduce other proinflammatory cytokines or chemokines. Hence, we intend to develop our SLC15A4 inhibitor for the treatment of interferonopathies, including SLE and CLE, and other B cell-mediated autoimmune diseases.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Leveraging our AI/ML platform, we identified novel, high-quality starting points for this program in October of 2024 and rapidly advanced development, resulting in the initiation of IND-enabling studies for our development candidate, OD-002, 15 months later in January 2026. Pending an acceptable profile in these IND-enabling studies, we expect to file a CTA for this program outside of the United States in the second half of 2026 and then would expect to initiate a phase 1/2a trial with healthy participants and patients with CLE in the first half of 2027. We expect that the healthy participant portion of this trial will consist of a SAD component and a MAD component to assess safety, PK, and PD and the phase 2a portion of this trial to enroll patients with CLE and other diseases for assessment of 12-week safety and efficacy. We expect to announce results from the healthy participant portion of this trial in the second half of 2027.</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Nucleic Acids Signaling Through TLR7/8/9 Initiate and Sustain Autoimmunity</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initiation of lupus and several other autoimmune diseases is driven by the breakdown of tolerance to endogenous nucleic acids. In healthy individuals, the ability to process and clear self-nucleic acids is sufficient to limit their exposure and as a result, these molecules do not cause inflammation. However, in certain diseases, this clearance process is dysregulated and these nucleic acid autoantigens accumulate in extracellular spaces, and their increased presence results in chronic activation of the innate immune receptors expressed in monocytes, dendritic cells, plasmacytoid dendritic cells, and B cells. TLR7 and TLR8 recognize RNA, whereas TLR9 recognizes DNA. Activation of these receptors converges on a common signaling pathway with similar downstream proinflammatory responses. As a consequence, nucleic acids activate these immune cells to initiate and sustain a proinflammatory response that includes the production of type I interferons, cytokines, and chemokines, as well as B cell activation and differentiation. The latter results in the survival and expansion of autoreactive B cells that secrete autoantibodies specific for nucleic acids. These autoantibodies form immune complexes with nucleic acids that increase nucleic acid uptake by immune cells and trafficking within cells to endolysosomes where TLR7/8/9 are present, further amplifying the autoimmune response.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SLC15A4 Is a Critical Node in TLR7/8/9 Inflammatory Signaling</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SLC15A4 is an integral transmembrane protein localized to the endolysosomal membrane and is required to transduce inflammatory signals downstream of TLR7, TLR8, and TLR9. SLC15A4 functions as a signaling molecule by recruiting the protein TASL to the proximity of TLR7/8/9 receptors where it allows TASL to be phosphorylated and activated. This activation enables the recruitment of IRF5 and its subsequent phosphorylation and activation. Thereafter, IRF5 translocates to the nucleus and functions as a transcriptional activator with multiple effects.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myeloid cells, IRF5 induces production of type I interferon and proinflammatory cytokines and chemokines, including IL-12, IL-6, TNF, CXCL10, and CCL2. Sustained interferon signaling drives chronic tissue inflammation, alters immune cell differentiation states, and promotes its own production through positive feedback mechanisms. Collectively, this response promotes immune cell activation and tissue infiltration, leading to chronic inflammation and tissue injury across affected organs.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B cells, the activation of TLR7/8/9 signaling through SLC15A4 induces activation and differentiation into two disease-relevant B cell subsets, plasmablasts and age-associated B cells, or ABCs, both of which are pathogenic and increased in autoimmune diseases such as SLE. Importantly, both B cell subsets are able to produce autoantibodies against nucleic acids and other self-antigens that propagate the autoimmune response through immune complexes. This establishes a feed-forward loop. B cell activation drives autoantibody production, which enhances nucleic acid trafficking to the endolysosome, thereby sustaining TLR7/8/9 activation across multiple cell types.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b/>
          <w:color w:val="000000"/>
          <w:sz w:val="20"/>
        </w:rPr>
        <w:t>SLC15A4 Initiates Pathogenic B Cell Responses Alongside Myeloid-Derived Interferon and Cytokine Production, Linking Innate Immune Activation to Sustained Adaptive Immune Pathology</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6858000" cy="2495550"/>
            <wp:effectExtent l="0" t="0" r="0" b="0"/>
            <wp:docPr id="4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2" descr=""/>
                    <pic:cNvPicPr>
                      <a:picLocks noChangeAspect="1" noChangeArrowheads="1"/>
                    </pic:cNvPicPr>
                  </pic:nvPicPr>
                  <pic:blipFill>
                    <a:blip r:embed="rId43"/>
                    <a:stretch>
                      <a:fillRect/>
                    </a:stretch>
                  </pic:blipFill>
                  <pic:spPr bwMode="auto">
                    <a:xfrm>
                      <a:off x="0" y="0"/>
                      <a:ext cx="6858000" cy="2495550"/>
                    </a:xfrm>
                    <a:prstGeom prst="rect">
                      <a:avLst/>
                    </a:prstGeom>
                  </pic:spPr>
                </pic:pic>
              </a:graphicData>
            </a:graphic>
          </wp:inline>
        </w:drawing>
      </w:r>
    </w:p>
    <w:p>
      <w:pPr>
        <w:pStyle w:val="TextBody"/>
        <w:bidi w:val="0"/>
        <w:ind w:left="0" w:right="0" w:firstLine="619"/>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Multiple murine models have demonstrated that signaling from TLR7 and TLR9 through the SLC15A4-TASL-IRF5 axis is necessary for lupus-like disease. The table below summarizes third-party studies evaluating knockout of each of these genes in different models of lupus and showing they are protective against disease development.</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Overview of Third-Party Studies Using Knockout Animals in Murine Lupus Model</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5781675" cy="2524125"/>
            <wp:effectExtent l="0" t="0" r="0" b="0"/>
            <wp:docPr id="4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3" descr=""/>
                    <pic:cNvPicPr>
                      <a:picLocks noChangeAspect="1" noChangeArrowheads="1"/>
                    </pic:cNvPicPr>
                  </pic:nvPicPr>
                  <pic:blipFill>
                    <a:blip r:embed="rId44"/>
                    <a:stretch>
                      <a:fillRect/>
                    </a:stretch>
                  </pic:blipFill>
                  <pic:spPr bwMode="auto">
                    <a:xfrm>
                      <a:off x="0" y="0"/>
                      <a:ext cx="5781675" cy="2524125"/>
                    </a:xfrm>
                    <a:prstGeom prst="rect">
                      <a:avLst/>
                    </a:prstGeom>
                  </pic:spPr>
                </pic:pic>
              </a:graphicData>
            </a:graphic>
          </wp:inline>
        </w:drawing>
      </w:r>
    </w:p>
    <w:p>
      <w:pPr>
        <w:pStyle w:val="TextBody"/>
        <w:bidi w:val="0"/>
        <w:ind w:left="0" w:right="0" w:firstLine="619"/>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In addition, knockout studies conducted by third parties have shown that mice lacking SLC15A4 are phenotypically normal, with no development defects, changes in cell type distribution, or changes in serum clinical chemistry. Based on these third-party studies, we believe that targeting SLC15A4 pharmacologically has the potential to be safe and effective.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TLR7/8/9 Signaling Is a Driver in Lupus and Multiple Other Autoimmune Diseases in Humans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Breakdown of tolerance to nucleic acids and autoantibodies is central to the pathogenesis of multiple autoimmune diseases. Human genetic studies provide support for a pathogenic role of TLR7/8/9 pathway activation in SLE. Genetic variants, including gain-of-function mutations and common polymorphisms in genes that encode proteins across the pathway, including SLC15A4, are associated with increased risk of developing SLE and disease severity. The figure below details these genetic associations, consistent with the role that the TLR7/8/9-SLC15A4-IRF5 signaling pathway contributes to lupus.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b/>
          <w:color w:val="000000"/>
          <w:sz w:val="20"/>
        </w:rPr>
        <w:t>Overview of Third-Party Studies Using Human Genetics to Validate the Role of TLR7/8/9 Signaling in Lupus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6486525" cy="2724150"/>
            <wp:effectExtent l="0" t="0" r="0" b="0"/>
            <wp:docPr id="4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4" descr=""/>
                    <pic:cNvPicPr>
                      <a:picLocks noChangeAspect="1" noChangeArrowheads="1"/>
                    </pic:cNvPicPr>
                  </pic:nvPicPr>
                  <pic:blipFill>
                    <a:blip r:embed="rId45"/>
                    <a:stretch>
                      <a:fillRect/>
                    </a:stretch>
                  </pic:blipFill>
                  <pic:spPr bwMode="auto">
                    <a:xfrm>
                      <a:off x="0" y="0"/>
                      <a:ext cx="6486525" cy="2724150"/>
                    </a:xfrm>
                    <a:prstGeom prst="rect">
                      <a:avLst/>
                    </a:prstGeom>
                  </pic:spPr>
                </pic:pic>
              </a:graphicData>
            </a:graphic>
          </wp:inline>
        </w:drawing>
      </w:r>
    </w:p>
    <w:p>
      <w:pPr>
        <w:pStyle w:val="TextBody"/>
        <w:bidi w:val="0"/>
        <w:ind w:left="0" w:right="0" w:firstLine="619"/>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Therapeutic targeting of signaling molecules upstream, or downstream, of SLC15A4 has clinical benefit. For example, inhibitors of TLR7/8, such as enpatoran, have shown benefit in randomized and placebo-controlled phase 2 trials in CLE. Anifrolumab, which blocks interferon, is approved for the treatment of SLE. Collectively, we believe the results from third-party preclinical studies and clinical trials support our thesis that TLR7/8/9 signaling is a driver of SLE, CLE, and potentially lupus nephritis, or LN.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table below summarizes publicly available evidence for our view that increased TLR7/8/9 signaling is a contributing factor in the development of lupus and other autoimmune diseases based on the presence of autoantibodies against nucleic acids, increased interferon signaling, and pathogenic B cells.</w:t>
      </w:r>
      <w:r>
        <w:rPr>
          <w:rFonts w:ascii="Times New Roman" w:hAnsi="Times New Roman"/>
          <w:color w:val="000000"/>
          <w:sz w:val="20"/>
        </w:rPr>
        <w:t xml:space="preserve"> </w:t>
      </w:r>
    </w:p>
    <w:p>
      <w:pPr>
        <w:pStyle w:val="TextBody"/>
        <w:bidi w:val="0"/>
        <w:ind w:left="0" w:right="0" w:firstLine="619"/>
        <w:jc w:val="left"/>
        <w:rPr/>
      </w:pPr>
      <w:r>
        <w:rPr/>
        <w:t> </w:t>
      </w:r>
    </w:p>
    <w:p>
      <w:pPr>
        <w:pStyle w:val="TextBody"/>
        <w:bidi w:val="0"/>
        <w:jc w:val="center"/>
        <w:rPr/>
      </w:pPr>
      <w:r>
        <w:rPr/>
        <w:drawing>
          <wp:inline distT="0" distB="0" distL="0" distR="0">
            <wp:extent cx="6734175" cy="3324225"/>
            <wp:effectExtent l="0" t="0" r="0" b="0"/>
            <wp:docPr id="4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5" descr=""/>
                    <pic:cNvPicPr>
                      <a:picLocks noChangeAspect="1" noChangeArrowheads="1"/>
                    </pic:cNvPicPr>
                  </pic:nvPicPr>
                  <pic:blipFill>
                    <a:blip r:embed="rId46"/>
                    <a:stretch>
                      <a:fillRect/>
                    </a:stretch>
                  </pic:blipFill>
                  <pic:spPr bwMode="auto">
                    <a:xfrm>
                      <a:off x="0" y="0"/>
                      <a:ext cx="6734175" cy="332422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Limitations of Existing Therapies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Several therapeutic strategies have been pursued to interrupt nucleic acid-driven inflammatory signaling in autoimmune disease, including inhibition of TLR7/8, blockade of interferon, inhibition or degradation of IRF5, and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depletion of pathogenic B cells. We believe each of these existing approaches has inherent limitations that have constrained its effectiveness or applicability across patient populations.</w:t>
      </w:r>
      <w:r>
        <w:rPr>
          <w:rFonts w:ascii="Times New Roman" w:hAnsi="Times New Roman"/>
          <w:color w:val="000000"/>
          <w:sz w:val="20"/>
        </w:rPr>
        <w:t xml:space="preserve"> </w:t>
      </w:r>
    </w:p>
    <w:p>
      <w:pPr>
        <w:pStyle w:val="TextBody"/>
        <w:bidi w:val="0"/>
        <w:spacing w:before="240" w:after="283"/>
        <w:ind w:left="0" w:right="0" w:firstLine="612"/>
        <w:jc w:val="left"/>
        <w:rPr>
          <w:rFonts w:ascii="Times New Roman" w:hAnsi="Times New Roman"/>
          <w:sz w:val="20"/>
        </w:rPr>
      </w:pPr>
      <w:r>
        <w:rPr>
          <w:rFonts w:ascii="Arial" w:hAnsi="Arial"/>
          <w:i/>
          <w:color w:val="000000"/>
          <w:sz w:val="20"/>
          <w:u w:val="single"/>
        </w:rPr>
        <w:t>TLR7/8 Inhibitors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are aware of at least two small molecules in third-party clinical development that are designed to inhibit both TLR7 and TLR8, enpatoran and afimetoran. Each of these product candidates has generated positive efficacy data in phase 1b or 2a trials in CLE. However, the trials that tested enpatoran in patients with systemic lupus did not reach their primary efficacy endpoint. We believe this lack of efficacy results from the inability of these compounds to inhibit TLR9, which allows DNA to continue to drive activation of the TLR-SLC15A4-IRF5 signaling pathway and sustain disease.</w:t>
      </w:r>
      <w:r>
        <w:rPr>
          <w:rFonts w:ascii="Times New Roman" w:hAnsi="Times New Roman"/>
          <w:color w:val="000000"/>
          <w:sz w:val="20"/>
        </w:rPr>
        <w:t xml:space="preserve"> </w:t>
      </w:r>
    </w:p>
    <w:p>
      <w:pPr>
        <w:pStyle w:val="TextBody"/>
        <w:bidi w:val="0"/>
        <w:spacing w:before="240" w:after="283"/>
        <w:ind w:left="0" w:right="0" w:firstLine="612"/>
        <w:jc w:val="left"/>
        <w:rPr>
          <w:rFonts w:ascii="Times New Roman" w:hAnsi="Times New Roman"/>
          <w:sz w:val="20"/>
        </w:rPr>
      </w:pPr>
      <w:r>
        <w:rPr>
          <w:rFonts w:ascii="Arial" w:hAnsi="Arial"/>
          <w:i/>
          <w:color w:val="000000"/>
          <w:sz w:val="20"/>
          <w:u w:val="single"/>
        </w:rPr>
        <w:t>Interferon Blockers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One interferon blocker, anifrolumab, is currently approved for the treatment of SLE; however, in the phase 3 trials that supported approval of this drug, a majority of the patients treated did not reach a response based on the British Isles Lupus Assessment Group (BILAG)-based Composite Lupus Assessment (BICLA) of response. Moreover, the placebo-adjusted BILAG response reported from phase 3 trials was only 16%. We believe this is due to interferon blockers not reducing other proinflammatory cytokines induced by TLR7/8/9, as well as their potentially limited effect on pathogenic B cell subtypes, including ABCs and plasmablasts.</w:t>
      </w:r>
      <w:r>
        <w:rPr>
          <w:rFonts w:ascii="Times New Roman" w:hAnsi="Times New Roman"/>
          <w:color w:val="000000"/>
          <w:sz w:val="20"/>
        </w:rPr>
        <w:t xml:space="preserve"> </w:t>
      </w:r>
    </w:p>
    <w:p>
      <w:pPr>
        <w:pStyle w:val="TextBody"/>
        <w:bidi w:val="0"/>
        <w:spacing w:before="240" w:after="283"/>
        <w:ind w:left="0" w:right="0" w:firstLine="612"/>
        <w:jc w:val="left"/>
        <w:rPr>
          <w:rFonts w:ascii="Times New Roman" w:hAnsi="Times New Roman"/>
          <w:sz w:val="20"/>
        </w:rPr>
      </w:pPr>
      <w:r>
        <w:rPr>
          <w:rFonts w:ascii="Arial" w:hAnsi="Arial"/>
          <w:i/>
          <w:color w:val="000000"/>
          <w:sz w:val="20"/>
          <w:u w:val="single"/>
        </w:rPr>
        <w:t>IRF5-Targeted Therapies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are not aware of any existing clinical or safety data supporting the targeting of IRF5 to treat disease. We are aware of at least one IRF5-targeted program, KT-579, being developed by a public third-party company that entered clinical development in the first half of 2026. We believe that targeting IRF5 may be an effective approach to blocking the TLR-SLC15A4-IRF5 signaling pathway; however, IRF5 has also been shown in preclinical studies to mediate mechanisms of host defense against bacteria, fungi, and viruses independent of TLR7/8/9. We believe IRF5 inhibition represents a complementary strategy to target the interferon pathway alongside our wholly owned SLC15A4 inhibitor as different diseases, or subgroups thereof, may benefit from inhibition of additional activators of IRF5.</w:t>
      </w:r>
      <w:r>
        <w:rPr>
          <w:rFonts w:ascii="Times New Roman" w:hAnsi="Times New Roman"/>
          <w:color w:val="000000"/>
          <w:sz w:val="20"/>
        </w:rPr>
        <w:t xml:space="preserve"> </w:t>
      </w:r>
    </w:p>
    <w:p>
      <w:pPr>
        <w:pStyle w:val="TextBody"/>
        <w:bidi w:val="0"/>
        <w:ind w:left="0" w:right="0" w:firstLine="612"/>
        <w:jc w:val="left"/>
        <w:rPr/>
      </w:pPr>
      <w:r>
        <w:rPr/>
        <w:t> </w:t>
      </w:r>
    </w:p>
    <w:p>
      <w:pPr>
        <w:pStyle w:val="TextBody"/>
        <w:bidi w:val="0"/>
        <w:jc w:val="center"/>
        <w:rPr/>
      </w:pPr>
      <w:r>
        <w:rPr/>
        <w:drawing>
          <wp:inline distT="0" distB="0" distL="0" distR="0">
            <wp:extent cx="6562725" cy="4124325"/>
            <wp:effectExtent l="0" t="0" r="0" b="0"/>
            <wp:docPr id="4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6" descr=""/>
                    <pic:cNvPicPr>
                      <a:picLocks noChangeAspect="1" noChangeArrowheads="1"/>
                    </pic:cNvPicPr>
                  </pic:nvPicPr>
                  <pic:blipFill>
                    <a:blip r:embed="rId47"/>
                    <a:stretch>
                      <a:fillRect/>
                    </a:stretch>
                  </pic:blipFill>
                  <pic:spPr bwMode="auto">
                    <a:xfrm>
                      <a:off x="0" y="0"/>
                      <a:ext cx="6562725" cy="4124325"/>
                    </a:xfrm>
                    <a:prstGeom prst="rect">
                      <a:avLst/>
                    </a:prstGeom>
                  </pic:spPr>
                </pic:pic>
              </a:graphicData>
            </a:graphic>
          </wp:inline>
        </w:drawing>
      </w:r>
    </w:p>
    <w:p>
      <w:pPr>
        <w:pStyle w:val="TextBody"/>
        <w:bidi w:val="0"/>
        <w:spacing w:before="120" w:after="283"/>
        <w:jc w:val="center"/>
        <w:rPr>
          <w:rFonts w:ascii="Arial" w:hAnsi="Arial"/>
          <w:color w:val="000000"/>
          <w:sz w:val="20"/>
        </w:rPr>
      </w:pPr>
      <w:r>
        <w:rPr>
          <w:rFonts w:ascii="Arial" w:hAnsi="Arial"/>
          <w:color w:val="000000"/>
          <w:sz w:val="20"/>
        </w:rPr>
        <w:t>139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612"/>
        <w:jc w:val="left"/>
        <w:rPr>
          <w:rFonts w:ascii="Times New Roman" w:hAnsi="Times New Roman"/>
          <w:sz w:val="20"/>
        </w:rPr>
      </w:pPr>
      <w:r>
        <w:rPr>
          <w:rFonts w:ascii="Arial" w:hAnsi="Arial"/>
          <w:i/>
          <w:color w:val="000000"/>
          <w:sz w:val="20"/>
          <w:u w:val="single"/>
        </w:rPr>
        <w:t>B Cell-Directed</w:t>
      </w:r>
      <w:r>
        <w:rPr>
          <w:rFonts w:ascii="Times New Roman" w:hAnsi="Times New Roman"/>
          <w:color w:val="000000"/>
          <w:sz w:val="20"/>
          <w:u w:val="single"/>
        </w:rPr>
        <w:t xml:space="preserve"> </w:t>
      </w:r>
      <w:r>
        <w:rPr>
          <w:rFonts w:ascii="Arial" w:hAnsi="Arial"/>
          <w:i/>
          <w:color w:val="000000"/>
          <w:sz w:val="20"/>
          <w:u w:val="single"/>
        </w:rPr>
        <w:t>CAR-T Therapy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 xml:space="preserve">We are aware of multiple B cell-directed CAR-T therapies currently in clinical development. Several of these drug candidates have generated positive efficacy data for the treatment of SLE and other autoimmune diseases. However, many of these trials have generated results that raise concern about the potential for severe toxicity, including cytokine release syndrome and neurotoxicity. In addition, CAR-T requires lymphocyte-depleting conditioning regimens and there are known infection risks associated with hypogammaglobulinemia that results from these approaches. We believe these risks, together with the high cost of delivery and burden to patients involved with CAR-T therapy, will limit the use of this therapeutic approach for patients with life threatening or highly morbid autoimmune disease based on risk-benefit-cost assessments. </w:t>
      </w:r>
      <w:r>
        <w:rPr>
          <w:rFonts w:ascii="Arial" w:hAnsi="Arial"/>
          <w:i/>
          <w:color w:val="000000"/>
          <w:sz w:val="20"/>
        </w:rPr>
        <w:t>In vivo</w:t>
      </w:r>
      <w:r>
        <w:rPr>
          <w:rFonts w:ascii="Times New Roman" w:hAnsi="Times New Roman"/>
          <w:color w:val="000000"/>
          <w:sz w:val="20"/>
        </w:rPr>
        <w:t xml:space="preserve"> </w:t>
      </w:r>
      <w:r>
        <w:rPr>
          <w:rFonts w:ascii="Arial" w:hAnsi="Arial"/>
          <w:color w:val="000000"/>
          <w:sz w:val="20"/>
        </w:rPr>
        <w:t xml:space="preserve">CAR-T approaches may address some of these limitations and we are aware of </w:t>
      </w:r>
      <w:r>
        <w:rPr>
          <w:rFonts w:ascii="Arial" w:hAnsi="Arial"/>
          <w:i/>
          <w:color w:val="000000"/>
          <w:sz w:val="20"/>
        </w:rPr>
        <w:t>in vivo</w:t>
      </w:r>
      <w:r>
        <w:rPr>
          <w:rFonts w:ascii="Times New Roman" w:hAnsi="Times New Roman"/>
          <w:color w:val="000000"/>
          <w:sz w:val="20"/>
        </w:rPr>
        <w:t xml:space="preserve"> </w:t>
      </w:r>
      <w:r>
        <w:rPr>
          <w:rFonts w:ascii="Arial" w:hAnsi="Arial"/>
          <w:color w:val="000000"/>
          <w:sz w:val="20"/>
        </w:rPr>
        <w:t xml:space="preserve">CAR-T therapies currently in late preclinical or early clinical development. However, the first </w:t>
      </w:r>
      <w:r>
        <w:rPr>
          <w:rFonts w:ascii="Arial" w:hAnsi="Arial"/>
          <w:i/>
          <w:color w:val="000000"/>
          <w:sz w:val="20"/>
        </w:rPr>
        <w:t>in vivo</w:t>
      </w:r>
      <w:r>
        <w:rPr>
          <w:rFonts w:ascii="Times New Roman" w:hAnsi="Times New Roman"/>
          <w:color w:val="000000"/>
          <w:sz w:val="20"/>
        </w:rPr>
        <w:t xml:space="preserve"> </w:t>
      </w:r>
      <w:r>
        <w:rPr>
          <w:rFonts w:ascii="Arial" w:hAnsi="Arial"/>
          <w:color w:val="000000"/>
          <w:sz w:val="20"/>
        </w:rPr>
        <w:t>CAR-T IND was only cleared for human testing by the FDA in 2024, so insufficient data currently exists to assess the safety, efficacy, or durability of this approach.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Our Solution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OD-002 is designed to be an oral therapy that is appropriate for broad use across patients suffering from interferonopathies and other B cell-mediated autoimmune diseases driven by TLR7, TLR8, and TLR9 activation by nucleic acid autoantigens. By blocking SLC15A4 binding with TASL, which is critical to pathogenic signaling triggered by RNA and DNA through TLR7, TLR8, or TLR9, we believe we can address multiple mediators of autoimmune disease, including interferon and cytokine production, and B cell subtypes (while sparing healthy B cells), and the production of autoantibodies. OD-002 and structurally related compounds developed within this program are designed to block activation of IRF5 by TLR7/8/9 while sparing activation of IRF5 by bacteria, fungi, or viruses, that activate IRF5 independent of SLC15A4.</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Summary of Our Preclinical Data</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We have conducted several preclinical studies to examine the role of SLC15A4 and OD-002, and we believe our preclinical data supports the potential of OD-002 as an oral treatment to block TLR7/8/9-mediated pathogenic inflammatory responses. Our preclinical findings include data generated with OD-002 and a structurally related precursor compound, referred to as “OD-002 precursor,” which together support the mechanism and therapeutic potential of SLC15A4 inhibition.</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our preclinical studies, we observed that these compounds reduced the production of type I interferons and other proinflammatory cytokines, as well as the activation and differentiation of plasmablast and ABC subsets in response to TLR7/8/9 stimulation. The effects have been consistent across human cells collected from either healthy donors or patients with immune disease. Further, we observed the in vitro potency in human cells to be comparable with potency in murine cells. As a result, we have been able to develop PK-PD models to predict a potential efficacious dose in humans that we intend to use to inform our dose selection for a phase 1 clinical trial.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In Vitro Results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understand at an atomic resolution how our product candidate OD-002 binds to human SLC15A4. In other experiments, we determined the binding affinity to be less than 1 nM, indicating the molecule binds to the target with high affinity.</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An additional study was conducted to determine if OD-002 binding to SLC15A4 can disrupt SLC15A4 binding with TASL. As shown in the figure below, OD-002 treatment disrupted the SLC15A4-TASL interaction with an IC</w:t>
      </w:r>
      <w:r>
        <w:rPr>
          <w:rFonts w:ascii="Arial" w:hAnsi="Arial"/>
          <w:color w:val="000000"/>
          <w:sz w:val="13"/>
        </w:rPr>
        <w:t>50</w:t>
      </w:r>
      <w:r>
        <w:rPr>
          <w:rFonts w:ascii="Times New Roman" w:hAnsi="Times New Roman"/>
          <w:color w:val="000000"/>
          <w:sz w:val="20"/>
        </w:rPr>
        <w:t xml:space="preserve"> </w:t>
      </w:r>
      <w:r>
        <w:rPr>
          <w:rFonts w:ascii="Arial" w:hAnsi="Arial"/>
          <w:color w:val="000000"/>
          <w:sz w:val="20"/>
        </w:rPr>
        <w:t>of 6.9 nM, and we observed near complete inhibition at concentrations above 100 nM.</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b/>
          <w:color w:val="000000"/>
          <w:sz w:val="20"/>
        </w:rPr>
        <w:t>OD-002 Inhibits SLC15A4-TASL Binding</w:t>
      </w:r>
      <w:r>
        <w:rPr>
          <w:rFonts w:ascii="Times New Roman" w:hAnsi="Times New Roman"/>
          <w:color w:val="000000"/>
          <w:sz w:val="20"/>
        </w:rPr>
        <w:t xml:space="preserve"> </w:t>
      </w:r>
    </w:p>
    <w:p>
      <w:pPr>
        <w:pStyle w:val="TextBody"/>
        <w:bidi w:val="0"/>
        <w:spacing w:before="240" w:after="283"/>
        <w:jc w:val="center"/>
        <w:rPr/>
      </w:pPr>
      <w:r>
        <w:rPr/>
        <w:drawing>
          <wp:inline distT="0" distB="0" distL="0" distR="0">
            <wp:extent cx="3324225" cy="2333625"/>
            <wp:effectExtent l="0" t="0" r="0" b="0"/>
            <wp:docPr id="4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7" descr=""/>
                    <pic:cNvPicPr>
                      <a:picLocks noChangeAspect="1" noChangeArrowheads="1"/>
                    </pic:cNvPicPr>
                  </pic:nvPicPr>
                  <pic:blipFill>
                    <a:blip r:embed="rId48"/>
                    <a:stretch>
                      <a:fillRect/>
                    </a:stretch>
                  </pic:blipFill>
                  <pic:spPr bwMode="auto">
                    <a:xfrm>
                      <a:off x="0" y="0"/>
                      <a:ext cx="3324225" cy="23336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SLC15A4 and TASL binding is measured by using a split-luciferase assay in cells transduced with SLC15A4-LgBiT and TASL-SmBiT.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To test our hypothesis that SLC15A4 inhibition can block TLR7/8/9-induced cytokine production in human cells, we treated PBMCs with OD-002 or vehicle control and then stimulated with either R848 (a TLR7/8 agonist) or ODN-2395 (a TLR9 agonist). In addition, to understand the potential differentiation of blocking SLC15A4 as compared to blocking only TLR7/8, in the same experiment, we also treated cells with afimetoran and enpatoran, two clinical-stage TLR7/8 inhibitors.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 xml:space="preserve">As shown in the graphs below, when PBMCs were stimulated with R848, afimetoran and enpatoran reduced production of </w:t>
      </w:r>
      <w:r>
        <w:rPr>
          <w:rFonts w:ascii="Arial" w:hAnsi="Arial"/>
          <w:i/>
          <w:color w:val="000000"/>
          <w:sz w:val="20"/>
        </w:rPr>
        <w:t xml:space="preserve">IFNß, </w:t>
      </w:r>
      <w:r>
        <w:rPr>
          <w:rFonts w:ascii="Arial" w:hAnsi="Arial"/>
          <w:color w:val="000000"/>
          <w:sz w:val="20"/>
        </w:rPr>
        <w:t xml:space="preserve">but in cells from some human donors to a lesser degree than observed with OD-002. However, when PBMCs were stimulated with ODN-2395, only OD-002 inhibited the production of </w:t>
      </w:r>
      <w:r>
        <w:rPr>
          <w:rFonts w:ascii="Arial" w:hAnsi="Arial"/>
          <w:i/>
          <w:color w:val="000000"/>
          <w:sz w:val="20"/>
        </w:rPr>
        <w:t>IFNß</w:t>
      </w:r>
      <w:r>
        <w:rPr>
          <w:rFonts w:ascii="Arial" w:hAnsi="Arial"/>
          <w:color w:val="000000"/>
          <w:sz w:val="20"/>
        </w:rPr>
        <w:t>. This data has demonstrated that SLC15A4 inhibitors are effective in blocking TLR9 signaling, which may result in better efficacy compared to TLR7/8 inhibitors because DNA, which signals through TLR9, is recognized as an important disease driver in patients with SLE and other immune diseases.</w:t>
      </w:r>
      <w:r>
        <w:rPr>
          <w:rFonts w:ascii="Times New Roman" w:hAnsi="Times New Roman"/>
          <w:color w:val="000000"/>
          <w:sz w:val="20"/>
        </w:rPr>
        <w:t xml:space="preserve"> </w:t>
      </w:r>
    </w:p>
    <w:p>
      <w:pPr>
        <w:pStyle w:val="TextBody"/>
        <w:bidi w:val="0"/>
        <w:spacing w:before="240" w:after="283"/>
        <w:ind w:left="0" w:right="0" w:firstLine="619"/>
        <w:jc w:val="center"/>
        <w:rPr>
          <w:rFonts w:ascii="Times New Roman" w:hAnsi="Times New Roman"/>
          <w:sz w:val="20"/>
        </w:rPr>
      </w:pPr>
      <w:r>
        <w:rPr>
          <w:rFonts w:ascii="Arial" w:hAnsi="Arial"/>
          <w:b/>
          <w:color w:val="000000"/>
          <w:sz w:val="20"/>
        </w:rPr>
        <w:t>Effect of OD-002 or TLR7/8 Inhibition on Interferon Beta</w:t>
      </w:r>
      <w:r>
        <w:rPr>
          <w:rFonts w:ascii="Times New Roman" w:hAnsi="Times New Roman"/>
          <w:color w:val="000000"/>
          <w:sz w:val="20"/>
        </w:rPr>
        <w:t xml:space="preserve"> </w:t>
      </w:r>
    </w:p>
    <w:p>
      <w:pPr>
        <w:pStyle w:val="TextBody"/>
        <w:bidi w:val="0"/>
        <w:ind w:left="0" w:right="0" w:firstLine="619"/>
        <w:jc w:val="center"/>
        <w:rPr/>
      </w:pPr>
      <w:r>
        <w:rPr/>
        <w:t> </w:t>
      </w:r>
    </w:p>
    <w:p>
      <w:pPr>
        <w:pStyle w:val="TextBody"/>
        <w:bidi w:val="0"/>
        <w:jc w:val="center"/>
        <w:rPr/>
      </w:pPr>
      <w:r>
        <w:rPr/>
        <w:drawing>
          <wp:inline distT="0" distB="0" distL="0" distR="0">
            <wp:extent cx="5905500" cy="2733675"/>
            <wp:effectExtent l="0" t="0" r="0" b="0"/>
            <wp:docPr id="4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8" descr=""/>
                    <pic:cNvPicPr>
                      <a:picLocks noChangeAspect="1" noChangeArrowheads="1"/>
                    </pic:cNvPicPr>
                  </pic:nvPicPr>
                  <pic:blipFill>
                    <a:blip r:embed="rId49"/>
                    <a:stretch>
                      <a:fillRect/>
                    </a:stretch>
                  </pic:blipFill>
                  <pic:spPr bwMode="auto">
                    <a:xfrm>
                      <a:off x="0" y="0"/>
                      <a:ext cx="5905500" cy="27336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PBMCs from eight healthy donors were pre-treated with OD-002, afimetoran, enpatoran, or vehicle control and stimulated with either R848 or ODN-2395 prior to measuring IFNß by qPCR.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another study, we compared the relative potency of OD-002 inhibition of R848 or ODN-2395-induced cytokine release on PBMCs from healthy donors, patients with lupus, and across purified immune cell types isolated from the blood of healthy donors. Additionally, cells were also stimulated with either a STING agonist or a TLR3 agonist to establish the specificity of OD-002 for inhibiting TLR7-, TLR8-, and TLR9-induced cytokines. STING and TLR3 are two other innate immune receptors important to host defense against viruses and bacteria, respectively.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set forth in the table below, in response to stimulation with R848 or ODN-2395, OD-002 had comparable potency in PBMCs from healthy donors or SLE patients and across immune cell types. Irrespective of the cytokine measured, IC</w:t>
      </w:r>
      <w:r>
        <w:rPr>
          <w:rFonts w:ascii="Arial" w:hAnsi="Arial"/>
          <w:color w:val="000000"/>
          <w:sz w:val="13"/>
        </w:rPr>
        <w:t>50</w:t>
      </w:r>
      <w:r>
        <w:rPr>
          <w:rFonts w:ascii="Times New Roman" w:hAnsi="Times New Roman"/>
          <w:color w:val="000000"/>
          <w:sz w:val="20"/>
        </w:rPr>
        <w:t xml:space="preserve"> </w:t>
      </w:r>
      <w:r>
        <w:rPr>
          <w:rFonts w:ascii="Arial" w:hAnsi="Arial"/>
          <w:color w:val="000000"/>
          <w:sz w:val="20"/>
        </w:rPr>
        <w:t>values ranged from 1.1–10.4 nM. Based on these results, we believe that the clinical exposure required for efficacy may be similar between different patients and across diseases in which there are differences in the immune cell types accounting for TLR7-, TLR8-, and TLR9-induced cytokines. Since the IC</w:t>
      </w:r>
      <w:r>
        <w:rPr>
          <w:rFonts w:ascii="Arial" w:hAnsi="Arial"/>
          <w:color w:val="000000"/>
          <w:sz w:val="13"/>
        </w:rPr>
        <w:t>50</w:t>
      </w:r>
      <w:r>
        <w:rPr>
          <w:rFonts w:ascii="Times New Roman" w:hAnsi="Times New Roman"/>
          <w:color w:val="000000"/>
          <w:sz w:val="20"/>
        </w:rPr>
        <w:t xml:space="preserve"> </w:t>
      </w:r>
      <w:r>
        <w:rPr>
          <w:rFonts w:ascii="Arial" w:hAnsi="Arial"/>
          <w:color w:val="000000"/>
          <w:sz w:val="20"/>
        </w:rPr>
        <w:t>for inhibiting STING or TLR3 is &gt; 10,000 nM, we believe that the clinically efficacious dose of OD-002 has the potential to result in exposure levels that selectively block TLR7-, TLR8-, and TLR9-induced inflammation, while sparing immune responses triggered by viruses or bacteria through STING and TLR3, respectively, thus limiting risk of infection due to adverse immune suppression.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OD-002 Selectively Blocks Cytokine Production Induced by TLR7/8/9 Agonists Across Disease-Relevant Cell Types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6296025" cy="4638675"/>
            <wp:effectExtent l="0" t="0" r="0" b="0"/>
            <wp:docPr id="5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9" descr=""/>
                    <pic:cNvPicPr>
                      <a:picLocks noChangeAspect="1" noChangeArrowheads="1"/>
                    </pic:cNvPicPr>
                  </pic:nvPicPr>
                  <pic:blipFill>
                    <a:blip r:embed="rId50"/>
                    <a:stretch>
                      <a:fillRect/>
                    </a:stretch>
                  </pic:blipFill>
                  <pic:spPr bwMode="auto">
                    <a:xfrm>
                      <a:off x="0" y="0"/>
                      <a:ext cx="6296025" cy="46386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For inflammatory cytokine production and selectivity counterscreens, the indicated cell types were pre-treated with OD-002 for 24 hours and then stimulated with agonist of indicated receptor, with cytokine readout measured at a time point between four to 24 hours.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In Vivo Results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 xml:space="preserve">To establish the correlation between in vitro and in vivo potency, we conducted a PK/PD study using R848 as a stimulus to activate TLR7/8 signaling </w:t>
      </w:r>
      <w:r>
        <w:rPr>
          <w:rFonts w:ascii="Arial" w:hAnsi="Arial"/>
          <w:i/>
          <w:color w:val="000000"/>
          <w:sz w:val="20"/>
        </w:rPr>
        <w:t>in vivo.</w:t>
      </w:r>
      <w:r>
        <w:rPr>
          <w:rFonts w:ascii="Times New Roman" w:hAnsi="Times New Roman"/>
          <w:color w:val="000000"/>
          <w:sz w:val="20"/>
        </w:rPr>
        <w:t xml:space="preserve"> </w:t>
      </w:r>
      <w:r>
        <w:rPr>
          <w:rFonts w:ascii="Arial" w:hAnsi="Arial"/>
          <w:color w:val="000000"/>
          <w:sz w:val="20"/>
        </w:rPr>
        <w:t>In this model, 10 healthy wild-type mice were treated once daily with OD-002</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for six days to represent steady-state dosing and then were stimulated with R848 administered intraperitoneally 23 hours after the last dose of OD-002.</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After R848 stimulation, plasma was collected for PK and measurement of IFN</w:t>
      </w:r>
      <w:r>
        <w:rPr>
          <w:rFonts w:ascii="Symbol;serif" w:hAnsi="Symbol;serif"/>
          <w:color w:val="000000"/>
          <w:sz w:val="20"/>
        </w:rPr>
        <w:t>a</w:t>
      </w:r>
      <w:r>
        <w:rPr>
          <w:rFonts w:ascii="Times New Roman" w:hAnsi="Times New Roman"/>
          <w:color w:val="000000"/>
          <w:sz w:val="20"/>
        </w:rPr>
        <w:t xml:space="preserve"> </w:t>
      </w:r>
      <w:r>
        <w:rPr>
          <w:rFonts w:ascii="Arial" w:hAnsi="Arial"/>
          <w:color w:val="000000"/>
          <w:sz w:val="20"/>
        </w:rPr>
        <w:t>was assessed by ELISA. Doses administered daily were 0.03 mg/kg, 0.1 mg/kg, 0.3 mg/kg, 1 mg/kg, and 3 mg/kg. The graph below at left shows the statistically significant reduction of IFN</w:t>
      </w:r>
      <w:r>
        <w:rPr>
          <w:rFonts w:ascii="Symbol;serif" w:hAnsi="Symbol;serif"/>
          <w:color w:val="000000"/>
          <w:sz w:val="20"/>
        </w:rPr>
        <w:t>a</w:t>
      </w:r>
      <w:r>
        <w:rPr>
          <w:rFonts w:ascii="Times New Roman" w:hAnsi="Times New Roman"/>
          <w:color w:val="000000"/>
          <w:sz w:val="20"/>
        </w:rPr>
        <w:t xml:space="preserve"> </w:t>
      </w:r>
      <w:r>
        <w:rPr>
          <w:rFonts w:ascii="Arial" w:hAnsi="Arial"/>
          <w:color w:val="000000"/>
          <w:sz w:val="20"/>
        </w:rPr>
        <w:t>levels observed starting at 0.03 mg/kg, and near complete inhibition observed at 3 mg/kg. The graph below at right shows the free plasma concentration 24 hours after the last dose. The free drug concentration at the dose that resulted in 90% inhibition in vivo is comparable to the IC</w:t>
      </w:r>
      <w:r>
        <w:rPr>
          <w:rFonts w:ascii="Arial" w:hAnsi="Arial"/>
          <w:color w:val="000000"/>
          <w:sz w:val="13"/>
        </w:rPr>
        <w:t>80</w:t>
      </w:r>
      <w:r>
        <w:rPr>
          <w:rFonts w:ascii="Times New Roman" w:hAnsi="Times New Roman"/>
          <w:color w:val="000000"/>
          <w:sz w:val="20"/>
        </w:rPr>
        <w:t xml:space="preserve"> </w:t>
      </w:r>
      <w:r>
        <w:rPr>
          <w:rFonts w:ascii="Arial" w:hAnsi="Arial"/>
          <w:color w:val="000000"/>
          <w:sz w:val="20"/>
        </w:rPr>
        <w:t xml:space="preserve">in PBMCs, establishing an </w:t>
      </w:r>
      <w:r>
        <w:rPr>
          <w:rFonts w:ascii="Arial" w:hAnsi="Arial"/>
          <w:i/>
          <w:color w:val="000000"/>
          <w:sz w:val="20"/>
        </w:rPr>
        <w:t xml:space="preserve">in vitro-in vivo </w:t>
      </w:r>
      <w:r>
        <w:rPr>
          <w:rFonts w:ascii="Arial" w:hAnsi="Arial"/>
          <w:color w:val="000000"/>
          <w:sz w:val="20"/>
        </w:rPr>
        <w:t>correlation. Based on this data, we are confident that in vivo SLC15A4 inhibition can block production of type I interferon, a disease-relevant cytokine. Moreover, the data establishes an exposure of free drug required to achieve maximal target inhibition.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Effect of OD-002 on IFN</w:t>
      </w:r>
      <w:r>
        <w:rPr>
          <w:rFonts w:ascii="Symbol;serif" w:hAnsi="Symbol;serif"/>
          <w:b/>
          <w:color w:val="000000"/>
          <w:sz w:val="20"/>
        </w:rPr>
        <w:t>a</w:t>
      </w:r>
      <w:r>
        <w:rPr>
          <w:rFonts w:ascii="Times New Roman" w:hAnsi="Times New Roman"/>
          <w:color w:val="000000"/>
          <w:sz w:val="20"/>
        </w:rPr>
        <w:t xml:space="preserve"> </w:t>
      </w:r>
      <w:r>
        <w:rPr>
          <w:rFonts w:ascii="Arial" w:hAnsi="Arial"/>
          <w:b/>
          <w:color w:val="000000"/>
          <w:sz w:val="20"/>
        </w:rPr>
        <w:t>Production Induced by TLR7/8 Agonism</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6772275" cy="2771775"/>
            <wp:effectExtent l="0" t="0" r="0" b="0"/>
            <wp:docPr id="5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0" descr=""/>
                    <pic:cNvPicPr>
                      <a:picLocks noChangeAspect="1" noChangeArrowheads="1"/>
                    </pic:cNvPicPr>
                  </pic:nvPicPr>
                  <pic:blipFill>
                    <a:blip r:embed="rId51"/>
                    <a:stretch>
                      <a:fillRect/>
                    </a:stretch>
                  </pic:blipFill>
                  <pic:spPr bwMode="auto">
                    <a:xfrm>
                      <a:off x="0" y="0"/>
                      <a:ext cx="6772275" cy="277177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C57BL mice were treated once daily for six days to achieve steady-state levels and then stimulated with R848 (TLR7/8 agonist). One hour after R848 stimulation; plasma was analyzed for PK and IFN</w:t>
      </w:r>
      <w:r>
        <w:rPr>
          <w:rFonts w:ascii="Symbol;serif" w:hAnsi="Symbol;serif"/>
          <w:color w:val="000000"/>
          <w:sz w:val="20"/>
        </w:rPr>
        <w:t>a</w:t>
      </w:r>
      <w:r>
        <w:rPr>
          <w:rFonts w:ascii="Arial" w:hAnsi="Arial"/>
          <w:i/>
          <w:color w:val="000000"/>
          <w:sz w:val="20"/>
        </w:rPr>
        <w:t>; vehicle and OD-002 treatment groups included 10 mice per group; control group included 5 mice; **** = p &lt; 0.0001.</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Having established the exposure requirement for maximal target inhibition based on one downstream readout of the pathway, interferon alpha, we then conducted a study to test the effect of SLC15A4 inhibition on healthy B cells, pathogenic B cells, and on autoantibody production in both healthy and diseased mice.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this study, we evaluated three weeks of daily dosing of an OD-002 precursor at 3 mg/kg and afimetoran at 2.5 mg/kg to assess their activity on B cells in healthy mice (C57BL) and in the lupus-prone MRL/lpr strain. We selected afimetoran, instead of enpatoran, in this experiment since we observed a superior PD response with QD dosing in mice. As set forth in the figures below, in the C57BL mice, neither OD-002 precursor or afimetoran impacted the normal proliferation of B cells as shown by staining of Ki-67, a marker of cell proliferation in B cells. We believe these results suggest that inhibition of TLR7/8/9 signaling does not affect the homeostatic proliferation of B cells.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the lupus-prone MRL/lpr mice, both OD-002 precursor and afimetoran reduced the percentage of proliferating Ki-67-positive B cells and plasmablasts. However, only OD-002 precursor decreased ABCs and the levels of anti-dsDNA autoantibodies measured in serum. Since ABCs and anti-dsDNA antibodies are mediators of disease, we believe these results show the added potential benefit of targeting SLC15A4 as compared to TLR7/8-only inhibitors. We believe the basis for this difference is because OD-002 blocks TLR9 signaling in response to DNA and that signaling through TLR9 is required for the production of anti-dsDNA antibodies.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b/>
          <w:color w:val="000000"/>
          <w:sz w:val="20"/>
        </w:rPr>
        <w:t>OD-002 Precursor Selectively</w:t>
      </w:r>
      <w:r>
        <w:rPr>
          <w:rFonts w:ascii="Times New Roman" w:hAnsi="Times New Roman"/>
          <w:color w:val="000000"/>
          <w:sz w:val="20"/>
        </w:rPr>
        <w:t xml:space="preserve"> </w:t>
      </w:r>
      <w:r>
        <w:rPr>
          <w:rFonts w:ascii="Arial" w:hAnsi="Arial"/>
          <w:b/>
          <w:color w:val="000000"/>
          <w:sz w:val="20"/>
        </w:rPr>
        <w:t>Reduces Expansion of Pathogenic B Cells and Autoantibody Production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6124575" cy="4124325"/>
            <wp:effectExtent l="0" t="0" r="0" b="0"/>
            <wp:docPr id="5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1" descr=""/>
                    <pic:cNvPicPr>
                      <a:picLocks noChangeAspect="1" noChangeArrowheads="1"/>
                    </pic:cNvPicPr>
                  </pic:nvPicPr>
                  <pic:blipFill>
                    <a:blip r:embed="rId52"/>
                    <a:stretch>
                      <a:fillRect/>
                    </a:stretch>
                  </pic:blipFill>
                  <pic:spPr bwMode="auto">
                    <a:xfrm>
                      <a:off x="0" y="0"/>
                      <a:ext cx="6124575" cy="41243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Normal and lupus-prone MRL/lpr seven – nine-week-old mice were dosed for three weeks. Data presents 10 C57BL mice per treatment group, 10 MRL/lpr mice for vehicle and afimetoran treatment groups, and 9 MRL/lpr mice for OD-002 precursor treatment group. Cells from spleen and anti-dsDNA autoantibodies from plasma were analyzed at the end of the study. ** = p &lt; 0.01; **** = p &lt; 0.0001.</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Human dose prediction for OD-002</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 xml:space="preserve">Results from in vitro experiments and </w:t>
      </w:r>
      <w:r>
        <w:rPr>
          <w:rFonts w:ascii="Arial" w:hAnsi="Arial"/>
          <w:i/>
          <w:color w:val="000000"/>
          <w:sz w:val="20"/>
        </w:rPr>
        <w:t>in vivo</w:t>
      </w:r>
      <w:r>
        <w:rPr>
          <w:rFonts w:ascii="Times New Roman" w:hAnsi="Times New Roman"/>
          <w:color w:val="000000"/>
          <w:sz w:val="20"/>
        </w:rPr>
        <w:t xml:space="preserve"> </w:t>
      </w:r>
      <w:r>
        <w:rPr>
          <w:rFonts w:ascii="Arial" w:hAnsi="Arial"/>
          <w:color w:val="000000"/>
          <w:sz w:val="20"/>
        </w:rPr>
        <w:t>PK/PD studies in mice demonstrate an in vitro-</w:t>
      </w:r>
      <w:r>
        <w:rPr>
          <w:rFonts w:ascii="Arial" w:hAnsi="Arial"/>
          <w:i/>
          <w:color w:val="000000"/>
          <w:sz w:val="20"/>
        </w:rPr>
        <w:t>in vivo</w:t>
      </w:r>
      <w:r>
        <w:rPr>
          <w:rFonts w:ascii="Times New Roman" w:hAnsi="Times New Roman"/>
          <w:color w:val="000000"/>
          <w:sz w:val="20"/>
        </w:rPr>
        <w:t xml:space="preserve"> </w:t>
      </w:r>
      <w:r>
        <w:rPr>
          <w:rFonts w:ascii="Arial" w:hAnsi="Arial"/>
          <w:color w:val="000000"/>
          <w:sz w:val="20"/>
        </w:rPr>
        <w:t>correlation in the exposure-response relationship. Based on this, the human efficacious dose was predicted based on in vitro activity in human whole blood to be 18 mg once daily. This prediction was derived using the IC</w:t>
      </w:r>
      <w:r>
        <w:rPr>
          <w:rFonts w:ascii="Arial" w:hAnsi="Arial"/>
          <w:color w:val="000000"/>
          <w:sz w:val="13"/>
        </w:rPr>
        <w:t>90</w:t>
      </w:r>
      <w:r>
        <w:rPr>
          <w:rFonts w:ascii="Times New Roman" w:hAnsi="Times New Roman"/>
          <w:color w:val="000000"/>
          <w:sz w:val="20"/>
        </w:rPr>
        <w:t xml:space="preserve"> </w:t>
      </w:r>
      <w:r>
        <w:rPr>
          <w:rFonts w:ascii="Arial" w:hAnsi="Arial"/>
          <w:color w:val="000000"/>
          <w:sz w:val="20"/>
        </w:rPr>
        <w:t>value at C</w:t>
      </w:r>
      <w:r>
        <w:rPr>
          <w:rFonts w:ascii="Arial" w:hAnsi="Arial"/>
          <w:color w:val="000000"/>
          <w:sz w:val="13"/>
        </w:rPr>
        <w:t>min</w:t>
      </w:r>
      <w:r>
        <w:rPr>
          <w:rFonts w:ascii="Times New Roman" w:hAnsi="Times New Roman"/>
          <w:color w:val="000000"/>
          <w:sz w:val="20"/>
        </w:rPr>
        <w:t xml:space="preserve"> </w:t>
      </w:r>
      <w:r>
        <w:rPr>
          <w:rFonts w:ascii="Arial" w:hAnsi="Arial"/>
          <w:color w:val="000000"/>
          <w:sz w:val="20"/>
        </w:rPr>
        <w:t>as an exposure target that is expected to provide near-maximal pathway inhibition over the interval between doses. The IC</w:t>
      </w:r>
      <w:r>
        <w:rPr>
          <w:rFonts w:ascii="Arial" w:hAnsi="Arial"/>
          <w:color w:val="000000"/>
          <w:sz w:val="13"/>
        </w:rPr>
        <w:t>90,u</w:t>
      </w:r>
      <w:r>
        <w:rPr>
          <w:rFonts w:ascii="Times New Roman" w:hAnsi="Times New Roman"/>
          <w:color w:val="000000"/>
          <w:sz w:val="20"/>
        </w:rPr>
        <w:t xml:space="preserve"> </w:t>
      </w:r>
      <w:r>
        <w:rPr>
          <w:rFonts w:ascii="Arial" w:hAnsi="Arial"/>
          <w:color w:val="000000"/>
          <w:sz w:val="20"/>
        </w:rPr>
        <w:t xml:space="preserve">value was determined as 18.6 nM based on experiments measuring the concentration of OD-002 required for ≥ 90% inhibition of R848-induced IFNβ production in blood samples from 18 human donors. Standard methods were used to predict human PK parameters based on </w:t>
      </w:r>
      <w:r>
        <w:rPr>
          <w:rFonts w:ascii="Arial" w:hAnsi="Arial"/>
          <w:i/>
          <w:color w:val="000000"/>
          <w:sz w:val="20"/>
        </w:rPr>
        <w:t>in vivo</w:t>
      </w:r>
      <w:r>
        <w:rPr>
          <w:rFonts w:ascii="Times New Roman" w:hAnsi="Times New Roman"/>
          <w:color w:val="000000"/>
          <w:sz w:val="20"/>
        </w:rPr>
        <w:t xml:space="preserve"> </w:t>
      </w:r>
      <w:r>
        <w:rPr>
          <w:rFonts w:ascii="Arial" w:hAnsi="Arial"/>
          <w:color w:val="000000"/>
          <w:sz w:val="20"/>
        </w:rPr>
        <w:t>PK and in vitro</w:t>
      </w:r>
      <w:r>
        <w:rPr>
          <w:rFonts w:ascii="Times New Roman" w:hAnsi="Times New Roman"/>
          <w:color w:val="000000"/>
          <w:sz w:val="20"/>
        </w:rPr>
        <w:t xml:space="preserve"> </w:t>
      </w:r>
      <w:r>
        <w:rPr>
          <w:rFonts w:ascii="Arial" w:hAnsi="Arial"/>
          <w:color w:val="000000"/>
          <w:sz w:val="20"/>
        </w:rPr>
        <w:t>studies across three preclinical species. A human dose of 18 mg once daily is predicted to produce a total concentration at C</w:t>
      </w:r>
      <w:r>
        <w:rPr>
          <w:rFonts w:ascii="Arial" w:hAnsi="Arial"/>
          <w:color w:val="000000"/>
          <w:sz w:val="13"/>
        </w:rPr>
        <w:t>min</w:t>
      </w:r>
      <w:r>
        <w:rPr>
          <w:rFonts w:ascii="Times New Roman" w:hAnsi="Times New Roman"/>
          <w:color w:val="000000"/>
          <w:sz w:val="20"/>
        </w:rPr>
        <w:t xml:space="preserve"> ≥ </w:t>
      </w:r>
      <w:r>
        <w:rPr>
          <w:rFonts w:ascii="Arial" w:hAnsi="Arial"/>
          <w:color w:val="000000"/>
          <w:sz w:val="20"/>
        </w:rPr>
        <w:t>19 ng/mL, which is expected to provide inhibition of ≥ 90% of TLR7/8/9-induced IFN production.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Future Clinical Studies for OD-002</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of the date of this prospectus, OD-002 is in IND-enabling studies being conducted under good laboratory practice, or GLP, conditions. Pending an acceptable profile in these studies, in the second half of 2026, we intend to file a CTA outside of the United States to enable the commencement of a phase 1/2a clinical trial of OD-002 in the first half of 2027.</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 xml:space="preserve">We currently expect that this phase 1/2a clinical trial will enroll both healthy participants and patients with autoimmune diseases, such as CLE. The healthy participant portions of the trial are expected to consist of a SAD component and a MAD component designed to assess the safety, PK, and PD of OD-002. In the MAD portion of the trial, we intend to collect blood samples for </w:t>
      </w:r>
      <w:r>
        <w:rPr>
          <w:rFonts w:ascii="Arial" w:hAnsi="Arial"/>
          <w:i/>
          <w:color w:val="000000"/>
          <w:sz w:val="20"/>
        </w:rPr>
        <w:t xml:space="preserve">ex vivo </w:t>
      </w:r>
      <w:r>
        <w:rPr>
          <w:rFonts w:ascii="Arial" w:hAnsi="Arial"/>
          <w:color w:val="000000"/>
          <w:sz w:val="20"/>
        </w:rPr>
        <w:t>assays that will measure pharmacodynamic endpoints to confirm pathway inhibition and support projection of a therapeutic dose. These assessments are expected to evaluate disease-relevant inflammatory mediators, such as interferon and cytokine production.</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Following identification of one or more doses with projected therapeutic effect, we expect to enroll two to three cohorts of patients in a basket trial, with one group including up to 30 patients with CLE to evaluate safety, biomarkers, and efficacy in patients over a 12-week treatment period. We have selected CLE as at least one initial indication to enable assessment of efficacy because it is a disease in which patients are currently treated with interferon-blocking therapy and in which TLR7/8 inhibitors in clinical development by third parties have generated positive efficacy data. We believe the cutaneous nature of CLE can also permit biopsies of diseased tissue to assess pharmacodynamic effects on molecular and cellular mediators of disease. We are currently assessing the other indications for enrollment but intend to select one to two other indications for which initial proof-of-concept can be achieved in a relatively small patient cohort.</w:t>
      </w:r>
    </w:p>
    <w:p>
      <w:pPr>
        <w:pStyle w:val="TextBody"/>
        <w:bidi w:val="0"/>
        <w:spacing w:before="240" w:after="283"/>
        <w:jc w:val="center"/>
        <w:rPr>
          <w:rFonts w:ascii="Times New Roman" w:hAnsi="Times New Roman"/>
          <w:sz w:val="20"/>
        </w:rPr>
      </w:pPr>
      <w:r>
        <w:rPr>
          <w:rFonts w:ascii="Arial" w:hAnsi="Arial"/>
          <w:b/>
          <w:color w:val="000000"/>
          <w:sz w:val="20"/>
        </w:rPr>
        <w:t>SLC15A4 Inhibitor Planned Phase 1/2a Trial Design</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6553200" cy="3219450"/>
            <wp:effectExtent l="0" t="0" r="0" b="0"/>
            <wp:docPr id="5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2" descr=""/>
                    <pic:cNvPicPr>
                      <a:picLocks noChangeAspect="1" noChangeArrowheads="1"/>
                    </pic:cNvPicPr>
                  </pic:nvPicPr>
                  <pic:blipFill>
                    <a:blip r:embed="rId53"/>
                    <a:stretch>
                      <a:fillRect/>
                    </a:stretch>
                  </pic:blipFill>
                  <pic:spPr bwMode="auto">
                    <a:xfrm>
                      <a:off x="0" y="0"/>
                      <a:ext cx="6553200" cy="3219450"/>
                    </a:xfrm>
                    <a:prstGeom prst="rect">
                      <a:avLst/>
                    </a:prstGeom>
                  </pic:spPr>
                </pic:pic>
              </a:graphicData>
            </a:graphic>
          </wp:inline>
        </w:drawing>
      </w:r>
    </w:p>
    <w:p>
      <w:pPr>
        <w:pStyle w:val="TextBody"/>
        <w:bidi w:val="0"/>
        <w:ind w:left="0" w:right="0" w:firstLine="619"/>
        <w:jc w:val="left"/>
        <w:rPr/>
      </w:pPr>
      <w:r>
        <w:rPr/>
        <w:t> </w:t>
      </w:r>
    </w:p>
    <w:p>
      <w:pPr>
        <w:pStyle w:val="TextBody"/>
        <w:bidi w:val="0"/>
        <w:ind w:left="0" w:right="0" w:firstLine="619"/>
        <w:jc w:val="left"/>
        <w:rPr>
          <w:rFonts w:ascii="Arial" w:hAnsi="Arial"/>
          <w:color w:val="000000"/>
          <w:sz w:val="20"/>
        </w:rPr>
      </w:pPr>
      <w:r>
        <w:rPr>
          <w:rFonts w:ascii="Arial" w:hAnsi="Arial"/>
          <w:color w:val="000000"/>
          <w:sz w:val="20"/>
        </w:rPr>
        <w:t>We have not yet completed the design of our phase 1/2a trial, and the final study design, including dose levels, cohort size, and specific pharmacodynamic assessments, will be informed by ongoing preclinical and translational studies. Subject to the receipt of authorization from relevant regulatory authorities, we currently expect to commence the phase 1/2a trial in the first half of 2027 and to announce results from the healthy participant portion of this trial in the second half of 2027.</w:t>
      </w:r>
    </w:p>
    <w:p>
      <w:pPr>
        <w:pStyle w:val="TextBody"/>
        <w:bidi w:val="0"/>
        <w:spacing w:before="240" w:after="283"/>
        <w:jc w:val="left"/>
        <w:rPr>
          <w:rFonts w:ascii="Times New Roman" w:hAnsi="Times New Roman"/>
          <w:sz w:val="20"/>
        </w:rPr>
      </w:pPr>
      <w:r>
        <w:rPr>
          <w:rFonts w:ascii="Arial" w:hAnsi="Arial"/>
          <w:b/>
          <w:i/>
          <w:color w:val="000000"/>
          <w:sz w:val="20"/>
        </w:rPr>
        <w:t>TNFR2</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OD-003 is a V-body that is designed to agonize TNFR2 selectively on Treg. TNFR2 is a receptor that is highly expressed on Treg, with relatively limited expression on other cell types. We believe effective modulation of Treg is a compelling approach to treat autoimmune and inflammatory diseases because of the link between these diseases and Treg dysregulation and the ability of Treg to modulate multiple elements of an immune response. IL-2-based approaches to modulate Treg have shown efficacy in third-party clinical trials across multiple indications, including atopic dermatitis, or AD, and alopecia areata, with the potential for durable responses. We believe OD-003 has the potential to harness the full capacity of a Treg-targeted therapy, because TNFR2 agonism (unlike IL-2 agonism) exerts several favorable effects on Treg beyond selective Treg expansion. These include increased immunosuppressive function, increased resistance to shift to a pathogenic ex-Treg state in an inflammatory environment, and induction of a tissue repair phenotype. We believe an effective modulator of Treg would have broad applicability across inflammatory diseases, including AD, SLE, vitiligo, multiple sclerosis, or MS, and rheumatoid arthritis, or RA.</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have completed developability, immunogenicity, forced degradation, high concentration assessments, and non-GLP, repeat dose, dose range finding studies in non-human primates for advancement of our development candidate OD-003. IND-enabling activities for OD-003 are ongoing and expected to complete in the first quarter of 2027.</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Role of Treg in Immune Response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Treg are a subset of T cells that exert immunosuppressive activity through multiple mechanisms including secretion of mediators, metabolic disruption and direct cytolysis. In addition to having anti-inflammatory effects, a subpopulation of Treg found in tissues have the ability to induce regenerative responses in non-lymphoid cells, leading to repair of tissue and organ damage that in turn may prevent fibrosis.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image below depicts the following three functions of Treg:</w:t>
      </w:r>
      <w:r>
        <w:rPr>
          <w:rFonts w:ascii="Times New Roman" w:hAnsi="Times New Roman"/>
          <w:color w:val="000000"/>
          <w:sz w:val="20"/>
        </w:rPr>
        <w:t xml:space="preserve"> </w:t>
      </w:r>
    </w:p>
    <w:p>
      <w:pPr>
        <w:pStyle w:val="TextBody"/>
        <w:bidi w:val="0"/>
        <w:spacing w:before="120" w:after="283"/>
        <w:ind w:left="619" w:right="0" w:hanging="0"/>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Treg suppress the proliferation and differentiation of inflammatory immune cells. </w:t>
      </w:r>
    </w:p>
    <w:p>
      <w:pPr>
        <w:pStyle w:val="TextBody"/>
        <w:bidi w:val="0"/>
        <w:spacing w:before="120" w:after="283"/>
        <w:ind w:left="619" w:right="0" w:hanging="0"/>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Treg reduce activation of T cells including CD8+ and CD4+ T-helper, or Th, cells such as Th1, Th2 and Th17. </w:t>
      </w:r>
    </w:p>
    <w:p>
      <w:pPr>
        <w:pStyle w:val="TextBody"/>
        <w:bidi w:val="0"/>
        <w:spacing w:before="120" w:after="283"/>
        <w:ind w:left="619" w:right="0" w:hanging="0"/>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In addition to having anti-inflammatory effects, a subpopulation of Treg found in tissues expresses a set of genes that confer the ability to induce regenerative responses in non-lymphoid cells, repairing tissue and organ damage that in turn may prevent fibrosis. </w:t>
      </w:r>
    </w:p>
    <w:p>
      <w:pPr>
        <w:pStyle w:val="TextBody"/>
        <w:bidi w:val="0"/>
        <w:spacing w:before="240" w:after="283"/>
        <w:jc w:val="center"/>
        <w:rPr>
          <w:rFonts w:ascii="Times New Roman" w:hAnsi="Times New Roman"/>
          <w:sz w:val="20"/>
        </w:rPr>
      </w:pPr>
      <w:r>
        <w:rPr>
          <w:rFonts w:ascii="Arial" w:hAnsi="Arial"/>
          <w:b/>
          <w:color w:val="000000"/>
          <w:sz w:val="20"/>
        </w:rPr>
        <w:t>Overview of Treg Role in Immune Response</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5972175" cy="3848100"/>
            <wp:effectExtent l="0" t="0" r="0" b="0"/>
            <wp:docPr id="5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3" descr=""/>
                    <pic:cNvPicPr>
                      <a:picLocks noChangeAspect="1" noChangeArrowheads="1"/>
                    </pic:cNvPicPr>
                  </pic:nvPicPr>
                  <pic:blipFill>
                    <a:blip r:embed="rId54"/>
                    <a:stretch>
                      <a:fillRect/>
                    </a:stretch>
                  </pic:blipFill>
                  <pic:spPr bwMode="auto">
                    <a:xfrm>
                      <a:off x="0" y="0"/>
                      <a:ext cx="5972175" cy="3848100"/>
                    </a:xfrm>
                    <a:prstGeom prst="rect">
                      <a:avLst/>
                    </a:prstGeom>
                  </pic:spPr>
                </pic:pic>
              </a:graphicData>
            </a:graphic>
          </wp:inline>
        </w:drawing>
      </w:r>
    </w:p>
    <w:p>
      <w:pPr>
        <w:pStyle w:val="TextBody"/>
        <w:bidi w:val="0"/>
        <w:spacing w:before="360" w:after="283"/>
        <w:jc w:val="left"/>
        <w:rPr>
          <w:rFonts w:ascii="Times New Roman" w:hAnsi="Times New Roman"/>
          <w:sz w:val="20"/>
        </w:rPr>
      </w:pPr>
      <w:r>
        <w:rPr>
          <w:rFonts w:ascii="Arial" w:hAnsi="Arial"/>
          <w:i/>
          <w:color w:val="000000"/>
          <w:sz w:val="20"/>
        </w:rPr>
        <w:t>The Role of TNFR2 in Autoimmune Disease</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TNFR2 is a surface receptor that is highly expressed on Treg, and agonism of TNFR2 induces Treg activation and responses that underlie immunosuppressive function. NF-κB activation in Treg resulting from TNFR2 agonism increases Treg proliferation and expression of FOXP3, which is considered a master regulator of Treg function. High FOXP3 expression has been correlated with increased immunosuppressive Treg activity, and low FOXP3 expression with reduced function and quality of Treg and with autoimmune disease. We believe a TNFR2 agonist triggers an epigenetic program that may result in stable FOXP3 expression and therapeutic effects in patients with autoimmune and inflammatory diseases.</w:t>
      </w:r>
    </w:p>
    <w:p>
      <w:pPr>
        <w:pStyle w:val="TextBody"/>
        <w:bidi w:val="0"/>
        <w:spacing w:before="120" w:after="283"/>
        <w:jc w:val="center"/>
        <w:rPr>
          <w:rFonts w:ascii="Arial" w:hAnsi="Arial"/>
          <w:color w:val="000000"/>
          <w:sz w:val="20"/>
        </w:rPr>
      </w:pPr>
      <w:r>
        <w:rPr>
          <w:rFonts w:ascii="Arial" w:hAnsi="Arial"/>
          <w:color w:val="000000"/>
          <w:sz w:val="20"/>
        </w:rPr>
        <w:t>146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It is important that a TNFR2 agonist intended to treat autoimmune diseases selectively activates Treg while avoiding effects on other cell types because activating non-Treg cells, including Teff and endothelial cells, is expected to introduce safety risks and reduce efficacy.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to expression on Teff, TNFR2 is also expressed on endothelial cells, which line the inside of blood vessels, lymph vessels and the heart. Activation of endothelial cells can lead to the secretion of proinflammatory cytokines and chemokines, including MCP-1, which is believed to play an important role in cardiovascular disease. Therefore, we believe it is also important that a TNFR2 agonist developed to treat autoimmune disease results in minimal or no endothelial cell activation or accompanying MCP-1 release.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Dysregulation of Treg is Broadly Implicated in Autoimmune and Inflammatory Diseases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Treg play a necessary role in immune homeostasis, including preventing autoimmune disease and pathogenic inflammation. Dysregulation of Treg function or a reduction in their number has been shown to cause disease or worsen clinical outcomes. In autoimmune diseases, the loss of Treg-mediated suppression leads to an overactive immune response against self-antigens, resulting in tissue damage and chronic inflammation. In inflammatory diseases, Treg dysregulation leads to uncontrolled inflammatory responses due to unchecked activity of Th1, Th2 and Th17 immune cells.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table below details several autoimmune and inflammatory diseases where Treg dysregulation has been implicated that are potential indications that we may evaluate in future clinical trials.</w:t>
      </w:r>
      <w:r>
        <w:rPr>
          <w:rFonts w:ascii="Times New Roman" w:hAnsi="Times New Roman"/>
          <w:color w:val="000000"/>
          <w:sz w:val="20"/>
        </w:rPr>
        <w:t xml:space="preserve"> </w:t>
      </w:r>
    </w:p>
    <w:p>
      <w:pPr>
        <w:pStyle w:val="TextBody"/>
        <w:bidi w:val="0"/>
        <w:ind w:left="0" w:right="0" w:firstLine="612"/>
        <w:jc w:val="left"/>
        <w:rPr/>
      </w:pPr>
      <w:r>
        <w:rPr/>
        <w:t> </w:t>
      </w:r>
    </w:p>
    <w:p>
      <w:pPr>
        <w:pStyle w:val="TextBody"/>
        <w:bidi w:val="0"/>
        <w:jc w:val="center"/>
        <w:rPr/>
      </w:pPr>
      <w:r>
        <w:rPr/>
        <w:drawing>
          <wp:inline distT="0" distB="0" distL="0" distR="0">
            <wp:extent cx="6724650" cy="3400425"/>
            <wp:effectExtent l="0" t="0" r="0" b="0"/>
            <wp:docPr id="5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4" descr=""/>
                    <pic:cNvPicPr>
                      <a:picLocks noChangeAspect="1" noChangeArrowheads="1"/>
                    </pic:cNvPicPr>
                  </pic:nvPicPr>
                  <pic:blipFill>
                    <a:blip r:embed="rId55"/>
                    <a:stretch>
                      <a:fillRect/>
                    </a:stretch>
                  </pic:blipFill>
                  <pic:spPr bwMode="auto">
                    <a:xfrm>
                      <a:off x="0" y="0"/>
                      <a:ext cx="6724650" cy="3400425"/>
                    </a:xfrm>
                    <a:prstGeom prst="rect">
                      <a:avLst/>
                    </a:prstGeom>
                  </pic:spPr>
                </pic:pic>
              </a:graphicData>
            </a:graphic>
          </wp:inline>
        </w:drawing>
      </w:r>
    </w:p>
    <w:p>
      <w:pPr>
        <w:pStyle w:val="TextBody"/>
        <w:bidi w:val="0"/>
        <w:spacing w:before="240" w:after="283"/>
        <w:ind w:left="0" w:right="0" w:firstLine="619"/>
        <w:jc w:val="left"/>
        <w:rPr>
          <w:rFonts w:ascii="Times New Roman" w:hAnsi="Times New Roman"/>
          <w:sz w:val="20"/>
        </w:rPr>
      </w:pPr>
      <w:r>
        <w:rPr>
          <w:rFonts w:ascii="Arial" w:hAnsi="Arial"/>
          <w:color w:val="000000"/>
          <w:sz w:val="20"/>
        </w:rPr>
        <w:t>Given the links between Treg dysregulation and autoimmune and inflammatory disease, we believe a Treg directed therapy has the potential to be used across multiple inflammatory conditions to benefit a broad range of patients.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TNFR2 Agonism Can Potentially Overcome Limitations of Existing Therapies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No drugs have been approved to treat disease by modulating Treg; however, a number are in development. Those include, in addition to TNFR2 agonists, two other classes: IL-2 receptor targeted therapies and cell therapies. IL-2 receptor targeted therapies provide clinical precedent for the potential of Treg modulation to treat diseases, including AD and alopecia areata, but efficacy has been inconsistent. We believe the limited and inconsistent efficacy of IL-2 receptor targeted therapies can be attributed to their similar potency for Treg and non-target cells, such as Teff, and in the case of low-dose IL-2 its short half-life, measured in minutes. Second generation IL-2 receptor targeted approaches sought to address these shortcomings through the use of pegylated IL-2 to improve half-life or IL-2 muteins that bias the agonist properties towards IL-2 receptors on Treg and away from IL-2 receptors on other cells. Pegylated IL-2 therapy, such as rezpegaldesleukin, has shown efficacy in randomized phase 2 trials in AD and alopecia areata patients but development in SLE was stopped after a phase 2b trial failed to meet its primary endpoint. We believe the limited and inconsistent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efficacy observed with pegylated IL-2 and IL-2 muteins is likely due to the limited or absent ability of IL-2 to increase Treg immunosuppressive function, to promote Treg stability in inflammatory conditions, or to promote Treg migration to diseased tissue. Finally, IL-2 has low cell type selectivity and has the potential to activate or expand other non-Treg cell types. As described below, we believe TNFR2 agonist-expanded Treg have the potential to overcome the limitations of IL-2 expanded Treg.</w:t>
      </w:r>
    </w:p>
    <w:p>
      <w:pPr>
        <w:pStyle w:val="TextBody"/>
        <w:bidi w:val="0"/>
        <w:spacing w:before="240" w:after="283"/>
        <w:jc w:val="center"/>
        <w:rPr>
          <w:rFonts w:ascii="Arial" w:hAnsi="Arial"/>
          <w:b/>
          <w:color w:val="000000"/>
          <w:sz w:val="20"/>
        </w:rPr>
      </w:pPr>
      <w:r>
        <w:rPr>
          <w:rFonts w:ascii="Arial" w:hAnsi="Arial"/>
          <w:b/>
          <w:color w:val="000000"/>
          <w:sz w:val="20"/>
        </w:rPr>
        <w:t>Potential of TNFR2-Induced Treg</w:t>
      </w:r>
    </w:p>
    <w:p>
      <w:pPr>
        <w:pStyle w:val="TextBody"/>
        <w:bidi w:val="0"/>
        <w:spacing w:before="240" w:after="283"/>
        <w:jc w:val="center"/>
        <w:rPr/>
      </w:pPr>
      <w:r>
        <w:rPr/>
        <w:drawing>
          <wp:inline distT="0" distB="0" distL="0" distR="0">
            <wp:extent cx="5029200" cy="3667125"/>
            <wp:effectExtent l="0" t="0" r="0" b="0"/>
            <wp:docPr id="5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5" descr=""/>
                    <pic:cNvPicPr>
                      <a:picLocks noChangeAspect="1" noChangeArrowheads="1"/>
                    </pic:cNvPicPr>
                  </pic:nvPicPr>
                  <pic:blipFill>
                    <a:blip r:embed="rId56"/>
                    <a:stretch>
                      <a:fillRect/>
                    </a:stretch>
                  </pic:blipFill>
                  <pic:spPr bwMode="auto">
                    <a:xfrm>
                      <a:off x="0" y="0"/>
                      <a:ext cx="5029200" cy="3667125"/>
                    </a:xfrm>
                    <a:prstGeom prst="rect">
                      <a:avLst/>
                    </a:prstGeom>
                  </pic:spPr>
                </pic:pic>
              </a:graphicData>
            </a:graphic>
          </wp:inline>
        </w:drawing>
      </w:r>
    </w:p>
    <w:p>
      <w:pPr>
        <w:pStyle w:val="TextBody"/>
        <w:bidi w:val="0"/>
        <w:spacing w:before="240" w:after="283"/>
        <w:ind w:left="0" w:right="0" w:firstLine="612"/>
        <w:jc w:val="left"/>
        <w:rPr>
          <w:rFonts w:ascii="Times New Roman" w:hAnsi="Times New Roman"/>
          <w:sz w:val="20"/>
        </w:rPr>
      </w:pPr>
      <w:r>
        <w:rPr>
          <w:rFonts w:ascii="Arial" w:hAnsi="Arial"/>
          <w:color w:val="000000"/>
          <w:sz w:val="20"/>
        </w:rPr>
        <w:t>We also believe that cell-based Treg therapies may not be suitable for the treatment of immunology indications that affect large patient populations for logistical, cost and benefit-risk considerations. Durability of response and ability to re-treat with cell-based Treg therapies are unknown, even though both are critical considerations for therapies used to treat chronic diseases. Second, the understood manufacturing challenges, including cost and scale, make it difficult for cell therapies to be used in large numbers of patients with autoimmune diseases and to date their limited use supports this point. Third, cell therapy requires ablation of the immune system, an element of this treatment approach that may introduce significant morbidity, and in particular infection risk, that may outweigh the potential benefit, particularly for patients with less severe disease.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believe TNFR2 agonists have the potential to be a well-suited approach for the large number of patients with immune diseases who could benefit from a treatment that maximizes the therapeutic effects of Treg. In addition, the established nature of protein therapeutics as a treatment modality for autoimmune diseases supports the feasibility and general acceptance expected for a TNFR2 V-body agonist. Based on these rationales, we initiated a discovery program to identify potent agonists of TNFR2 with Treg selective effects using our V-body protein therapeutics platform. These efforts led to the discovery and selection of our development candidate, OD-003.</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IL-2 Therapies Support Potential of Treg but Have Limitations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Low-dose IL-2 treatments have been tested in dozens of small, typically single-center, uncontrolled studies across a number of autoimmune indications. In SLE, a number of studies enrolling between one and 38 patients have shown the ability of low-dose IL-2 to increase absolute Treg number in the blood alongside improvements in disease activity indices (e.g., SLEDAI, BILAG or SRI-4 scores), reduction in disease flares and reduction or normalization of biomarkers of disease (e.g., proteinuria). Despite the benefits observed in some IL-2 studies, other studies show inconsistent results. We believe inherent limitations of low-dose IL-2 limited its efficacy and prevented widespread use. These limitations include a short half-life and the potential for activation of Teff, eosinophils or cell types that could reduce efficacy or introduce safety and tolerability concerns.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Follow-on approaches to low-dose IL-2 have been centered on the use of half-life extended IL-2 or IL-2 muteins with biased selectivity towards Treg over other cell types, such as Teff.</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most advanced of these next-generation approaches is rezpegaldesleukin, which reported phase 2b results in AD in early 2026. In the trial, the half-life extended IL-2 achieved an increase in Treg number and all three doses tested met the primary endpoint of percentage improvement in the eczema area and severity index, or EASI, at 16 weeks. EASI is a validated tool to measure the extent and severity of AD. All six of the key secondary endpoints for efficacy were also met at the highest dose tested of 24 μg/kg dosed every two weeks. However, this group also had the highest rate of TEAEs as compared to lower dose groups and placebo. The most common TEAEs experienced in the 24 μg/kg group were eosinophilia, lymphadenopathy, musculoskeletal and connective tissue disorders, and fever. We believe these adverse events are linked to the pleiotropic effects from IL-2 agonizing non-Treg cells.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summary, we believe the data reported from low-dose IL-2 and IL-2 comparator clinical trials supports the hypothesis that Treg can be modulated pharmacologically across autoimmune diseases. However, we believe there continue to be limitations in Treg therapeutic effectiveness by targeting the IL-2 receptor.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Cell Therapy Is a Challenging Approach to Treat Autoimmune and Inflammatory Disease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Cell therapy is another mechanism to modulate Treg that is being pursued by multiple biotechnology companies and includes both autologous and allogeneic approaches. Similar to low-dose IL-2 therapies, there is a significant amount of evidence supporting a cell therapy approach from small cohorts of patients treated for both autoimmune and inflammatory disease both from industry sponsors and in single center academic trials.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However, we believe there are multiple challenges implicit to cell therapy as a modality that could limit its potential in patients with autoimmune and inflammatory diseases. The first is the need for a complex manufacturing and logistical process that can take weeks from making a decision to treat to the start of treatment. The second is administration and safety: patients require immune system ablation, hospitalization or specialized outpatient care, and may require ongoing monitoring for months around the time of treatment. As a result, cell therapy treatments can cost several hundreds of thousands of dollars for certain patients, which may preclude use for patients with mild or moderate disease. In addition, there is significant uncertainty around the durability and re-treatment potential of cell therapy, both of which are critical characteristics to understand potential benefit for patients with chronic autoimmune and inflammatory diseases.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Therefore, despite evidence supporting the potential of a Treg modulator to be effective in multiple autoimmune and inflammatory diseases, we believe that existing approaches are limited by their inability to induce key biological responses or because of the complexities and risks associated with cell therapy.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Our Solution—TNFR2 V-Body Agonist (OD-003)</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believe agonizing TNFR2 is a promising approach to modulate Treg for treating autoimmune and inflammatory disease. We designed our VHH-based protein therapeutic, OD-003, to selectively agonize TNFR2 to increase the number of Treg, improve their function, enhance their stability in inflammatory environments and induce a tissue repair phenotype.</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OD-003 is designed to cluster the TNFR2 receptor on the cell surface while not blocking endogenous TNF binding, which otherwise may reduce efficacy. The program has completed developability assessments related to CMC, manufacturing and high-concentration formulation testing to enable either subcutaneous dosing or intravenous infusion and non-GLP dose range finding studies in non-human primates. IND-enabling activities for OD-003 are ongoing and expected to complete in the first quarter of 2027.</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 xml:space="preserve">Because OD-003 is selective for human TNFR2 and does not interact with murine TNFR2, our </w:t>
      </w:r>
      <w:r>
        <w:rPr>
          <w:rFonts w:ascii="Arial" w:hAnsi="Arial"/>
          <w:i/>
          <w:color w:val="000000"/>
          <w:sz w:val="20"/>
        </w:rPr>
        <w:t>in vivo</w:t>
      </w:r>
      <w:r>
        <w:rPr>
          <w:rFonts w:ascii="Times New Roman" w:hAnsi="Times New Roman"/>
          <w:color w:val="000000"/>
          <w:sz w:val="20"/>
        </w:rPr>
        <w:t xml:space="preserve"> </w:t>
      </w:r>
      <w:r>
        <w:rPr>
          <w:rFonts w:ascii="Arial" w:hAnsi="Arial"/>
          <w:color w:val="000000"/>
          <w:sz w:val="20"/>
        </w:rPr>
        <w:t>assessments have utilized human TNFR2 knock-in mice models or a surrogate TNFR2 agonist that binds mouse TNFR2 for use in wild type mouse models. The use of mouse surrogate molecules for preclinical assessment is consistent with FDA guidance.</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We compared the activities of OD-003 and the TNFR2 murine surrogate agonist against multiple IL-2-based compounds and one monoclonal antibody TNFR2 agonist for which information on the protein sequence was publicly available. Our studies evaluated key therapeutic objectives including: (1) selective expansion of Treg versus effects on other cell types such as Teff and endothelial cells, (2) increase in immuno-suppressive function with enhanced stability in inflammatory environments, (3) induction of Treg in tissues with gene expression associated with a tissue repair phenotype and (4) efficacy in animal models of disease.</w:t>
      </w:r>
    </w:p>
    <w:p>
      <w:pPr>
        <w:pStyle w:val="TextBody"/>
        <w:bidi w:val="0"/>
        <w:spacing w:before="240" w:after="283"/>
        <w:jc w:val="left"/>
        <w:rPr>
          <w:rFonts w:ascii="Times New Roman" w:hAnsi="Times New Roman"/>
          <w:sz w:val="20"/>
        </w:rPr>
      </w:pPr>
      <w:r>
        <w:rPr>
          <w:rFonts w:ascii="Arial" w:hAnsi="Arial"/>
          <w:i/>
          <w:color w:val="000000"/>
          <w:sz w:val="20"/>
        </w:rPr>
        <w:t>In Vivo Efficacy with TNFR2 Murine Surrogate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 xml:space="preserve">We have conducted </w:t>
      </w:r>
      <w:r>
        <w:rPr>
          <w:rFonts w:ascii="Arial" w:hAnsi="Arial"/>
          <w:i/>
          <w:color w:val="000000"/>
          <w:sz w:val="20"/>
        </w:rPr>
        <w:t>in vivo</w:t>
      </w:r>
      <w:r>
        <w:rPr>
          <w:rFonts w:ascii="Times New Roman" w:hAnsi="Times New Roman"/>
          <w:color w:val="000000"/>
          <w:sz w:val="20"/>
        </w:rPr>
        <w:t xml:space="preserve"> </w:t>
      </w:r>
      <w:r>
        <w:rPr>
          <w:rFonts w:ascii="Arial" w:hAnsi="Arial"/>
          <w:color w:val="000000"/>
          <w:sz w:val="20"/>
        </w:rPr>
        <w:t>efficacy experiments with the TNFR2 murine surrogate, which we refer to as TNFR2 agonist, primarily to address three questions: (1) can TNFR2 agonism reduce disease when dosed therapeutically, (2) do</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TNFR2-induced Treg result in different tissue trafficking or efficacy versus IL-2, (3) does repeat dosing of a TNFR2 agonist result in a consistent PD effect with little to no immune activation after each dose.</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To evaluate these questions, we designed single-dose and repeat- dose studies in the experimental autoimmune encephalomyelitis, or EAE, murine model. The EAE model is a well validated model that resembles human MS, with results translating to clinical efficacy in third-party clinical trials, including with respect to the approved agent, filgotinib. In these experiments we assessed a therapeutic dosing paradigm, whereby treatment is initiated after the mice develop disease, which is considered a relatively higher threshold for efficacy and safety compared to prophylactic dosing, where treatment is initiated before the mice develop disease.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the single-dose study EAE was induced in C57BL/6 mice by subcutaneous administration of 100 µg of myelin oligodendrocyte glycoprotein, or MOG, in complete Freund’s adjuvant, or CFA, at day 0 with intraperitoneal injection of 150 ng of pertussis toxin at day 0 and day 1. At day 8, mice were injected subcutaneously with the TNFR2 agonist at 30 mg/kg, control V-body, or IL-2 Comparator 1 at 1 mg/kg with 10 animals per group. IL-2 Comparator 1 is IL-2 mutein N88D, an exemplar of compounds described in the article titled “</w:t>
      </w:r>
      <w:r>
        <w:rPr>
          <w:rFonts w:ascii="Arial" w:hAnsi="Arial"/>
          <w:i/>
          <w:color w:val="000000"/>
          <w:sz w:val="20"/>
        </w:rPr>
        <w:t>A long-lived IL-2 mutein that selectively activates and expands regulatory T cells as a therapy for autoimmune disease</w:t>
      </w:r>
      <w:r>
        <w:rPr>
          <w:rFonts w:ascii="Times New Roman" w:hAnsi="Times New Roman"/>
          <w:color w:val="000000"/>
          <w:sz w:val="20"/>
        </w:rPr>
        <w:t xml:space="preserve">” </w:t>
      </w:r>
      <w:r>
        <w:rPr>
          <w:rFonts w:ascii="Arial" w:hAnsi="Arial"/>
          <w:color w:val="000000"/>
          <w:sz w:val="20"/>
        </w:rPr>
        <w:t>published in Volume 95 of the Journal of Autoimmunity and “</w:t>
      </w:r>
      <w:r>
        <w:rPr>
          <w:rFonts w:ascii="Arial" w:hAnsi="Arial"/>
          <w:i/>
          <w:color w:val="000000"/>
          <w:sz w:val="20"/>
        </w:rPr>
        <w:t>Structure of the quaternary complex of interleukin-2 with its alpha, beta, and gamma receptors</w:t>
      </w:r>
      <w:r>
        <w:rPr>
          <w:rFonts w:ascii="Times New Roman" w:hAnsi="Times New Roman"/>
          <w:color w:val="000000"/>
          <w:sz w:val="20"/>
        </w:rPr>
        <w:t xml:space="preserve">” </w:t>
      </w:r>
      <w:r>
        <w:rPr>
          <w:rFonts w:ascii="Arial" w:hAnsi="Arial"/>
          <w:color w:val="000000"/>
          <w:sz w:val="20"/>
        </w:rPr>
        <w:t>published in Volume 310, Issue 5751 of Science. We observed significantly reduced disease severity in TNFR2 agonist treated mice, as compared to both the V-body control and IL-2 Comparator 1 treated groups at day 17. In this experiment, the IL-2 Comparator 1 treated group was statistically indistinguishable from control on EAE score at day 17. The results from this study are below.</w:t>
      </w:r>
    </w:p>
    <w:p>
      <w:pPr>
        <w:pStyle w:val="TextBody"/>
        <w:bidi w:val="0"/>
        <w:spacing w:before="240" w:after="283"/>
        <w:ind w:left="0" w:right="0" w:firstLine="612"/>
        <w:jc w:val="center"/>
        <w:rPr>
          <w:rFonts w:ascii="Arial" w:hAnsi="Arial"/>
          <w:b/>
          <w:color w:val="000000"/>
          <w:sz w:val="20"/>
        </w:rPr>
      </w:pPr>
      <w:r>
        <w:rPr>
          <w:rFonts w:ascii="Arial" w:hAnsi="Arial"/>
          <w:b/>
          <w:color w:val="000000"/>
          <w:sz w:val="20"/>
        </w:rPr>
        <w:t>EAE score on day 17</w:t>
      </w:r>
    </w:p>
    <w:p>
      <w:pPr>
        <w:pStyle w:val="TextBody"/>
        <w:bidi w:val="0"/>
        <w:spacing w:before="240" w:after="283"/>
        <w:jc w:val="center"/>
        <w:rPr/>
      </w:pPr>
      <w:r>
        <w:rPr/>
        <w:drawing>
          <wp:inline distT="0" distB="0" distL="0" distR="0">
            <wp:extent cx="4400550" cy="2638425"/>
            <wp:effectExtent l="0" t="0" r="0" b="0"/>
            <wp:docPr id="5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6" descr=""/>
                    <pic:cNvPicPr>
                      <a:picLocks noChangeAspect="1" noChangeArrowheads="1"/>
                    </pic:cNvPicPr>
                  </pic:nvPicPr>
                  <pic:blipFill>
                    <a:blip r:embed="rId57"/>
                    <a:stretch>
                      <a:fillRect/>
                    </a:stretch>
                  </pic:blipFill>
                  <pic:spPr bwMode="auto">
                    <a:xfrm>
                      <a:off x="0" y="0"/>
                      <a:ext cx="4400550" cy="2638425"/>
                    </a:xfrm>
                    <a:prstGeom prst="rect">
                      <a:avLst/>
                    </a:prstGeom>
                  </pic:spPr>
                </pic:pic>
              </a:graphicData>
            </a:graphic>
          </wp:inline>
        </w:drawing>
      </w:r>
    </w:p>
    <w:p>
      <w:pPr>
        <w:pStyle w:val="TextBody"/>
        <w:bidi w:val="0"/>
        <w:spacing w:before="120" w:after="283"/>
        <w:jc w:val="center"/>
        <w:rPr>
          <w:rFonts w:ascii="Arial" w:hAnsi="Arial"/>
          <w:i/>
          <w:color w:val="000000"/>
          <w:sz w:val="20"/>
        </w:rPr>
      </w:pPr>
      <w:r>
        <w:rPr>
          <w:rFonts w:ascii="Arial" w:hAnsi="Arial"/>
          <w:i/>
          <w:color w:val="000000"/>
          <w:sz w:val="20"/>
        </w:rPr>
        <w:t>To induce experimental autoimmune encephalomyelitis, C57BL/6 mice were injected with MOG peptide + CFA on day 0 and pertussis toxin on day 0 and day 1. On day 8, mice were injected subcutaneously with TNFR2 agonist at 30 mg/kg (n=10), IL-2 Comparator 1 at 1 mg/kg (n=10) or control molecule (n=10). One-way ANOVA, * = p &lt; 0.05; n.s.= not significant.</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this study we also assessed the effect of treatment on Treg expansion, markers of Treg tissue healing potential, and trafficking to the site of disease, in this case the brain. As shown in the graphs below both TNFR2 agonist and IL-2 Comparator 1 resulted in a statistically significant ≥ 1.5x increase in Treg number in the spleen compared to control V-body. However, only TNFR2 agonist increased BATF expression on Treg and increased Treg number in the brain. We believe this study demonstrated the differentiated efficacy possible with TNFR2 agonism versus IL-2 agonism. In addition, we believe that the results demonstrate induction of a Treg tissue regenerative phenotype and trafficking of Treg to the site of disease with TNFR2 agonism.</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612"/>
        <w:jc w:val="center"/>
        <w:rPr>
          <w:rFonts w:ascii="Arial" w:hAnsi="Arial"/>
          <w:b/>
          <w:color w:val="000000"/>
          <w:sz w:val="20"/>
        </w:rPr>
      </w:pPr>
      <w:r>
        <w:rPr>
          <w:rFonts w:ascii="Arial" w:hAnsi="Arial"/>
          <w:b/>
          <w:color w:val="000000"/>
          <w:sz w:val="20"/>
        </w:rPr>
        <w:t>Treg Number in Tissue and Marker of Treg Tissue Regeneration Capacity</w:t>
      </w:r>
    </w:p>
    <w:p>
      <w:pPr>
        <w:pStyle w:val="TextBody"/>
        <w:bidi w:val="0"/>
        <w:spacing w:before="240" w:after="283"/>
        <w:jc w:val="center"/>
        <w:rPr/>
      </w:pPr>
      <w:r>
        <w:rPr/>
        <w:drawing>
          <wp:inline distT="0" distB="0" distL="0" distR="0">
            <wp:extent cx="4772025" cy="3362325"/>
            <wp:effectExtent l="0" t="0" r="0" b="0"/>
            <wp:docPr id="5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7" descr=""/>
                    <pic:cNvPicPr>
                      <a:picLocks noChangeAspect="1" noChangeArrowheads="1"/>
                    </pic:cNvPicPr>
                  </pic:nvPicPr>
                  <pic:blipFill>
                    <a:blip r:embed="rId58"/>
                    <a:stretch>
                      <a:fillRect/>
                    </a:stretch>
                  </pic:blipFill>
                  <pic:spPr bwMode="auto">
                    <a:xfrm>
                      <a:off x="0" y="0"/>
                      <a:ext cx="4772025" cy="3362325"/>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Bar histograms show Treg (FOXP3+ of CD4) in spleen and brain and BATF</w:t>
      </w:r>
      <w:r>
        <w:rPr>
          <w:rFonts w:ascii="Arial" w:hAnsi="Arial"/>
          <w:i/>
          <w:color w:val="000000"/>
          <w:sz w:val="13"/>
        </w:rPr>
        <w:t>high</w:t>
      </w:r>
      <w:r>
        <w:rPr>
          <w:rFonts w:ascii="Times New Roman" w:hAnsi="Times New Roman"/>
          <w:color w:val="000000"/>
          <w:sz w:val="20"/>
        </w:rPr>
        <w:t xml:space="preserve"> </w:t>
      </w:r>
      <w:r>
        <w:rPr>
          <w:rFonts w:ascii="Arial" w:hAnsi="Arial"/>
          <w:i/>
          <w:color w:val="000000"/>
          <w:sz w:val="20"/>
        </w:rPr>
        <w:t>cell of CD4+FOXP3+ in spleen, 5 days after injection. There was an average of four to eight mice +/- SD per group. One-way ANOVA, * = p &lt; 0.05; **** = p &lt; 0.0001.</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 xml:space="preserve">In the repeat-dose EAE study, disease was induced in C57BL/6 mice by subcutaneous administration of 100 µg of MOG in CFA at day 0 with intraperitoneal injection of 150 ng of pertussis toxin at day 0 and day 1. At day 8 and 15, mice were injected subcutaneously with the TNFR2 agonist at 30 mg/kg </w:t>
      </w:r>
      <w:r>
        <w:rPr>
          <w:rFonts w:ascii="Arial" w:hAnsi="Arial"/>
          <w:i/>
          <w:color w:val="000000"/>
          <w:sz w:val="20"/>
        </w:rPr>
        <w:t>(n=18)</w:t>
      </w:r>
      <w:r>
        <w:rPr>
          <w:rFonts w:ascii="Times New Roman" w:hAnsi="Times New Roman"/>
          <w:color w:val="000000"/>
          <w:sz w:val="20"/>
        </w:rPr>
        <w:t xml:space="preserve"> </w:t>
      </w:r>
      <w:r>
        <w:rPr>
          <w:rFonts w:ascii="Arial" w:hAnsi="Arial"/>
          <w:color w:val="000000"/>
          <w:sz w:val="20"/>
        </w:rPr>
        <w:t xml:space="preserve">or control V-body </w:t>
      </w:r>
      <w:r>
        <w:rPr>
          <w:rFonts w:ascii="Arial" w:hAnsi="Arial"/>
          <w:i/>
          <w:color w:val="000000"/>
          <w:sz w:val="20"/>
        </w:rPr>
        <w:t>(n=18)</w:t>
      </w:r>
      <w:r>
        <w:rPr>
          <w:rFonts w:ascii="Arial" w:hAnsi="Arial"/>
          <w:color w:val="000000"/>
          <w:sz w:val="20"/>
        </w:rPr>
        <w:t>. In this experiment, we observed significantly reduced disease severity in TNFR2 agonist treated mice, compared to control group at day 20. The results from this study are shown below.</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Arial" w:hAnsi="Arial"/>
          <w:b/>
          <w:color w:val="000000"/>
          <w:sz w:val="20"/>
        </w:rPr>
        <w:t>Repeat Therapeutic Doses of TNFR2 Agonist Reduced Development of Neurodegenerative Disease in Murine EAE Model of Human Multiple Sclerosis</w:t>
      </w:r>
      <w:r>
        <w:rPr>
          <w:rFonts w:ascii="Times New Roman" w:hAnsi="Times New Roman"/>
          <w:color w:val="000000"/>
          <w:sz w:val="20"/>
        </w:rPr>
        <w:t xml:space="preserve"> </w:t>
      </w:r>
    </w:p>
    <w:p>
      <w:pPr>
        <w:pStyle w:val="TextBody"/>
        <w:bidi w:val="0"/>
        <w:spacing w:before="240" w:after="283"/>
        <w:jc w:val="center"/>
        <w:rPr/>
      </w:pPr>
      <w:r>
        <w:rPr/>
        <w:drawing>
          <wp:inline distT="0" distB="0" distL="0" distR="0">
            <wp:extent cx="2847975" cy="4381500"/>
            <wp:effectExtent l="0" t="0" r="0" b="0"/>
            <wp:docPr id="5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8" descr=""/>
                    <pic:cNvPicPr>
                      <a:picLocks noChangeAspect="1" noChangeArrowheads="1"/>
                    </pic:cNvPicPr>
                  </pic:nvPicPr>
                  <pic:blipFill>
                    <a:blip r:embed="rId59"/>
                    <a:stretch>
                      <a:fillRect/>
                    </a:stretch>
                  </pic:blipFill>
                  <pic:spPr bwMode="auto">
                    <a:xfrm>
                      <a:off x="0" y="0"/>
                      <a:ext cx="2847975" cy="4381500"/>
                    </a:xfrm>
                    <a:prstGeom prst="rect">
                      <a:avLst/>
                    </a:prstGeom>
                  </pic:spPr>
                </pic:pic>
              </a:graphicData>
            </a:graphic>
          </wp:inline>
        </w:drawing>
      </w:r>
    </w:p>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A total of 36 mice, divided equally between the two treatment groups, were evaluated in this study. To induce experimental autoimmune encephalomyelitis, C57BL/6 mice were injected with MOG peptide + CFA on day 0 and pertussis toxin on day 0 and day 1. On day 8 and 15, mice were injected subcutaneously with mouse TNFR2 agonist or control molecule at 30 mg/kg. EAE score was assessed at day 20. T-test was used to evaluate statistical significance between treatment group and control; ** = p &lt; 0.01.</w:t>
      </w:r>
    </w:p>
    <w:p>
      <w:pPr>
        <w:pStyle w:val="TextBody"/>
        <w:bidi w:val="0"/>
        <w:spacing w:before="240" w:after="283"/>
        <w:ind w:left="0" w:right="0" w:firstLine="619"/>
        <w:jc w:val="left"/>
        <w:rPr>
          <w:rFonts w:ascii="Times New Roman" w:hAnsi="Times New Roman"/>
          <w:sz w:val="20"/>
        </w:rPr>
      </w:pPr>
      <w:r>
        <w:rPr>
          <w:rFonts w:ascii="Arial" w:hAnsi="Arial"/>
          <w:color w:val="000000"/>
          <w:sz w:val="20"/>
        </w:rPr>
        <w:t>In this study we also assessed the effect of repeat dosing on Treg expansion and selectivity. As shown in the graphs below the magnitude of Treg increase was the same five days after the first or second dose and, at both of these time points, no increase in CD4+ or CD8+ T effector cells was observed.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Treg and Teff Cell Population Size After First and Second Dose of TNFR2 Agonist</w:t>
      </w:r>
    </w:p>
    <w:p>
      <w:pPr>
        <w:pStyle w:val="TextBody"/>
        <w:bidi w:val="0"/>
        <w:spacing w:before="240" w:after="283"/>
        <w:jc w:val="center"/>
        <w:rPr/>
      </w:pPr>
      <w:r>
        <w:rPr/>
        <w:drawing>
          <wp:inline distT="0" distB="0" distL="0" distR="0">
            <wp:extent cx="6572250" cy="4486275"/>
            <wp:effectExtent l="0" t="0" r="0" b="0"/>
            <wp:docPr id="6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9" descr=""/>
                    <pic:cNvPicPr>
                      <a:picLocks noChangeAspect="1" noChangeArrowheads="1"/>
                    </pic:cNvPicPr>
                  </pic:nvPicPr>
                  <pic:blipFill>
                    <a:blip r:embed="rId60"/>
                    <a:stretch>
                      <a:fillRect/>
                    </a:stretch>
                  </pic:blipFill>
                  <pic:spPr bwMode="auto">
                    <a:xfrm>
                      <a:off x="0" y="0"/>
                      <a:ext cx="6572250" cy="4486275"/>
                    </a:xfrm>
                    <a:prstGeom prst="rect">
                      <a:avLst/>
                    </a:prstGeom>
                  </pic:spPr>
                </pic:pic>
              </a:graphicData>
            </a:graphic>
          </wp:inline>
        </w:drawing>
      </w:r>
    </w:p>
    <w:p>
      <w:pPr>
        <w:pStyle w:val="TextBody"/>
        <w:bidi w:val="0"/>
        <w:spacing w:before="120" w:after="283"/>
        <w:jc w:val="center"/>
        <w:rPr>
          <w:rFonts w:ascii="Arial" w:hAnsi="Arial"/>
          <w:i/>
          <w:color w:val="000000"/>
          <w:sz w:val="20"/>
        </w:rPr>
      </w:pPr>
      <w:r>
        <w:rPr>
          <w:rFonts w:ascii="Arial" w:hAnsi="Arial"/>
          <w:i/>
          <w:color w:val="000000"/>
          <w:sz w:val="20"/>
        </w:rPr>
        <w:t>Bar histograms show Treg (FOXP3+ of CD4), CD4+FOXP3- of CD45, and CD8+FOXP3- of CD45+ immune cells in blood 5 days after 1st or 2nd injection (day 13 and 20 respectively). There was an average of four mice +/- SD per group; t-test, * = p &lt; 0.05; *** = p &lt; 0.001.</w:t>
      </w:r>
    </w:p>
    <w:p>
      <w:pPr>
        <w:pStyle w:val="TextBody"/>
        <w:bidi w:val="0"/>
        <w:spacing w:before="240" w:after="283"/>
        <w:jc w:val="left"/>
        <w:rPr>
          <w:rFonts w:ascii="Times New Roman" w:hAnsi="Times New Roman"/>
          <w:sz w:val="20"/>
        </w:rPr>
      </w:pPr>
      <w:r>
        <w:rPr>
          <w:rFonts w:ascii="Arial" w:hAnsi="Arial"/>
          <w:i/>
          <w:color w:val="000000"/>
          <w:sz w:val="20"/>
        </w:rPr>
        <w:t>Treg Proliferation and Selectivity</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one study, we compared OD-003 to a tool TNFR2 agonist monoclonal antibody, which we refer to as tool mAb, and IL-2 Comparator 1, for effects on proliferation of Treg and Teff in vitro. The tool mAb is a compound described in the article titled “</w:t>
      </w:r>
      <w:r>
        <w:rPr>
          <w:rFonts w:ascii="Arial" w:hAnsi="Arial"/>
          <w:i/>
          <w:color w:val="000000"/>
          <w:sz w:val="20"/>
        </w:rPr>
        <w:t>An Autocrine TNF</w:t>
      </w:r>
      <w:r>
        <w:rPr>
          <w:rFonts w:ascii="Arial" w:hAnsi="Arial"/>
          <w:i/>
          <w:color w:val="202122"/>
          <w:sz w:val="20"/>
        </w:rPr>
        <w:t>α</w:t>
      </w:r>
      <w:r>
        <w:rPr>
          <w:rFonts w:ascii="Times New Roman" w:hAnsi="Times New Roman"/>
          <w:color w:val="000000"/>
          <w:sz w:val="20"/>
        </w:rPr>
        <w:t>—</w:t>
      </w:r>
      <w:r>
        <w:rPr>
          <w:rFonts w:ascii="Arial" w:hAnsi="Arial"/>
          <w:i/>
          <w:color w:val="000000"/>
          <w:sz w:val="20"/>
        </w:rPr>
        <w:t>Tumor Necrosis Factor Receptor 2 Loop Promotes Epigenetic Effects Inducing Human Treg Stability In Vitro</w:t>
      </w:r>
      <w:r>
        <w:rPr>
          <w:rFonts w:ascii="Times New Roman" w:hAnsi="Times New Roman"/>
          <w:color w:val="000000"/>
          <w:sz w:val="20"/>
        </w:rPr>
        <w:t xml:space="preserve">” </w:t>
      </w:r>
      <w:r>
        <w:rPr>
          <w:rFonts w:ascii="Arial" w:hAnsi="Arial"/>
          <w:color w:val="000000"/>
          <w:sz w:val="20"/>
        </w:rPr>
        <w:t>published in Volume 9 of Frontiers in Immunology. In this study, we cultured human PBMCs from eight donors with 0.05 ng/mL of anti-CD3 antibody, and measured proliferation at day five by fluorescent cell-tracer dilution. OD-003 was observed to selectively induce proliferation of Treg (CD4+FOXP3+), whereas IL-2 Comparator 1 was observed to induce proliferation of both Treg and Teff (CD4+FOXP3- and CD8+FOXP3-), at concentrations above approximately 0.1 nM. The tool mAb was observed to show the lowest selectivity for Treg over Teff. The relative magnitude of proliferation of Treg compared to Teff observed supports our belief that treatment with OD-003 would result in less CD4 and CD8 activation compared to IL-2 comparators or the tool mAb. The comparisons and results described below may differ in material ways from third-party studies that use the tool mAb or IL-2 Comparator 1.</w:t>
      </w:r>
    </w:p>
    <w:p>
      <w:pPr>
        <w:pStyle w:val="TextBody"/>
        <w:bidi w:val="0"/>
        <w:spacing w:before="120" w:after="283"/>
        <w:jc w:val="center"/>
        <w:rPr>
          <w:rFonts w:ascii="Arial" w:hAnsi="Arial"/>
          <w:color w:val="000000"/>
          <w:sz w:val="20"/>
        </w:rPr>
      </w:pPr>
      <w:r>
        <w:rPr>
          <w:rFonts w:ascii="Arial" w:hAnsi="Arial"/>
          <w:color w:val="000000"/>
          <w:sz w:val="20"/>
        </w:rPr>
        <w:t>153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Arial" w:hAnsi="Arial"/>
          <w:b/>
          <w:color w:val="000000"/>
          <w:sz w:val="20"/>
        </w:rPr>
      </w:pPr>
      <w:r>
        <w:rPr>
          <w:rFonts w:ascii="Arial" w:hAnsi="Arial"/>
          <w:b/>
          <w:color w:val="000000"/>
          <w:sz w:val="20"/>
        </w:rPr>
        <w:t>Comparison of In Vitro Treg and Teff Proliferation in PBMCs Across OD-003, Tool mAb and IL-2 Comparator 1</w:t>
      </w:r>
    </w:p>
    <w:p>
      <w:pPr>
        <w:pStyle w:val="TextBody"/>
        <w:bidi w:val="0"/>
        <w:spacing w:before="240" w:after="283"/>
        <w:jc w:val="center"/>
        <w:rPr/>
      </w:pPr>
      <w:r>
        <w:rPr/>
        <w:drawing>
          <wp:inline distT="0" distB="0" distL="0" distR="0">
            <wp:extent cx="6115050" cy="2647950"/>
            <wp:effectExtent l="0" t="0" r="0" b="0"/>
            <wp:docPr id="6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0" descr=""/>
                    <pic:cNvPicPr>
                      <a:picLocks noChangeAspect="1" noChangeArrowheads="1"/>
                    </pic:cNvPicPr>
                  </pic:nvPicPr>
                  <pic:blipFill>
                    <a:blip r:embed="rId61"/>
                    <a:stretch>
                      <a:fillRect/>
                    </a:stretch>
                  </pic:blipFill>
                  <pic:spPr bwMode="auto">
                    <a:xfrm>
                      <a:off x="0" y="0"/>
                      <a:ext cx="6115050" cy="2647950"/>
                    </a:xfrm>
                    <a:prstGeom prst="rect">
                      <a:avLst/>
                    </a:prstGeom>
                  </pic:spPr>
                </pic:pic>
              </a:graphicData>
            </a:graphic>
          </wp:inline>
        </w:drawing>
      </w:r>
    </w:p>
    <w:p>
      <w:pPr>
        <w:pStyle w:val="TextBody"/>
        <w:bidi w:val="0"/>
        <w:spacing w:before="240" w:after="283"/>
        <w:ind w:left="0" w:right="0" w:firstLine="612"/>
        <w:jc w:val="left"/>
        <w:rPr>
          <w:rFonts w:ascii="Times New Roman" w:hAnsi="Times New Roman"/>
          <w:sz w:val="20"/>
        </w:rPr>
      </w:pPr>
      <w:r>
        <w:rPr>
          <w:rFonts w:ascii="Arial" w:hAnsi="Arial"/>
          <w:color w:val="000000"/>
          <w:sz w:val="20"/>
        </w:rPr>
        <w:t>Given the expression of TNFR2 on non-Treg and non-Teff cells, we tested in another study the effects of OD-003 on human vascular endothelial cells, or HUVEC, which expresses low levels of TNFR2, through assessing production of MCP-1 following treatment with OD-003. MCP-1 is a proinflammatory cytokine produced by endothelial cells following activation, and increased MCP-1 has been linked to increased risk of cardiovascular events and death. The data presented below reflects data from a cell pool of four donors. The two comparators included in this experiment were a control V-body and the tool mAb, which showed an approximately five-fold increase in HUVEC activation in vitro. We observed a selectivity margin for OD-003 greater than or equal to 250 times for the EC</w:t>
      </w:r>
      <w:r>
        <w:rPr>
          <w:rFonts w:ascii="Arial" w:hAnsi="Arial"/>
          <w:color w:val="000000"/>
          <w:sz w:val="13"/>
        </w:rPr>
        <w:t>50</w:t>
      </w:r>
      <w:r>
        <w:rPr>
          <w:rFonts w:ascii="Times New Roman" w:hAnsi="Times New Roman"/>
          <w:color w:val="000000"/>
          <w:sz w:val="20"/>
        </w:rPr>
        <w:t xml:space="preserve"> </w:t>
      </w:r>
      <w:r>
        <w:rPr>
          <w:rFonts w:ascii="Arial" w:hAnsi="Arial"/>
          <w:color w:val="000000"/>
          <w:sz w:val="20"/>
        </w:rPr>
        <w:t>of Treg activation, measured by proliferation, compared to the absolute EC</w:t>
      </w:r>
      <w:r>
        <w:rPr>
          <w:rFonts w:ascii="Arial" w:hAnsi="Arial"/>
          <w:color w:val="000000"/>
          <w:sz w:val="13"/>
        </w:rPr>
        <w:t>50</w:t>
      </w:r>
      <w:r>
        <w:rPr>
          <w:rFonts w:ascii="Times New Roman" w:hAnsi="Times New Roman"/>
          <w:color w:val="000000"/>
          <w:sz w:val="20"/>
        </w:rPr>
        <w:t xml:space="preserve"> </w:t>
      </w:r>
      <w:r>
        <w:rPr>
          <w:rFonts w:ascii="Arial" w:hAnsi="Arial"/>
          <w:color w:val="000000"/>
          <w:sz w:val="20"/>
        </w:rPr>
        <w:t>of endothelial cell activation (with E</w:t>
      </w:r>
      <w:r>
        <w:rPr>
          <w:rFonts w:ascii="Arial" w:hAnsi="Arial"/>
          <w:color w:val="000000"/>
          <w:sz w:val="13"/>
        </w:rPr>
        <w:t>max</w:t>
      </w:r>
      <w:r>
        <w:rPr>
          <w:rFonts w:ascii="Times New Roman" w:hAnsi="Times New Roman"/>
          <w:color w:val="000000"/>
          <w:sz w:val="20"/>
        </w:rPr>
        <w:t xml:space="preserve"> </w:t>
      </w:r>
      <w:r>
        <w:rPr>
          <w:rFonts w:ascii="Arial" w:hAnsi="Arial"/>
          <w:color w:val="000000"/>
          <w:sz w:val="20"/>
        </w:rPr>
        <w:t>defined by response), measured by MCP-1 release. Therefore, we believe OD-003 shows selectivity for Treg versus off-target cell endothelial activation.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Effects of OD-003 on HUVEC as Measured by Change in MCP-1 Production</w:t>
      </w:r>
      <w:r>
        <w:rPr>
          <w:rFonts w:ascii="Times New Roman" w:hAnsi="Times New Roman"/>
          <w:color w:val="000000"/>
          <w:sz w:val="20"/>
        </w:rPr>
        <w:t xml:space="preserve"> </w:t>
      </w:r>
    </w:p>
    <w:p>
      <w:pPr>
        <w:pStyle w:val="TextBody"/>
        <w:bidi w:val="0"/>
        <w:spacing w:before="240" w:after="283"/>
        <w:jc w:val="center"/>
        <w:rPr/>
      </w:pPr>
      <w:r>
        <w:rPr/>
        <w:drawing>
          <wp:inline distT="0" distB="0" distL="0" distR="0">
            <wp:extent cx="6657975" cy="2457450"/>
            <wp:effectExtent l="0" t="0" r="0" b="0"/>
            <wp:docPr id="6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1" descr=""/>
                    <pic:cNvPicPr>
                      <a:picLocks noChangeAspect="1" noChangeArrowheads="1"/>
                    </pic:cNvPicPr>
                  </pic:nvPicPr>
                  <pic:blipFill>
                    <a:blip r:embed="rId62"/>
                    <a:stretch>
                      <a:fillRect/>
                    </a:stretch>
                  </pic:blipFill>
                  <pic:spPr bwMode="auto">
                    <a:xfrm>
                      <a:off x="0" y="0"/>
                      <a:ext cx="6657975" cy="2457450"/>
                    </a:xfrm>
                    <a:prstGeom prst="rect">
                      <a:avLst/>
                    </a:prstGeom>
                  </pic:spPr>
                </pic:pic>
              </a:graphicData>
            </a:graphic>
          </wp:inline>
        </w:drawing>
      </w:r>
    </w:p>
    <w:p>
      <w:pPr>
        <w:pStyle w:val="TextBody"/>
        <w:bidi w:val="0"/>
        <w:spacing w:before="240" w:after="283"/>
        <w:ind w:left="0" w:right="0" w:firstLine="612"/>
        <w:jc w:val="left"/>
        <w:rPr>
          <w:rFonts w:ascii="Times New Roman" w:hAnsi="Times New Roman"/>
          <w:sz w:val="20"/>
        </w:rPr>
      </w:pPr>
      <w:r>
        <w:rPr>
          <w:rFonts w:ascii="Arial" w:hAnsi="Arial"/>
          <w:color w:val="000000"/>
          <w:sz w:val="20"/>
        </w:rPr>
        <w:t>In</w:t>
      </w:r>
      <w:r>
        <w:rPr>
          <w:rFonts w:ascii="Times New Roman" w:hAnsi="Times New Roman"/>
          <w:color w:val="000000"/>
          <w:sz w:val="20"/>
        </w:rPr>
        <w:t xml:space="preserve"> </w:t>
      </w:r>
      <w:r>
        <w:rPr>
          <w:rFonts w:ascii="Arial" w:hAnsi="Arial"/>
          <w:color w:val="000000"/>
          <w:sz w:val="20"/>
        </w:rPr>
        <w:t>in vitro preclinical studies, we have not observed signals of T cell activation (e.g., increases in IFN</w:t>
      </w:r>
      <w:r>
        <w:rPr>
          <w:rFonts w:ascii="Symbol;serif" w:hAnsi="Symbol;serif"/>
          <w:color w:val="000000"/>
          <w:sz w:val="22"/>
        </w:rPr>
        <w:t>g</w:t>
      </w:r>
      <w:r>
        <w:rPr>
          <w:rFonts w:ascii="Arial" w:hAnsi="Arial"/>
          <w:color w:val="000000"/>
          <w:sz w:val="20"/>
        </w:rPr>
        <w:t>, TNF or IL-2) that would suggest activation of non-Treg.</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 cytokine release assay was performed using human blood cells to evaluate the potential for OD-003 to cause an immune response by activating non-Treg cell types and triggering the release of cytokines. The graphs below summarize the results we observed from a preclinical study in which human whole blood samples from nine healthy participants were treated with four concentrations of OD-003, staphylococcal enterotoxin B (a positive control that is known to evoke a strong immune response), or trastuzumab (an approved drug for treating cancer used as a control to show a cytokine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response that may result from a drug that can be safely administered). In these experiments, we did not observe increased cytokine release in the OD-003 treated samples similar to the increases observed in the staphylococcal enterotoxin B samples and increases were similar to or lower than the levels observed with trastuzumab, an approved biologic. Based on the observations from this study, we believe OD-003 may not result in cytokine release associated with immune activation.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Levels of IFNg, TNF, or IL-2 Cytokines Following Treatment With OD-003, Staphylococcal Enterotoxin B and Trastuzumab</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center"/>
        <w:rPr/>
      </w:pPr>
      <w:r>
        <w:rPr/>
        <w:drawing>
          <wp:inline distT="0" distB="0" distL="0" distR="0">
            <wp:extent cx="6858000" cy="2647950"/>
            <wp:effectExtent l="0" t="0" r="0" b="0"/>
            <wp:docPr id="6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2" descr=""/>
                    <pic:cNvPicPr>
                      <a:picLocks noChangeAspect="1" noChangeArrowheads="1"/>
                    </pic:cNvPicPr>
                  </pic:nvPicPr>
                  <pic:blipFill>
                    <a:blip r:embed="rId63"/>
                    <a:stretch>
                      <a:fillRect/>
                    </a:stretch>
                  </pic:blipFill>
                  <pic:spPr bwMode="auto">
                    <a:xfrm>
                      <a:off x="0" y="0"/>
                      <a:ext cx="6858000" cy="2647950"/>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Arial" w:hAnsi="Arial"/>
          <w:i/>
          <w:color w:val="000000"/>
          <w:sz w:val="20"/>
        </w:rPr>
        <w:t>Treg Function and Quality</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another study, we assessed Treg function by observing the suppressive activity of isolated Treg on naïve T cells. Treg were stimulated with IL-2 and anti-CD3 and after five days Treg and Teff were analyzed at different ratios of Treg:Teff for calculation of Teff proliferation. Across five donors, we observed an increased Treg to CD4 ratio when treated with OD-003 as compared to control V-body. The effects at a 1:4 Treg to Teff ratio are shown below.</w:t>
      </w:r>
      <w:r>
        <w:rPr>
          <w:rFonts w:ascii="Times New Roman" w:hAnsi="Times New Roman"/>
          <w:color w:val="000000"/>
          <w:sz w:val="20"/>
        </w:rPr>
        <w:t xml:space="preserve"> </w:t>
      </w:r>
    </w:p>
    <w:p>
      <w:pPr>
        <w:pStyle w:val="TextBody"/>
        <w:bidi w:val="0"/>
        <w:spacing w:before="240" w:after="283"/>
        <w:jc w:val="center"/>
        <w:rPr>
          <w:rFonts w:ascii="Arial" w:hAnsi="Arial"/>
          <w:b/>
          <w:color w:val="000000"/>
          <w:sz w:val="20"/>
        </w:rPr>
      </w:pPr>
      <w:r>
        <w:rPr>
          <w:rFonts w:ascii="Arial" w:hAnsi="Arial"/>
          <w:b/>
          <w:color w:val="000000"/>
          <w:sz w:val="20"/>
        </w:rPr>
        <w:t>Inhibition of Teff Proliferation by OD-003</w:t>
      </w:r>
    </w:p>
    <w:p>
      <w:pPr>
        <w:pStyle w:val="TextBody"/>
        <w:bidi w:val="0"/>
        <w:spacing w:before="240" w:after="283"/>
        <w:jc w:val="center"/>
        <w:rPr/>
      </w:pPr>
      <w:r>
        <w:rPr/>
        <w:drawing>
          <wp:inline distT="0" distB="0" distL="0" distR="0">
            <wp:extent cx="6362700" cy="1819275"/>
            <wp:effectExtent l="0" t="0" r="0" b="0"/>
            <wp:docPr id="6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3" descr=""/>
                    <pic:cNvPicPr>
                      <a:picLocks noChangeAspect="1" noChangeArrowheads="1"/>
                    </pic:cNvPicPr>
                  </pic:nvPicPr>
                  <pic:blipFill>
                    <a:blip r:embed="rId64"/>
                    <a:stretch>
                      <a:fillRect/>
                    </a:stretch>
                  </pic:blipFill>
                  <pic:spPr bwMode="auto">
                    <a:xfrm>
                      <a:off x="0" y="0"/>
                      <a:ext cx="6362700" cy="1819275"/>
                    </a:xfrm>
                    <a:prstGeom prst="rect">
                      <a:avLst/>
                    </a:prstGeom>
                  </pic:spPr>
                </pic:pic>
              </a:graphicData>
            </a:graphic>
          </wp:inline>
        </w:drawing>
      </w:r>
    </w:p>
    <w:p>
      <w:pPr>
        <w:pStyle w:val="TextBody"/>
        <w:bidi w:val="0"/>
        <w:jc w:val="left"/>
        <w:rPr/>
      </w:pPr>
      <w:r>
        <w:rPr/>
        <w:t> </w:t>
      </w:r>
    </w:p>
    <w:p>
      <w:pPr>
        <w:pStyle w:val="TextBody"/>
        <w:bidi w:val="0"/>
        <w:ind w:left="0" w:right="0" w:firstLine="612"/>
        <w:jc w:val="left"/>
        <w:rPr>
          <w:rFonts w:ascii="Times New Roman" w:hAnsi="Times New Roman"/>
          <w:sz w:val="20"/>
        </w:rPr>
      </w:pPr>
      <w:r>
        <w:rPr>
          <w:rFonts w:ascii="Arial" w:hAnsi="Arial"/>
          <w:color w:val="000000"/>
          <w:sz w:val="20"/>
        </w:rPr>
        <w:t>The observations above are consistent with our observations from earlier studies we conducted using other TNFR2 agonists discovered during our development of OD-003 and our characterization of IL-2 Comparator 2 (which performed similarly to control).</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another study, we compared OD-003 against IL-2 Comparator 2, to evaluate their ability to improve markers of Treg function and stability as measured by FOXP3 and EZH2 expression. IL-2 Comparator 2 was discovered by Pandion Therapeutics, Inc. and is a compound described in sequence 40 of the patent US10174091B1. The comparisons and results described below may differ in material ways from third-party studies that use IL-2 Comparator 2. EZH2 is an epigenetic regulator of FOXP3 expression and by extension, Treg quality. Isolated naïve Treg from 12 human donors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were stimulated with the indicated molecule in the presence of anti-CD3 and IL-2 and assessed at day 5. We observed a significant increase in FOXP3 and EZH2 expression with OD-003 and did not observe changes with IL-2 Comparator 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Comparison of FOXP3 and EZH2 Changes to Stimulation from OD-003 or IL-2 Comparator 2</w:t>
      </w:r>
      <w:r>
        <w:rPr>
          <w:rFonts w:ascii="Times New Roman" w:hAnsi="Times New Roman"/>
          <w:color w:val="000000"/>
          <w:sz w:val="20"/>
        </w:rPr>
        <w:t xml:space="preserve"> </w:t>
      </w:r>
    </w:p>
    <w:p>
      <w:pPr>
        <w:pStyle w:val="TextBody"/>
        <w:bidi w:val="0"/>
        <w:spacing w:before="240" w:after="283"/>
        <w:jc w:val="center"/>
        <w:rPr/>
      </w:pPr>
      <w:r>
        <w:rPr/>
        <w:drawing>
          <wp:inline distT="0" distB="0" distL="0" distR="0">
            <wp:extent cx="5953125" cy="2733675"/>
            <wp:effectExtent l="0" t="0" r="0" b="0"/>
            <wp:docPr id="6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4" descr=""/>
                    <pic:cNvPicPr>
                      <a:picLocks noChangeAspect="1" noChangeArrowheads="1"/>
                    </pic:cNvPicPr>
                  </pic:nvPicPr>
                  <pic:blipFill>
                    <a:blip r:embed="rId65"/>
                    <a:stretch>
                      <a:fillRect/>
                    </a:stretch>
                  </pic:blipFill>
                  <pic:spPr bwMode="auto">
                    <a:xfrm>
                      <a:off x="0" y="0"/>
                      <a:ext cx="5953125" cy="2733675"/>
                    </a:xfrm>
                    <a:prstGeom prst="rect">
                      <a:avLst/>
                    </a:prstGeom>
                  </pic:spPr>
                </pic:pic>
              </a:graphicData>
            </a:graphic>
          </wp:inline>
        </w:drawing>
      </w:r>
    </w:p>
    <w:p>
      <w:pPr>
        <w:pStyle w:val="TextBody"/>
        <w:bidi w:val="0"/>
        <w:spacing w:before="240" w:after="283"/>
        <w:jc w:val="center"/>
        <w:rPr>
          <w:rFonts w:ascii="Times New Roman" w:hAnsi="Times New Roman"/>
          <w:sz w:val="20"/>
        </w:rPr>
      </w:pPr>
      <w:r>
        <w:rPr>
          <w:rFonts w:ascii="Arial" w:hAnsi="Arial"/>
          <w:i/>
          <w:color w:val="000000"/>
          <w:sz w:val="20"/>
        </w:rPr>
        <w:t>One-way ANOVA run to determine statistical significance between groups. ** = p &lt; 0.01; n.s. = not significant.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To assess the stability of Treg in an inflammatory environment and the ability to prevent their conversion to pathogenic inflammatory cells, we conducted a study utilizing an in vitro model in which we purified and stimulated naïve human Treg from 12 donors with anti-CD3 and IL-2 plus control V-body, OD-003, or IL-2 Comparator 2. To assess conversion to IL-17 production, a marker of conversion to a Th17 immune cell, we challenged these stimulated Treg with a cocktail of IL-1ß, IL-21, IL-23 and TGFß. After 11 days (IFN</w:t>
      </w:r>
      <w:r>
        <w:rPr>
          <w:rFonts w:ascii="Symbol;serif" w:hAnsi="Symbol;serif"/>
          <w:b/>
          <w:color w:val="000000"/>
          <w:sz w:val="20"/>
        </w:rPr>
        <w:t>g</w:t>
      </w:r>
      <w:r>
        <w:rPr>
          <w:rFonts w:ascii="Arial" w:hAnsi="Arial"/>
          <w:color w:val="000000"/>
          <w:sz w:val="20"/>
        </w:rPr>
        <w:t>) and 17 days (IL-17A) respectively, we observed that OD-003 prevented the large majority of conversion of Treg to a proinflammatory phenotype. We used a similar cocktail in a subsequent study on Treg from the same 12 donors without TGFß, in which we observed OD-003 was statistically superior to IL-2 Comparator 2 in preventing the emergence of IFN</w:t>
      </w:r>
      <w:r>
        <w:rPr>
          <w:rFonts w:ascii="Symbol;serif" w:hAnsi="Symbol;serif"/>
          <w:b/>
          <w:color w:val="000000"/>
          <w:sz w:val="20"/>
        </w:rPr>
        <w:t>g</w:t>
      </w:r>
      <w:r>
        <w:rPr>
          <w:rFonts w:ascii="Times New Roman" w:hAnsi="Times New Roman"/>
          <w:color w:val="000000"/>
          <w:sz w:val="20"/>
        </w:rPr>
        <w:t xml:space="preserve"> </w:t>
      </w:r>
      <w:r>
        <w:rPr>
          <w:rFonts w:ascii="Arial" w:hAnsi="Arial"/>
          <w:color w:val="000000"/>
          <w:sz w:val="20"/>
        </w:rPr>
        <w:t>positive cells. Together, these results support our belief that TNFR2 agonism with OD-003 has the potential to present advantages over IL-2-based approaches in improving the function and quality of Treg.</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Comparison of IFN</w:t>
      </w:r>
      <w:r>
        <w:rPr>
          <w:rFonts w:ascii="Symbol;serif" w:hAnsi="Symbol;serif"/>
          <w:b/>
          <w:color w:val="000000"/>
          <w:sz w:val="20"/>
        </w:rPr>
        <w:t>g</w:t>
      </w:r>
      <w:r>
        <w:rPr>
          <w:rFonts w:ascii="Times New Roman" w:hAnsi="Times New Roman"/>
          <w:color w:val="000000"/>
          <w:sz w:val="20"/>
        </w:rPr>
        <w:t xml:space="preserve"> </w:t>
      </w:r>
      <w:r>
        <w:rPr>
          <w:rFonts w:ascii="Arial" w:hAnsi="Arial"/>
          <w:b/>
          <w:color w:val="000000"/>
          <w:sz w:val="20"/>
        </w:rPr>
        <w:t>and IL-17A-Positive Cells After Cytokine Stimulus to Determine Function of Treg</w:t>
      </w:r>
      <w:r>
        <w:rPr>
          <w:rFonts w:ascii="Times New Roman" w:hAnsi="Times New Roman"/>
          <w:color w:val="000000"/>
          <w:sz w:val="20"/>
        </w:rPr>
        <w:t xml:space="preserve"> </w:t>
      </w:r>
    </w:p>
    <w:p>
      <w:pPr>
        <w:pStyle w:val="TextBody"/>
        <w:bidi w:val="0"/>
        <w:spacing w:before="240" w:after="283"/>
        <w:jc w:val="center"/>
        <w:rPr/>
      </w:pPr>
      <w:r>
        <w:rPr/>
        <w:drawing>
          <wp:inline distT="0" distB="0" distL="0" distR="0">
            <wp:extent cx="5419725" cy="2809875"/>
            <wp:effectExtent l="0" t="0" r="0" b="0"/>
            <wp:docPr id="6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5" descr=""/>
                    <pic:cNvPicPr>
                      <a:picLocks noChangeAspect="1" noChangeArrowheads="1"/>
                    </pic:cNvPicPr>
                  </pic:nvPicPr>
                  <pic:blipFill>
                    <a:blip r:embed="rId66"/>
                    <a:stretch>
                      <a:fillRect/>
                    </a:stretch>
                  </pic:blipFill>
                  <pic:spPr bwMode="auto">
                    <a:xfrm>
                      <a:off x="0" y="0"/>
                      <a:ext cx="5419725" cy="2809875"/>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One-way ANOVA calculated to evaluate statistical significance between groups. * = p &lt; 0.05; ** = p &lt; 0.01; *** = p &lt; 0.001; **** = p &lt; 0.0001; n.s. = not significant.</w:t>
      </w:r>
      <w:r>
        <w:rPr>
          <w:rFonts w:ascii="Times New Roman" w:hAnsi="Times New Roman"/>
          <w:color w:val="000000"/>
          <w:sz w:val="20"/>
        </w:rPr>
        <w:t xml:space="preserve"> </w:t>
      </w:r>
    </w:p>
    <w:p>
      <w:pPr>
        <w:pStyle w:val="TextBody"/>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i/>
          <w:color w:val="000000"/>
          <w:sz w:val="20"/>
        </w:rPr>
        <w:t>Promote Treg Migration to Tissue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believe the full benefit of a Treg therapy will be best achieved through recruitment of Treg to the site of disease, where it can suppress inflammation and an autoimmune response but also address tissue damage that occurs as a result of chronic disease. CCR8 is a marker of tissue homing capacity. In the study below, we observed in isolated naïve human Treg that, in the presence of anti-CD3 and IL-2, OD-003 increased CCR8 expression, whereas IL-2 Comparator 2 did not result in a change in CCR8 expression.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color w:val="000000"/>
          <w:sz w:val="20"/>
        </w:rPr>
        <w:t>CCR8 Expression Following Exposure to OD-003 and IL-2 Comparator 2</w:t>
      </w:r>
      <w:r>
        <w:rPr>
          <w:rFonts w:ascii="Times New Roman" w:hAnsi="Times New Roman"/>
          <w:color w:val="000000"/>
          <w:sz w:val="20"/>
        </w:rPr>
        <w:t xml:space="preserve"> </w:t>
      </w:r>
    </w:p>
    <w:p>
      <w:pPr>
        <w:pStyle w:val="TextBody"/>
        <w:bidi w:val="0"/>
        <w:spacing w:before="240" w:after="283"/>
        <w:jc w:val="center"/>
        <w:rPr/>
      </w:pPr>
      <w:r>
        <w:rPr/>
        <w:drawing>
          <wp:inline distT="0" distB="0" distL="0" distR="0">
            <wp:extent cx="3581400" cy="2695575"/>
            <wp:effectExtent l="0" t="0" r="0" b="0"/>
            <wp:docPr id="6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6" descr=""/>
                    <pic:cNvPicPr>
                      <a:picLocks noChangeAspect="1" noChangeArrowheads="1"/>
                    </pic:cNvPicPr>
                  </pic:nvPicPr>
                  <pic:blipFill>
                    <a:blip r:embed="rId67"/>
                    <a:stretch>
                      <a:fillRect/>
                    </a:stretch>
                  </pic:blipFill>
                  <pic:spPr bwMode="auto">
                    <a:xfrm>
                      <a:off x="0" y="0"/>
                      <a:ext cx="3581400" cy="2695575"/>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One-way ANOVA calculated to evaluate statistical significance between groups. *** = p &lt; 0.001; n.s. = not significant.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Additional</w:t>
      </w:r>
      <w:r>
        <w:rPr>
          <w:rFonts w:ascii="Times New Roman" w:hAnsi="Times New Roman"/>
          <w:color w:val="000000"/>
          <w:sz w:val="20"/>
        </w:rPr>
        <w:t xml:space="preserve"> </w:t>
      </w:r>
      <w:r>
        <w:rPr>
          <w:rFonts w:ascii="Arial" w:hAnsi="Arial"/>
          <w:i/>
          <w:color w:val="000000"/>
          <w:sz w:val="20"/>
        </w:rPr>
        <w:t>in vivo</w:t>
      </w:r>
      <w:r>
        <w:rPr>
          <w:rFonts w:ascii="Times New Roman" w:hAnsi="Times New Roman"/>
          <w:color w:val="000000"/>
          <w:sz w:val="20"/>
        </w:rPr>
        <w:t xml:space="preserve"> </w:t>
      </w:r>
      <w:r>
        <w:rPr>
          <w:rFonts w:ascii="Arial" w:hAnsi="Arial"/>
          <w:color w:val="000000"/>
          <w:sz w:val="20"/>
        </w:rPr>
        <w:t>studies with control V-body, OD-003, and IL-2 Comparator 1 using human TNFR2 knock-in mice, were conducted. We observed a selective increase in Treg compared to CD4 or CD8 cells across tissues, including the spleen, blood and colon with OD-003.</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Arial" w:hAnsi="Arial"/>
          <w:b/>
          <w:color w:val="000000"/>
          <w:sz w:val="20"/>
        </w:rPr>
      </w:pPr>
      <w:r>
        <w:rPr>
          <w:rFonts w:ascii="Arial" w:hAnsi="Arial"/>
          <w:b/>
          <w:color w:val="000000"/>
          <w:sz w:val="20"/>
        </w:rPr>
        <w:t>Proliferation of Treg, CD4 and CD8 in Spleen, Blood and Colon Following Exposure to OD-003, Control V-Body and IL-2 Comparator 1 in hTNFR2 Knock-In Mice</w:t>
      </w:r>
    </w:p>
    <w:p>
      <w:pPr>
        <w:pStyle w:val="TextBody"/>
        <w:bidi w:val="0"/>
        <w:spacing w:before="240" w:after="283"/>
        <w:jc w:val="center"/>
        <w:rPr/>
      </w:pPr>
      <w:r>
        <w:rPr/>
        <w:drawing>
          <wp:inline distT="0" distB="0" distL="0" distR="0">
            <wp:extent cx="6419850" cy="4086225"/>
            <wp:effectExtent l="0" t="0" r="0" b="0"/>
            <wp:docPr id="6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7" descr=""/>
                    <pic:cNvPicPr>
                      <a:picLocks noChangeAspect="1" noChangeArrowheads="1"/>
                    </pic:cNvPicPr>
                  </pic:nvPicPr>
                  <pic:blipFill>
                    <a:blip r:embed="rId68"/>
                    <a:stretch>
                      <a:fillRect/>
                    </a:stretch>
                  </pic:blipFill>
                  <pic:spPr bwMode="auto">
                    <a:xfrm>
                      <a:off x="0" y="0"/>
                      <a:ext cx="6419850" cy="4086225"/>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Percent of Treg (FOXP3+CD4+), CD4 (CD4+FOXP3-), and CD8 (CD8+FOXP3-), observed in immune cells (CD45+). One-way ANOVA calculated to evaluate statistical significance between groups. * = p &lt; 0.05; *** = p &lt; 0.001; **** = p &lt; 0.0001; n.s. = not significant.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Non-GLP Repeat Dose Range Finding Studies in Non-Human Primates and Preliminary Human Dose Projection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To assess the pharmacodynamic effect of Treg modulation by TNFR2 agonism and inform potential human dosing intervals we have conducted a non-GLP dose range finding study with two dose administrations of OD-003 in non-human primates. In this study, PK, PD, immunophenotyping of blood cells, measurement of blood cytokines, and clinical pathology were assessed.</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Below we summarize results from the repeat dose range-finding NHP study in which two doses of OD-003 were given on days 1 and 15. At a dose level of 0.3 mg/kg, we observed a greater than 1.5-fold increase in Treg after each dose administration with no increase in CD4+ or CD8+ T effector cells. A Treg increase of 1.5x was established as a PD target because this level of increase has been associated with clinical efficacy of IL-2 therapies.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619"/>
        <w:jc w:val="center"/>
        <w:rPr>
          <w:rFonts w:ascii="Times New Roman" w:hAnsi="Times New Roman"/>
          <w:sz w:val="20"/>
        </w:rPr>
      </w:pPr>
      <w:r>
        <w:rPr>
          <w:rFonts w:ascii="Arial" w:hAnsi="Arial"/>
          <w:b/>
          <w:color w:val="000000"/>
          <w:sz w:val="20"/>
        </w:rPr>
        <w:t>PD from Non-GLP Repeat Dose, Dose Range Finding, Study in NHPs</w:t>
      </w:r>
      <w:r>
        <w:rPr>
          <w:rFonts w:ascii="Times New Roman" w:hAnsi="Times New Roman"/>
          <w:color w:val="000000"/>
          <w:sz w:val="20"/>
        </w:rPr>
        <w:t xml:space="preserve"> </w:t>
      </w:r>
    </w:p>
    <w:p>
      <w:pPr>
        <w:pStyle w:val="TextBody"/>
        <w:bidi w:val="0"/>
        <w:spacing w:before="240" w:after="283"/>
        <w:jc w:val="center"/>
        <w:rPr/>
      </w:pPr>
      <w:r>
        <w:rPr/>
        <w:drawing>
          <wp:inline distT="0" distB="0" distL="0" distR="0">
            <wp:extent cx="3848100" cy="1647825"/>
            <wp:effectExtent l="0" t="0" r="0" b="0"/>
            <wp:docPr id="6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8" descr=""/>
                    <pic:cNvPicPr>
                      <a:picLocks noChangeAspect="1" noChangeArrowheads="1"/>
                    </pic:cNvPicPr>
                  </pic:nvPicPr>
                  <pic:blipFill>
                    <a:blip r:embed="rId69"/>
                    <a:stretch>
                      <a:fillRect/>
                    </a:stretch>
                  </pic:blipFill>
                  <pic:spPr bwMode="auto">
                    <a:xfrm>
                      <a:off x="0" y="0"/>
                      <a:ext cx="3848100" cy="1647825"/>
                    </a:xfrm>
                    <a:prstGeom prst="rect">
                      <a:avLst/>
                    </a:prstGeom>
                  </pic:spPr>
                </pic:pic>
              </a:graphicData>
            </a:graphic>
          </wp:inline>
        </w:drawing>
      </w:r>
    </w:p>
    <w:p>
      <w:pPr>
        <w:pStyle w:val="TextBody"/>
        <w:bidi w:val="0"/>
        <w:spacing w:before="240" w:after="283"/>
        <w:ind w:left="0" w:right="0" w:firstLine="612"/>
        <w:jc w:val="left"/>
        <w:rPr>
          <w:rFonts w:ascii="Times New Roman" w:hAnsi="Times New Roman"/>
          <w:sz w:val="20"/>
        </w:rPr>
      </w:pPr>
      <w:r>
        <w:rPr>
          <w:rFonts w:ascii="Arial" w:hAnsi="Arial"/>
          <w:color w:val="000000"/>
          <w:sz w:val="20"/>
        </w:rPr>
        <w:t>Doses of up to 3 mg/kg were well tolerated with no adverse changes in hematology parameters after the first or second doses. In addition, we observed no evidence of cytokine release syndrome and no adverse pathology findings. Based on the results of this study we believe the NOAEL is ≥ 3 mg/kg.</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Pending the results of the GLP-toxicology study, we have completed initial human dose projection with methodology including interspecies scaling/allometry and PK/PD modeling based on in vitro activity in human and NHP cells, murine PK/PD and efficacy, and NHP PK/PD.</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Based on these approaches we believe a dose of 0.3 mg/kg administered every 2 to 4 weeks could be an efficacious human dose and provide an approximately 10x therapeutic margin compared to the well-tolerated dose of 3 mg/kg from the dose range finding study.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Current Status and Future Clinical Plans for OD-003</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IND-enabling activities for OD-003 are ongoing and expected to complete in the first quarter of 2027. If these results are favorable, we may file a CTA and, if that CTA is approved by regulatory agencies, we could potentially conduct a phase 1 trial that would consist of SAD and MAD parts in approximately 80 healthy participants. The expected primary endpoint of a potential phase 1 trial would be safety and tolerability, but PK and PD would also be assessed in blood and skin biopsies to evaluate effect in tissue. Following completion of the MAD study in healthy participants, a third part of the study would be completed by enrolling one or more cohorts of patients with an inflammatory disease, such as moderate-to-severe AD to evaluate safety and PD biomarkers and identify clinical signals of efficacy.</w:t>
      </w:r>
    </w:p>
    <w:p>
      <w:pPr>
        <w:pStyle w:val="TextBody"/>
        <w:bidi w:val="0"/>
        <w:spacing w:before="120" w:after="283"/>
        <w:jc w:val="left"/>
        <w:rPr/>
      </w:pPr>
      <w:r>
        <w:rPr/>
        <w:drawing>
          <wp:inline distT="0" distB="0" distL="0" distR="0">
            <wp:extent cx="6724650" cy="3181350"/>
            <wp:effectExtent l="0" t="0" r="0" b="0"/>
            <wp:docPr id="7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9" descr=""/>
                    <pic:cNvPicPr>
                      <a:picLocks noChangeAspect="1" noChangeArrowheads="1"/>
                    </pic:cNvPicPr>
                  </pic:nvPicPr>
                  <pic:blipFill>
                    <a:blip r:embed="rId70"/>
                    <a:stretch>
                      <a:fillRect/>
                    </a:stretch>
                  </pic:blipFill>
                  <pic:spPr bwMode="auto">
                    <a:xfrm>
                      <a:off x="0" y="0"/>
                      <a:ext cx="6724650" cy="3181350"/>
                    </a:xfrm>
                    <a:prstGeom prst="rect">
                      <a:avLst/>
                    </a:prstGeom>
                  </pic:spPr>
                </pic:pic>
              </a:graphicData>
            </a:graphic>
          </wp:inline>
        </w:drawing>
      </w:r>
    </w:p>
    <w:p>
      <w:pPr>
        <w:pStyle w:val="TextBody"/>
        <w:bidi w:val="0"/>
        <w:spacing w:before="120" w:after="283"/>
        <w:ind w:left="0" w:right="0" w:firstLine="612"/>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159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ind w:left="0" w:right="0" w:firstLine="619"/>
        <w:jc w:val="left"/>
        <w:rPr>
          <w:rFonts w:ascii="Arial" w:hAnsi="Arial"/>
          <w:color w:val="000000"/>
          <w:sz w:val="20"/>
        </w:rPr>
      </w:pPr>
      <w:r>
        <w:rPr>
          <w:rFonts w:ascii="Arial" w:hAnsi="Arial"/>
          <w:color w:val="000000"/>
          <w:sz w:val="20"/>
        </w:rPr>
        <w:t>We have not yet completed the design of a phase 1/2a trial for this program, and the final study design, including dose levels, cohort size, and specific pharmacodynamic assessments, will be informed by ongoing preclinical and translational studies and is subject to the receipt of authorization from relevant regulatory authorities.</w:t>
      </w:r>
    </w:p>
    <w:p>
      <w:pPr>
        <w:pStyle w:val="TextBody"/>
        <w:bidi w:val="0"/>
        <w:spacing w:before="240" w:after="283"/>
        <w:jc w:val="left"/>
        <w:rPr>
          <w:rFonts w:ascii="Times New Roman" w:hAnsi="Times New Roman"/>
          <w:sz w:val="20"/>
        </w:rPr>
      </w:pPr>
      <w:r>
        <w:rPr>
          <w:rFonts w:ascii="Arial" w:hAnsi="Arial"/>
          <w:b/>
          <w:color w:val="000000"/>
          <w:sz w:val="20"/>
        </w:rPr>
        <w:t>Additional Wholly Owned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i/>
          <w:color w:val="000000"/>
          <w:sz w:val="20"/>
        </w:rPr>
        <w:t>TSLP/IL-33</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are developing a bispecific protein therapeutic candidate designed to bind to and block signaling from two upstream alarmins, TSLP and IL-33, that are both drivers of asthma and other respiratory diseases. TSLP is a validated drug target, with tezepelumab approved for the treatment of asthma. IL-33 antagonists have also shown clinical activity in asthma and COPD, with the first third-party phase 3 clinical studies showing statistically significant clinical improvement in COPD in March 2026.</w:t>
      </w:r>
      <w:r>
        <w:rPr>
          <w:rFonts w:ascii="Times New Roman" w:hAnsi="Times New Roman"/>
          <w:color w:val="000000"/>
          <w:sz w:val="20"/>
        </w:rPr>
        <w:t xml:space="preserve"> </w:t>
      </w:r>
    </w:p>
    <w:p>
      <w:pPr>
        <w:pStyle w:val="TextBody"/>
        <w:bidi w:val="0"/>
        <w:spacing w:before="240" w:after="283"/>
        <w:jc w:val="center"/>
        <w:rPr/>
      </w:pPr>
      <w:r>
        <w:rPr/>
        <w:drawing>
          <wp:inline distT="0" distB="0" distL="0" distR="0">
            <wp:extent cx="6638925" cy="2371725"/>
            <wp:effectExtent l="0" t="0" r="0" b="0"/>
            <wp:docPr id="7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0" descr=""/>
                    <pic:cNvPicPr>
                      <a:picLocks noChangeAspect="1" noChangeArrowheads="1"/>
                    </pic:cNvPicPr>
                  </pic:nvPicPr>
                  <pic:blipFill>
                    <a:blip r:embed="rId71"/>
                    <a:stretch>
                      <a:fillRect/>
                    </a:stretch>
                  </pic:blipFill>
                  <pic:spPr bwMode="auto">
                    <a:xfrm>
                      <a:off x="0" y="0"/>
                      <a:ext cx="6638925" cy="2371725"/>
                    </a:xfrm>
                    <a:prstGeom prst="rect">
                      <a:avLst/>
                    </a:prstGeom>
                  </pic:spPr>
                </pic:pic>
              </a:graphicData>
            </a:graphic>
          </wp:inline>
        </w:drawing>
      </w:r>
    </w:p>
    <w:p>
      <w:pPr>
        <w:pStyle w:val="TextBody"/>
        <w:bidi w:val="0"/>
        <w:spacing w:before="240" w:after="283"/>
        <w:ind w:left="0" w:right="0" w:firstLine="612"/>
        <w:jc w:val="left"/>
        <w:rPr>
          <w:rFonts w:ascii="Times New Roman" w:hAnsi="Times New Roman"/>
          <w:sz w:val="20"/>
        </w:rPr>
      </w:pPr>
      <w:r>
        <w:rPr>
          <w:rFonts w:ascii="Arial" w:hAnsi="Arial"/>
          <w:color w:val="000000"/>
          <w:sz w:val="20"/>
        </w:rPr>
        <w:t>TSLP and IL-33 trigger inflammation in the lung in response to inhaled environmental toxins and infectious agents resulting in damage to lung tissue and pulmonary dysfunction. TSLP and IL-33 are both present at increased levels in bronchoalveolar lavage fluid, or BALF, from asthma patients with disease that is resistant to corticosteroid therapy. These two alarmins have redundant, activating effects on immune cell types including innate lymphoid cells, called ILC2 cells. ILC2 cells are Th2 lymphocytes and macrophages that mediate disease in asthma and COPD. This mechanistic model of disease in asthma and COPD provides a rationale for developing a medicine that works by blocking both TSLP and IL-33. In addition, genetic evidence supports our hypothesis that blocking TSLP and IL-33 in combination has the potential to treat COPD. We conducted an analysis of UK biobank data and compared 26,444 COPD patients to 230,128 non-COPD controls, the results of which are shown below. In this database, genetic variants in TSLP and IL-33 that were linked to reduced gene activity are each associated with a lower risk of COPD. Furthermore, people with genetic variants that reduce activity in both TSLP and IL-33 showed odds ratios consistent with a synergistic, protective effect in COPD. Our results are consistent with analysis published by a third-party pharmaceutical company. Based on the redundant proinflammatory effects of these two alarmins and genetic evidence supporting the potential synergy of dual cytokine inhibition, we believe that a protein therapeutic targeting both TSLP and IL-33 could be more effective than a therapeutic targeting either alone.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0" w:right="0" w:firstLine="619"/>
        <w:jc w:val="center"/>
        <w:rPr>
          <w:rFonts w:ascii="Arial" w:hAnsi="Arial"/>
          <w:b/>
          <w:color w:val="000000"/>
          <w:sz w:val="20"/>
        </w:rPr>
      </w:pPr>
      <w:r>
        <w:rPr>
          <w:rFonts w:ascii="Arial" w:hAnsi="Arial"/>
          <w:b/>
          <w:color w:val="000000"/>
          <w:sz w:val="20"/>
        </w:rPr>
        <w:t>Genetic Evidence Supports Blocking TSLP and IL-33 in Combination for COPD</w:t>
      </w:r>
    </w:p>
    <w:p>
      <w:pPr>
        <w:pStyle w:val="TextBody"/>
        <w:bidi w:val="0"/>
        <w:spacing w:before="240" w:after="283"/>
        <w:jc w:val="center"/>
        <w:rPr/>
      </w:pPr>
      <w:r>
        <w:rPr/>
        <w:drawing>
          <wp:inline distT="0" distB="0" distL="0" distR="0">
            <wp:extent cx="5495925" cy="2686050"/>
            <wp:effectExtent l="0" t="0" r="0" b="0"/>
            <wp:docPr id="7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1" descr=""/>
                    <pic:cNvPicPr>
                      <a:picLocks noChangeAspect="1" noChangeArrowheads="1"/>
                    </pic:cNvPicPr>
                  </pic:nvPicPr>
                  <pic:blipFill>
                    <a:blip r:embed="rId72"/>
                    <a:stretch>
                      <a:fillRect/>
                    </a:stretch>
                  </pic:blipFill>
                  <pic:spPr bwMode="auto">
                    <a:xfrm>
                      <a:off x="0" y="0"/>
                      <a:ext cx="5495925" cy="2686050"/>
                    </a:xfrm>
                    <a:prstGeom prst="rect">
                      <a:avLst/>
                    </a:prstGeom>
                  </pic:spPr>
                </pic:pic>
              </a:graphicData>
            </a:graphic>
          </wp:inline>
        </w:drawing>
      </w:r>
    </w:p>
    <w:p>
      <w:pPr>
        <w:pStyle w:val="TextBody"/>
        <w:bidi w:val="0"/>
        <w:spacing w:before="120" w:after="283"/>
        <w:ind w:left="0" w:right="0" w:firstLine="612"/>
        <w:jc w:val="center"/>
        <w:rPr>
          <w:rFonts w:ascii="Times New Roman" w:hAnsi="Times New Roman"/>
          <w:sz w:val="20"/>
        </w:rPr>
      </w:pPr>
      <w:r>
        <w:rPr>
          <w:rFonts w:ascii="Arial" w:hAnsi="Arial"/>
          <w:i/>
          <w:color w:val="000000"/>
          <w:sz w:val="20"/>
        </w:rPr>
        <w:t>IL-33 SNP (rs1888909-C): OR = 0.95, p-value = 3.7e-6; TSLP SNP (rs1837253-T): OR = 0.94, p-value = 2.2e-8; IL-33 and TSLP SNP combined: OR = 0.86, p-value =1.6e-2; 95% confidence interval is shown.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are developing our bispecific protein therapeutic candidate targeting TSLP and IL-33 to treat patients with asthma and COPD, including those with both type 2 and non-type 2 disease. We believe this bispecific treatment approach may be effective in patients whose disease is not well-controlled by other therapies, including inhaled corticosteroids.</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Progress on this program has resulted in the identification of high-affinity monospecific antagonists of TSLP and IL-33. The program is in candidate selection to nominate a bispecific protein development candidate, which we anticipate nominating in the second quarter of 2026. The table below summarizes an in vitro head-to-head study using human PBMCs where we compared our bispecific lead to TSLP or IL-33 inhibitors approved or in late-stage clinical development. We used these inhibitors in our own preclinical studies to compare the potency of the third-party TSLP or IL-33 inhibitors against our lead candidate. The comparisons and results described below may differ in material ways from third-party studies that use these inhibitors. In these head-to-head studies we demonstrated comparable potency to the most advanced monospecific anti-IL-33 in development, tozorakimab. In addition, we showed superiority to an anti-TSLP antibody believed to be GB-0895, a highly potent candidate, currently in development, as well as the approved agent, tezepelumab. GB-0895 was discovered by Generate Biomedicines, Inc. and is believed to correspond to sequences 106 and 120 described in U.S. patent 20250109193.</w:t>
      </w:r>
    </w:p>
    <w:p>
      <w:pPr>
        <w:pStyle w:val="TextBody"/>
        <w:bidi w:val="0"/>
        <w:spacing w:before="240" w:after="283"/>
        <w:ind w:left="0" w:right="0" w:firstLine="612"/>
        <w:jc w:val="center"/>
        <w:rPr>
          <w:rFonts w:ascii="Times New Roman" w:hAnsi="Times New Roman"/>
          <w:sz w:val="20"/>
        </w:rPr>
      </w:pPr>
      <w:r>
        <w:rPr>
          <w:rFonts w:ascii="Arial" w:hAnsi="Arial"/>
          <w:b/>
          <w:color w:val="000000"/>
          <w:sz w:val="20"/>
        </w:rPr>
        <w:t>Potency of Odyssey Candidate as Compared to Approved and Late-Stage Investigational IL-33 and TSLP Inhibitors</w:t>
      </w:r>
      <w:r>
        <w:rPr>
          <w:rFonts w:ascii="Times New Roman" w:hAnsi="Times New Roman"/>
          <w:color w:val="000000"/>
          <w:sz w:val="20"/>
        </w:rPr>
        <w:t xml:space="preserve"> </w:t>
      </w:r>
    </w:p>
    <w:p>
      <w:pPr>
        <w:pStyle w:val="TextBody"/>
        <w:bidi w:val="0"/>
        <w:spacing w:before="240" w:after="283"/>
        <w:jc w:val="center"/>
        <w:rPr/>
      </w:pPr>
      <w:r>
        <w:rPr/>
        <w:drawing>
          <wp:inline distT="0" distB="0" distL="0" distR="0">
            <wp:extent cx="4695825" cy="1447800"/>
            <wp:effectExtent l="0" t="0" r="0" b="0"/>
            <wp:docPr id="7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2" descr=""/>
                    <pic:cNvPicPr>
                      <a:picLocks noChangeAspect="1" noChangeArrowheads="1"/>
                    </pic:cNvPicPr>
                  </pic:nvPicPr>
                  <pic:blipFill>
                    <a:blip r:embed="rId73"/>
                    <a:stretch>
                      <a:fillRect/>
                    </a:stretch>
                  </pic:blipFill>
                  <pic:spPr bwMode="auto">
                    <a:xfrm>
                      <a:off x="0" y="0"/>
                      <a:ext cx="4695825" cy="1447800"/>
                    </a:xfrm>
                    <a:prstGeom prst="rect">
                      <a:avLst/>
                    </a:prstGeom>
                  </pic:spPr>
                </pic:pic>
              </a:graphicData>
            </a:graphic>
          </wp:inline>
        </w:drawing>
      </w:r>
    </w:p>
    <w:p>
      <w:pPr>
        <w:pStyle w:val="TextBody"/>
        <w:bidi w:val="0"/>
        <w:spacing w:before="240" w:after="283"/>
        <w:ind w:left="0" w:right="0" w:firstLine="612"/>
        <w:jc w:val="center"/>
        <w:rPr>
          <w:rFonts w:ascii="Times New Roman" w:hAnsi="Times New Roman"/>
          <w:sz w:val="20"/>
        </w:rPr>
      </w:pPr>
      <w:r>
        <w:rPr>
          <w:rFonts w:ascii="Arial" w:hAnsi="Arial"/>
          <w:i/>
          <w:color w:val="000000"/>
          <w:sz w:val="20"/>
        </w:rPr>
        <w:t>In vitro potency assessed in PBMCs for indicated cytokine in response to IL-33 stimulus.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pPr>
      <w:r>
        <w:rPr/>
        <w:drawing>
          <wp:inline distT="0" distB="0" distL="0" distR="0">
            <wp:extent cx="4429125" cy="1647825"/>
            <wp:effectExtent l="0" t="0" r="0" b="0"/>
            <wp:docPr id="7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3" descr=""/>
                    <pic:cNvPicPr>
                      <a:picLocks noChangeAspect="1" noChangeArrowheads="1"/>
                    </pic:cNvPicPr>
                  </pic:nvPicPr>
                  <pic:blipFill>
                    <a:blip r:embed="rId74"/>
                    <a:stretch>
                      <a:fillRect/>
                    </a:stretch>
                  </pic:blipFill>
                  <pic:spPr bwMode="auto">
                    <a:xfrm>
                      <a:off x="0" y="0"/>
                      <a:ext cx="4429125" cy="1647825"/>
                    </a:xfrm>
                    <a:prstGeom prst="rect">
                      <a:avLst/>
                    </a:prstGeom>
                  </pic:spPr>
                </pic:pic>
              </a:graphicData>
            </a:graphic>
          </wp:inline>
        </w:drawing>
      </w:r>
    </w:p>
    <w:p>
      <w:pPr>
        <w:pStyle w:val="TextBody"/>
        <w:bidi w:val="0"/>
        <w:spacing w:before="120" w:after="283"/>
        <w:ind w:left="0" w:right="0" w:firstLine="612"/>
        <w:jc w:val="center"/>
        <w:rPr>
          <w:rFonts w:ascii="Times New Roman" w:hAnsi="Times New Roman"/>
          <w:sz w:val="20"/>
        </w:rPr>
      </w:pPr>
      <w:r>
        <w:rPr>
          <w:rFonts w:ascii="Arial" w:hAnsi="Arial"/>
          <w:i/>
          <w:color w:val="000000"/>
          <w:sz w:val="20"/>
        </w:rPr>
        <w:t>In vitro potency assessed in PBMCs for indicated cytokine in response to TSLP stimulus.</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Following nomination of a development candidate, we may commence nonclinical development activities to progress to a potential clinical candidate.</w:t>
      </w:r>
    </w:p>
    <w:p>
      <w:pPr>
        <w:pStyle w:val="TextBody"/>
        <w:bidi w:val="0"/>
        <w:spacing w:before="240" w:after="283"/>
        <w:jc w:val="left"/>
        <w:rPr>
          <w:rFonts w:ascii="Arial" w:hAnsi="Arial"/>
          <w:i/>
          <w:color w:val="000000"/>
          <w:sz w:val="20"/>
        </w:rPr>
      </w:pPr>
      <w:r>
        <w:rPr>
          <w:rFonts w:ascii="Arial" w:hAnsi="Arial"/>
          <w:i/>
          <w:color w:val="000000"/>
          <w:sz w:val="20"/>
        </w:rPr>
        <w:t>IRAK4</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are developing an oral small molecule designed to inhibit the scaffolding function of interleukin-1 receptor–associated kinase 4, or IRAK4, a central signaling node within the myddosome complex. The myddosome is a multiprotein signaling complex present in multiple cell types and tissues that transduces signals from IL-1 family receptors, including IL-1, IL-18, IL-33, and IL-36 receptors, and Toll-like receptors, or TLRs, to initiate downstream production of proinflammatory cytokines. Upon receptor activation, MYD88 recruits IRAK4, which functions as a scaffold for IRAK1 and IRAK2, and enables propagation of inflammatory signaling.</w:t>
      </w:r>
      <w:r>
        <w:rPr>
          <w:rFonts w:ascii="Times New Roman" w:hAnsi="Times New Roman"/>
          <w:color w:val="000000"/>
          <w:sz w:val="20"/>
        </w:rPr>
        <w:t xml:space="preserve"> </w:t>
      </w:r>
    </w:p>
    <w:p>
      <w:pPr>
        <w:pStyle w:val="TextBody"/>
        <w:bidi w:val="0"/>
        <w:spacing w:before="240" w:after="283"/>
        <w:ind w:left="0" w:right="0" w:firstLine="612"/>
        <w:jc w:val="center"/>
        <w:rPr>
          <w:rFonts w:ascii="Arial" w:hAnsi="Arial"/>
          <w:b/>
          <w:color w:val="000000"/>
          <w:sz w:val="20"/>
        </w:rPr>
      </w:pPr>
      <w:r>
        <w:rPr>
          <w:rFonts w:ascii="Arial" w:hAnsi="Arial"/>
          <w:b/>
          <w:color w:val="000000"/>
          <w:sz w:val="20"/>
        </w:rPr>
        <w:t>Role of IRAK4 in Myddosome Assembly and Downstream Cytokine Production</w:t>
      </w:r>
    </w:p>
    <w:p>
      <w:pPr>
        <w:pStyle w:val="TextBody"/>
        <w:bidi w:val="0"/>
        <w:spacing w:before="240" w:after="283"/>
        <w:jc w:val="center"/>
        <w:rPr/>
      </w:pPr>
      <w:r>
        <w:rPr/>
        <w:drawing>
          <wp:inline distT="0" distB="0" distL="0" distR="0">
            <wp:extent cx="4676775" cy="3629025"/>
            <wp:effectExtent l="0" t="0" r="0" b="0"/>
            <wp:docPr id="7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4" descr=""/>
                    <pic:cNvPicPr>
                      <a:picLocks noChangeAspect="1" noChangeArrowheads="1"/>
                    </pic:cNvPicPr>
                  </pic:nvPicPr>
                  <pic:blipFill>
                    <a:blip r:embed="rId75"/>
                    <a:stretch>
                      <a:fillRect/>
                    </a:stretch>
                  </pic:blipFill>
                  <pic:spPr bwMode="auto">
                    <a:xfrm>
                      <a:off x="0" y="0"/>
                      <a:ext cx="4676775" cy="3629025"/>
                    </a:xfrm>
                    <a:prstGeom prst="rect">
                      <a:avLst/>
                    </a:prstGeom>
                  </pic:spPr>
                </pic:pic>
              </a:graphicData>
            </a:graphic>
          </wp:inline>
        </w:drawing>
      </w:r>
    </w:p>
    <w:p>
      <w:pPr>
        <w:pStyle w:val="TextBody"/>
        <w:bidi w:val="0"/>
        <w:spacing w:before="240" w:after="283"/>
        <w:ind w:left="0" w:right="0" w:firstLine="619"/>
        <w:jc w:val="left"/>
        <w:rPr>
          <w:rFonts w:ascii="Times New Roman" w:hAnsi="Times New Roman"/>
          <w:sz w:val="20"/>
        </w:rPr>
      </w:pPr>
      <w:r>
        <w:rPr>
          <w:rFonts w:ascii="Arial" w:hAnsi="Arial"/>
          <w:color w:val="000000"/>
          <w:sz w:val="20"/>
        </w:rPr>
        <w:t>IRAK4 is a clinically supported target in inflammatory disease. Multiple approved therapies act either upstream or downstream of IRAK4-dependent signaling, including ILARIS®, KINERET®, and ARCALYST®, which target IL-1 signaling; SPEVIGO®, which targets IL-36R; HUMIRA®, which targets TNF; and ACTEMRA®, which targets IL-6. While these approaches are validated in certain autoimmune and inflammatory indications, targeting a single upstream receptor or downstream cytokine may not fully address diseases driven by redundant or overlapping inflammatory signals. Human genetic studies further support the central role of IRAK4 within the myddosome. Individuals with loss-of-function mutations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in IRAK4 or MYD88 exhibit impaired myddosome signaling, consistent with the requirement for IRAK4 scaffolding with IRAK1 and IRAK2 to enable downstream cytokine production.</w:t>
      </w:r>
    </w:p>
    <w:p>
      <w:pPr>
        <w:pStyle w:val="TextBody"/>
        <w:bidi w:val="0"/>
        <w:spacing w:before="120" w:after="283"/>
        <w:ind w:left="0" w:right="0" w:firstLine="619"/>
        <w:jc w:val="left"/>
        <w:rPr>
          <w:rFonts w:ascii="Arial" w:hAnsi="Arial"/>
          <w:color w:val="000000"/>
          <w:sz w:val="20"/>
        </w:rPr>
      </w:pPr>
      <w:r>
        <w:rPr>
          <w:rFonts w:ascii="Arial" w:hAnsi="Arial"/>
          <w:color w:val="000000"/>
          <w:sz w:val="20"/>
        </w:rPr>
        <w:t>Because IRAK4 functions downstream of multiple IL-1 family receptors and TLRs that are present across diverse tissues and implicated in multiple types of disease, we believe inhibition of IRAK4 has potential to be therapeutically effective in a broad range of inflammatory and autoimmune diseases.</w:t>
      </w:r>
    </w:p>
    <w:p>
      <w:pPr>
        <w:pStyle w:val="TextBody"/>
        <w:bidi w:val="0"/>
        <w:spacing w:before="240" w:after="283"/>
        <w:jc w:val="center"/>
        <w:rPr>
          <w:rFonts w:ascii="Arial" w:hAnsi="Arial"/>
          <w:b/>
          <w:color w:val="000000"/>
          <w:sz w:val="20"/>
        </w:rPr>
      </w:pPr>
      <w:r>
        <w:rPr>
          <w:rFonts w:ascii="Arial" w:hAnsi="Arial"/>
          <w:b/>
          <w:color w:val="000000"/>
          <w:sz w:val="20"/>
        </w:rPr>
        <w:t>IRAK4 Inhibition Is Potentially Relevant Across Multiple Indications as Shown by Third Party Development of Agents That Target Activators of IRAK4</w:t>
      </w:r>
    </w:p>
    <w:p>
      <w:pPr>
        <w:pStyle w:val="TextBody"/>
        <w:bidi w:val="0"/>
        <w:spacing w:before="240" w:after="283"/>
        <w:jc w:val="center"/>
        <w:rPr/>
      </w:pPr>
      <w:r>
        <w:rPr/>
        <w:drawing>
          <wp:inline distT="0" distB="0" distL="0" distR="0">
            <wp:extent cx="6858000" cy="3086100"/>
            <wp:effectExtent l="0" t="0" r="0" b="0"/>
            <wp:docPr id="7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5" descr=""/>
                    <pic:cNvPicPr>
                      <a:picLocks noChangeAspect="1" noChangeArrowheads="1"/>
                    </pic:cNvPicPr>
                  </pic:nvPicPr>
                  <pic:blipFill>
                    <a:blip r:embed="rId76"/>
                    <a:stretch>
                      <a:fillRect/>
                    </a:stretch>
                  </pic:blipFill>
                  <pic:spPr bwMode="auto">
                    <a:xfrm>
                      <a:off x="0" y="0"/>
                      <a:ext cx="6858000" cy="3086100"/>
                    </a:xfrm>
                    <a:prstGeom prst="rect">
                      <a:avLst/>
                    </a:prstGeom>
                  </pic:spPr>
                </pic:pic>
              </a:graphicData>
            </a:graphic>
          </wp:inline>
        </w:drawing>
      </w:r>
    </w:p>
    <w:p>
      <w:pPr>
        <w:pStyle w:val="TextBody"/>
        <w:bidi w:val="0"/>
        <w:spacing w:before="240" w:after="283"/>
        <w:ind w:left="0" w:right="0" w:firstLine="619"/>
        <w:jc w:val="left"/>
        <w:rPr>
          <w:rFonts w:ascii="Times New Roman" w:hAnsi="Times New Roman"/>
          <w:sz w:val="20"/>
        </w:rPr>
      </w:pPr>
      <w:r>
        <w:rPr>
          <w:rFonts w:ascii="Arial" w:hAnsi="Arial"/>
          <w:color w:val="000000"/>
          <w:sz w:val="20"/>
        </w:rPr>
        <w:t>Prior approaches by others to target IRAK4 have primarily focused on inhibition of its kinase activity or IRAK4 degradation, and several IRAK4 kinase inhibitors and IRAK4 degraders have advanced into clinical development. We believe these approaches will not be effective treatments for most inflammatory diseases because these cannot disrupt IRAK4 signaling in non-myeloid cell types, such as fibroblasts and synoviocytes, which are important mediators of immune disease. For example, although inhibition of IRAK4 kinase activity by kinase inhibitors is sufficient to prevent downstream signaling in myeloid cells, IRAK4 kinase signaling is not required for signaling in non-myeloid cells, including fibroblasts or synoviocytes, and therefore kinase inhibitors will be ineffective at blocking signal in these cell types. IRAK4 scaffolding function is necessary for signaling in both myeloid and non-myeloid cell types, which we believe is evidence that an IRAK4 scaffolding inhibitor will be effective across diseases mediated by IRAK4. This understanding about the role of IRAK4 scaffolding has led others to develop IRAK4 degraders that aim to deplete IRAK4 protein to prevent scaffolding, but to our knowledge, no degrader has shown the ability to prevent IRAK4 scaffolding with IRAK1 or IRAK2 in the myddosome and as a result incomplete cytokine inhibition is observed in non-myeloid cells.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Therefore, our program was designed to inhibit the scaffolding function of IRAK4 by blocking its ability to interact with IRAK1 and IRAK2, thereby preventing assembly of a functional myddosome signaling complex and suppressing downstream inflammatory signaling across all disease-relevant cell types.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Partnered Programs</w:t>
      </w:r>
      <w:r>
        <w:rPr>
          <w:rFonts w:ascii="Times New Roman" w:hAnsi="Times New Roman"/>
          <w:color w:val="000000"/>
          <w:sz w:val="20"/>
        </w:rPr>
        <w:t xml:space="preserve"> </w:t>
      </w:r>
    </w:p>
    <w:p>
      <w:pPr>
        <w:pStyle w:val="TextBody"/>
        <w:bidi w:val="0"/>
        <w:spacing w:before="120" w:after="283"/>
        <w:jc w:val="left"/>
        <w:rPr>
          <w:rFonts w:ascii="Arial" w:hAnsi="Arial"/>
          <w:i/>
          <w:color w:val="000000"/>
          <w:sz w:val="20"/>
        </w:rPr>
      </w:pPr>
      <w:r>
        <w:rPr>
          <w:rFonts w:ascii="Arial" w:hAnsi="Arial"/>
          <w:i/>
          <w:color w:val="000000"/>
          <w:sz w:val="20"/>
        </w:rPr>
        <w:t>IRF5</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collaboration with Terray, we are developing a small molecule designed to inhibit IRF5, a genetically validated but undrugged, transcription factor that regulates multiple proinflammatory signaling pathways. IRF5 plays an important role in the production of proinflammatory cytokines and chemokines, type I IFN, and auto-antibody responses. Genetic variants of IRF5 are associated with increased susceptibility to autoimmune and inflammatory diseases including SLE, Sjögren’s, RA, IBD, and systemic sclerosis.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IRF5 functions as a transcriptional regulator that is activated downstream of Toll-like receptors, including TLR7, TLR8, and TLR9, and also integrates signals from additional receptors, including TLR2, TLR4, Dectin-1, and RIG-I</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receptors. As a result, IRF5 responds to a group of innate immune activating triggers, including nucleic acids, that drive type I IFN production and proinflammatory cytokine signaling. Approved drugs that modulate downstream components of IRF5-regulated pathways, including TNF, IL-6, IL-12, IL-23, type 1 IFNs, and B cell-directed therapies, provide clinical support for direct targeting of IRF5 to treat disease.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 xml:space="preserve">We believe IRF5 inhibition is a complementary therapeutic strategy to SLC15A4 inhibition. Given that there are currently no approved drugs for either target, along with there being multiple potential indications for which inhibitors of this pathway could be developed, we have decided to develop drugs that target several nodes in the pathway to provide opportunities to maximize the efficacy and safety of drugging this pathway and to potentially identify differentiated, indication-specific profiles. </w:t>
      </w:r>
      <w:r>
        <w:rPr>
          <w:rFonts w:ascii="Arial" w:hAnsi="Arial"/>
          <w:color w:val="181717"/>
          <w:sz w:val="20"/>
        </w:rPr>
        <w:t>The program is currently in lead optimization</w:t>
      </w:r>
      <w:r>
        <w:rPr>
          <w:rFonts w:ascii="Arial" w:hAnsi="Arial"/>
          <w:color w:val="000000"/>
          <w:sz w:val="20"/>
        </w:rPr>
        <w:t>.</w:t>
      </w:r>
    </w:p>
    <w:p>
      <w:pPr>
        <w:pStyle w:val="TextBody"/>
        <w:bidi w:val="0"/>
        <w:spacing w:before="240" w:after="283"/>
        <w:jc w:val="left"/>
        <w:rPr>
          <w:rFonts w:ascii="Times New Roman" w:hAnsi="Times New Roman"/>
          <w:sz w:val="20"/>
        </w:rPr>
      </w:pPr>
      <w:r>
        <w:rPr>
          <w:rFonts w:ascii="Arial" w:hAnsi="Arial"/>
          <w:b/>
          <w:color w:val="000000"/>
          <w:sz w:val="20"/>
        </w:rPr>
        <w:t>License and Collaboration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Terray Collaboration and License Agreement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On September 11, 2024, we entered into a Collaboration and License Agreement, or the Terray Agreement, with Terray to discover, develop and commercialize or out-license products directed to IRF5. We and Terray have agreed to an initial research plan and to use commercially reasonable efforts to perform the activities in any research, development, or commercialization plans under the Terray Agreement and, commencing on the date that a development candidate is identified, to enter into an out-licensing transaction that satisfies certain requirements. During the term of the Terray Agreement and subject to certain exceptions, we and Terray have agreed not to, directly or indirectly, conduct any other development, manufacturing, or commercialization activities related to any compound or product directed to IRF5. As between us and Terray and unless we opt-out as described below, we are solely responsible for preparing and submitting regulatory submissions with regulatory authorities and for obtaining and maintaining regulatory approvals for certain compounds and products that are the subject of the Terray Agreement.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and Terray have agreed to share all collaboration losses (generated in accordance with and subject to applicable budgets) and collaboration profits (including any payments received in connection with an out-licensing transaction) equally, beginning from the effective date of the Terray Agreement until the earlier of the date either party elects to opt-out, or the date the agreement expires or is terminated.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Both we and Terray have the right to opt-out of the obligation to perform, and share costs for, activities under the applicable plan and the right and obligation to share collaboration losses and collaboration profits, prior to the execution of an out-licensing transaction and subject to certain other conditions. We or Terray may also be deemed to opt-out if further development or commercialization activities are not approved under the agreement or the parties do not designate a development candidate and, in either case, only one party wishes to conduct additional research, or if either party decides not to bear certain increased costs.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the event one party opts-out of the Terray Agreement, that party will not be required to conduct any further activities under the applicable plan and will no longer be required to pay its portion of collaboration losses or have a right to receive its portion of collaboration profits to the extent incurred or received after the effective date of the opt-out. Instead, the opt-out party will be entitled to receive a percentage of the net proceeds from an out-licensing agreement, if any, ranging from the mid-single digits to the mid-thirties during the term of the Terray Agreement. The percentage of proceeds that the opt-out party would be entitled to will depend on the achievement of certain regulatory and development milestones at the time such party opts out and the time when the out-license transaction is signed. If no out-license transaction has been entered into with respect to the applicable licensed product developed pursuant to the Terray Agreement in the relevant country, the opt-out party will instead be eligible to receive mid-single-digit to low double-digit royalties on aggregate net sales that arise from the other party’s commercialization of such licensed product, if any, on a country-by-country basis during the applicable royalty term (subject to certain deductions).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Terray Agreement will expire on the date all payment obligations with respect to licensed products under the Terray Agreement expire. We and Terray may also terminate the Terray Agreement in certain circumstances, including for convenience, upon providing the other party prior written notice.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Competition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biopharmaceutical industry is characterized by rapidly advancing technologies, intense competition, and a strong emphasis on proprietary and novel products and product candidates. Our product candidates, if approved, are designed to potentially address a range of inflammatory and autoimmune diseases. Ultimately, the diseases our product candidates target, and for which we may receive marketing authorization, will determine our competition. Our product candidates, if approved, will have to compete with existing therapies and new therapies that may become available in the future. We face potential competition from many different sources, including larger and better-funded pharmaceutical, biopharmaceutical, biotechnological and therapeutics companies. In many cases, companies with competing programs will have access to greater financial, technical, manufacturing, supply, marketing, and sales resources, and may be more advanced in those programs. Moreover, we may also compete with universities and other research institutions that may</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be or will become active in research on our target indications. Smaller or early-stage companies may also prove to be significant competitors, particularly through collaborative arrangements with large and established companies. Key competitive factors affecting the success of our product candidates, if approved, are likely to be efficacy, safety, convenience, presentation, price, level of generic competition and the availability of reimbursement from government and third-party payors. Our competitors may also obtain FDA or other regulatory approval for their products more rapidly than we may obtain approval for ours, which could result in our competitors establishing a strong market position before we are able to enter the market.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developing OD-001, an oral small-molecule scaffolding inhibitor of RIPK2 for the treatment of IBD. We are aware of a number of competing product candidates targeting RIPK2 in clinical development stage, including Accro Bioscience’s AC-101 and Oncodesign Precision Medicine’s ODS-101/OPM-101. We are also aware of other companies that have publicly disclosed work on RIPK2, including GlaxoSmithKline (GSK 2983559 and GSK583), Takeda, Novartis, Bristol Myers Squibb/Celgene, Atomwise, Architect Therapeutics, Vibliome Therapeutics, and Zenitar Biomedical/Chengdu Zeling Biomedical.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approved, we would expect to compete against a number of approved therapies for the treatment of IBD. These approved therapies include TNF inhibitors, including AbbVie’s HUMIRA</w:t>
      </w:r>
      <w:r>
        <w:rPr>
          <w:rFonts w:ascii="Arial" w:hAnsi="Arial"/>
          <w:color w:val="000000"/>
          <w:sz w:val="13"/>
        </w:rPr>
        <w:t>®</w:t>
      </w:r>
      <w:r>
        <w:rPr>
          <w:rFonts w:ascii="Arial" w:hAnsi="Arial"/>
          <w:color w:val="000000"/>
          <w:sz w:val="20"/>
        </w:rPr>
        <w:t>, J&amp;J’s REMICADE</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and SIMPONI</w:t>
      </w:r>
      <w:r>
        <w:rPr>
          <w:rFonts w:ascii="Arial" w:hAnsi="Arial"/>
          <w:color w:val="000000"/>
          <w:sz w:val="13"/>
        </w:rPr>
        <w:t>®</w:t>
      </w:r>
      <w:r>
        <w:rPr>
          <w:rFonts w:ascii="Arial" w:hAnsi="Arial"/>
          <w:color w:val="000000"/>
          <w:sz w:val="20"/>
        </w:rPr>
        <w:t>; IL-23 inhibitors including J&amp;J’s STELARA</w:t>
      </w:r>
      <w:r>
        <w:rPr>
          <w:rFonts w:ascii="Arial" w:hAnsi="Arial"/>
          <w:color w:val="000000"/>
          <w:sz w:val="13"/>
        </w:rPr>
        <w:t>®</w:t>
      </w:r>
      <w:r>
        <w:rPr>
          <w:rFonts w:ascii="Arial" w:hAnsi="Arial"/>
          <w:color w:val="000000"/>
          <w:sz w:val="20"/>
        </w:rPr>
        <w:t>, Eli Lilly’s OMVOH</w:t>
      </w:r>
      <w:r>
        <w:rPr>
          <w:rFonts w:ascii="Arial" w:hAnsi="Arial"/>
          <w:color w:val="000000"/>
          <w:sz w:val="13"/>
        </w:rPr>
        <w:t>®</w:t>
      </w:r>
      <w:r>
        <w:rPr>
          <w:rFonts w:ascii="Arial" w:hAnsi="Arial"/>
          <w:color w:val="000000"/>
          <w:sz w:val="20"/>
        </w:rPr>
        <w:t>, and AbbVie’s SKYRIZI</w:t>
      </w:r>
      <w:r>
        <w:rPr>
          <w:rFonts w:ascii="Arial" w:hAnsi="Arial"/>
          <w:color w:val="000000"/>
          <w:sz w:val="13"/>
        </w:rPr>
        <w:t>®</w:t>
      </w:r>
      <w:r>
        <w:rPr>
          <w:rFonts w:ascii="Arial" w:hAnsi="Arial"/>
          <w:color w:val="000000"/>
          <w:sz w:val="20"/>
        </w:rPr>
        <w:t>; integrin blockers including Takeda’s ENTYVIO</w:t>
      </w:r>
      <w:r>
        <w:rPr>
          <w:rFonts w:ascii="Arial" w:hAnsi="Arial"/>
          <w:color w:val="000000"/>
          <w:sz w:val="13"/>
        </w:rPr>
        <w:t>®</w:t>
      </w:r>
      <w:r>
        <w:rPr>
          <w:rFonts w:ascii="Arial" w:hAnsi="Arial"/>
          <w:color w:val="000000"/>
          <w:sz w:val="20"/>
        </w:rPr>
        <w:t>; JAK inhibitors including Pfizer’s XELJANZ</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and AbbVie’s RINVOQ</w:t>
      </w:r>
      <w:r>
        <w:rPr>
          <w:rFonts w:ascii="Arial" w:hAnsi="Arial"/>
          <w:color w:val="000000"/>
          <w:sz w:val="13"/>
        </w:rPr>
        <w:t>®</w:t>
      </w:r>
      <w:r>
        <w:rPr>
          <w:rFonts w:ascii="Arial" w:hAnsi="Arial"/>
          <w:color w:val="000000"/>
          <w:sz w:val="20"/>
        </w:rPr>
        <w:t>; and S1P1 receptor-modulating therapies, including Bristol Myers Squibb’s ZEPOSIA</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and Pfizer’s VELSIPITY</w:t>
      </w:r>
      <w:r>
        <w:rPr>
          <w:rFonts w:ascii="Arial" w:hAnsi="Arial"/>
          <w:color w:val="000000"/>
          <w:sz w:val="13"/>
        </w:rPr>
        <w:t>®</w:t>
      </w:r>
      <w:r>
        <w:rPr>
          <w:rFonts w:ascii="Arial" w:hAnsi="Arial"/>
          <w:color w:val="000000"/>
          <w:sz w:val="20"/>
        </w:rPr>
        <w:t>. We are also aware of product candidates in development for the treatment of patients with IBD, including Merck’s MK-7240, Roche’s RG6631, and Sanofi/Teva’s TEV-48574 TL1A antibodies; additional IL-23/IL-23Rs including J&amp;J’s TREMFYA</w:t>
      </w:r>
      <w:r>
        <w:rPr>
          <w:rFonts w:ascii="Arial" w:hAnsi="Arial"/>
          <w:color w:val="000000"/>
          <w:sz w:val="13"/>
        </w:rPr>
        <w:t>®</w:t>
      </w:r>
      <w:r>
        <w:rPr>
          <w:rFonts w:ascii="Times New Roman" w:hAnsi="Times New Roman"/>
          <w:color w:val="000000"/>
          <w:sz w:val="20"/>
        </w:rPr>
        <w:t xml:space="preserve"> </w:t>
      </w:r>
      <w:r>
        <w:rPr>
          <w:rFonts w:ascii="Arial" w:hAnsi="Arial"/>
          <w:color w:val="000000"/>
          <w:sz w:val="20"/>
        </w:rPr>
        <w:t>and JNJ-2113; bispecific antibodies, including CLD-423; miR-124 including Abivax SA’s obefazimod; and oral anti-integrin agents including Eli Lilly’s MORF-057 and Gilead’s GS-1427.</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also developing an inhibitor targeting SLC15A4. We are aware of a number of companies seeking to develop drugs targeting SLC15A4, including BridGene Bioscience (BGP-31646), Nimbus Therapeutics (NTX-348), OMass Therapeutics, Architect Therapeutics, Kyowa Kirin, and Solgate GmbH. As of the time of this prospectus, we are not aware of any SLC15A4 targeted therapies in clinical trials.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also developing a V-body designed to agonize TNFR2 selectively on Treg. We are aware of one TNFR2 agonist program that has entered clinical trials and is in development by TRexBio (TRB-061) for autoimmune and inflammatory disease. We are also aware of Nektar’s NKTR-0165 which is in preclinical development for autoimmune and inflammatory disease. We are also aware of other TNFR2 agonist programs in development for cancer indications.</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We are also developing a bispecific protein antagonist of TSLP and IL-33. We are aware of one clinical-stage product candidate targeting TSLP and IL-33 in development by Newsoara (HY6725). We are also aware of other companies that have publicly disclosed work on TSLP/IL-33, including Sound Biologics (PSB219), Roche / Qyuns Therapeutics (QX031N), and Helixon Therapeutics / Earendil Labs (HXN-1013).</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also developing an IRAK4 scaffolding inhibitor. There are a number of companies seeking to develop drugs targeting IRAK4. We are aware of four IRAK4 degraders in clinical trials for the potential treatment of patients with inflammatory diseases, including Leadingtac’s LT-002 (or LT-002-158), Gilead and Nurix’s GS-6791/NX-0479, BeiGene’s BGB-43035, and Biogen / C4 Therapeutic’s BIIB142. We are also aware of additional IRAK4 degrader programs in preclinical development, including: Photys / Hangzhou Polymed’s PHT-776/HPB-143, Sanofi / Kymera’s KT-485/SAR447971, and ApicHope’s APH02174. We are also aware of two IRAK4 kinase inhibitors in clinical trials, including Chia Tai Tianqing’s TQH3821 and AstraZeneca’s AZD6793.</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we are developing an IRF5 inhibitor in collaboration with Terray. We are aware of one clinical stage IRF5 degrader candidate in development by Kymera (KT-579). We are also aware of other companies that have publicly disclosed work on IRF5, including Alumis and HotSpot Therapeutics.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Intellectual Property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continuously work to protect our, and develop new, proprietary technology, inventions, trade secrets, and know-how that are important for our business, including by seeking, maintaining, and defending patent rights. In addition to seeking patent protection, we rely upon trade secrets and confidential know-how and continuing technological innovation related to our product candidates and drug development efforts. We seek to protect our proprietary information, in part, using confidentiality agreements with any collaborators, advisors, employees, and consultants and invention assignment agreements with our employees. We also have agreements requiring assignment of inventions with selected consultants, advisors, and collaborators. Our success will depend in part on our ability to obtain and maintain patent protection for our product candidates and technologies, to preserve our trade secrets, to operate without infringing the proprietary rights of third parties, and to acquire licenses related to enabling technologies or products. We are also party to collaboration agreements and licenses pursuant to which we develop new intellectual property and collaborate with third parties to provide them access to our intellectual property and gain access to their intellectual property. See the section of the prospectus titled “—</w:t>
      </w:r>
      <w:r>
        <w:rPr>
          <w:rFonts w:ascii="Arial" w:hAnsi="Arial"/>
          <w:i/>
          <w:color w:val="000000"/>
          <w:sz w:val="20"/>
        </w:rPr>
        <w:t>License and Collaboration Agreement</w:t>
      </w:r>
      <w:r>
        <w:rPr>
          <w:rFonts w:ascii="Times New Roman" w:hAnsi="Times New Roman"/>
          <w:color w:val="000000"/>
          <w:sz w:val="20"/>
        </w:rPr>
        <w:t xml:space="preserve">” </w:t>
      </w:r>
      <w:r>
        <w:rPr>
          <w:rFonts w:ascii="Arial" w:hAnsi="Arial"/>
          <w:color w:val="000000"/>
          <w:sz w:val="20"/>
        </w:rPr>
        <w:t>for more information.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term of individual patents in our portfolio depends upon the legal term of patents in the countries in which they are obtained. In most countries in which we file, including the United States, the patent term is 20 years from the earliest date of filing a non-provisional patent application. In the United States, the term of a patent may be eligible for patent term adjustment, which permits patent term restoration as compensation for delays incurred at the United States Patent and Trademark Office, or the USPTO, during the patent prosecution process. In addition, for patents that cover an FDA-approved drug, the Drug Price Competition and Patent Term Restoration Act of 1984, or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 may be extended under the Hatch-Waxman Act. Similar provisions are available in Europe and other foreign jurisdictions to extend the term of a patent that covers an approved drug. In the future, if and when our product candidates receive FDA approval, we expect to apply for patent term extensions on patents covering those products. We plan to seek any available patent term extension to any patents we may be granted in any jurisdiction where such extensions are available. However, there is no guarantee that the applicable authorities, including the FDA in the United States, will agree with our assessment of whether such extensions should be granted, and if granted, the length of such extensions.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may also rely on trade secrets relating to our discovery programs and product candidates and seek to protect and maintain the confidentiality of proprietary information to protect aspects of our business that are not amenable to, or that we do not consider appropriate for, patent protection. It is our policy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provide meaningful protection or adequate remedies for our trade secrets in the event of unauthorized use or disclosure of such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RIPK2</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Our RIPK2 patent portfolio consists of patent applications directed toward the composition of matter of certain inhibitors of RIPK2 having distinct chemical scaffolds, including a scaffold that covers our most advanced product candidate, OD-001, and uses of these inhibitors to treat certain diseases.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OD-001</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patent portfolio for OD-001 is based on our wholly owned patent families and includes patent applications directed to the composition of matter of OD-001, uses of OD-001 for treating certain diseases, certain crystalline forms of OD-001 and their uses for treating certain diseases, and combination therapies of OD-001.</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As of March 31, 2026, applications directed toward the composition of matter of OD-001 and its uses to treat certain diseases have been filed in the United States, Argentina, Taiwan, Kuwait, United Arab Emirates, China, Japan, South Africa, Canada, Mexico, Brazil, Israel, India, Singapore, New Zealand, Australia, Eurasia, Vietnam, Korea, Colombia, Europe and Saudi Arabia. One of the two applications filed in the United States is a Track One Prioritized Examination Application and has received a Notice of Allowance. Any patents that may issue in the U.S., Argentina, Taiwan or other foreign jurisdictions would expire in 2043, absent any terminal disclaimers, patent term adjustments, or patent term extensions.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As of March 31, 2026, we also have filed applications in Argentina, Taiwan and under the Patent Cooperation Treaty, or PCT, directed toward certain crystalline forms of OD-001 and their uses for treating certain diseases. The PCT is an international patent law treaty that provides a unified procedure for filing a single initial patent application to seek patent protection for an invention simultaneously in each of the PCT-member states. Although a PCT application is not itself examined and cannot issue as a patent, it allows the applicant to seek protection in any of the member states by filing national applications. Any patent that may issue in the U.S., Argentina, Taiwan or other foreign jurisdictions based on this PCT application would expire in 2045, absent any terminal disclaimers, patent term adjustments, or patent term extensions.</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As of March 31, 2026, a U.S. provisional application directed toward certain combination therapies of OD-001 and their uses for treating certain diseases has been filed. If non-provisional patent applications (e.g., a regular U.S. application, a PCT application or foreign national applications) claiming the benefit of the pending U.S. provisional patent application are filed in 2026 before the expiration of the U.S. provisional patent application, any patent that may issue in the U.S. from those applications would expire no earlier than 2046, absent any terminal disclaimers, patent term adjustments or patent term extensions. Any patents that may issue in foreign jurisdictions would likewise expire in 2046, absent any terminal disclaimers, patent term adjustments or patent term extensions.</w:t>
      </w:r>
    </w:p>
    <w:p>
      <w:pPr>
        <w:pStyle w:val="TextBody"/>
        <w:bidi w:val="0"/>
        <w:spacing w:before="240" w:after="283"/>
        <w:jc w:val="left"/>
        <w:rPr>
          <w:rFonts w:ascii="Times New Roman" w:hAnsi="Times New Roman"/>
          <w:sz w:val="20"/>
        </w:rPr>
      </w:pPr>
      <w:r>
        <w:rPr>
          <w:rFonts w:ascii="Arial" w:hAnsi="Arial"/>
          <w:i/>
          <w:color w:val="000000"/>
          <w:sz w:val="20"/>
        </w:rPr>
        <w:t>Other RIPK2 Inhibitors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patent portfolios for our other RIPK2 inhibitors under development are wholly owned by us and include patent applications directed to the composition of matter of inhibitors having defined chemical scaffolds that differ from the scaffold that covers OD-001, and uses of such inhibitors for treating certain diseases.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of March 31, 2026, two PCT applications directed toward the composition of matter and uses to treat certain diseases of a chemical scaffold different from the scaffold that covers OD-001 have been filed. Any patents that may issue in the U.S. or any foreign jurisdiction based on the PCT applications would expire in 2045 to 2046, absent any terminal disclaimers, patent term adjustments, or patent term extensions.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of March 31, 2026, we have filed two U.S. provisional applications directed toward the composition of matter and uses to treat certain diseases of another chemical scaffold different from the scaffold that covers OD-001. If non-provisional patent applications claiming the benefit of the pending U.S. provisional patent applications are filed in 2026 before expiration of the U.S. provisional patent application, any U.S. patents that may issue from such applications would expire no earlier than 2046, not including any terminal disclaimers, patent term adjustments, or patent term extensions. Any patents that may issue in foreign jurisdictions would likewise expire in 2046, absent any terminal disclaimers, patent term adjustments, or patent term extensions.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of March 31, 2026, we also filed two U.S. provisional applications directed toward crystalline forms of another RIPK2 inhibitor and their uses for treating certain diseases. If non-provisional patent applications (e.g., a regular U.S. application, a PCT application or foreign national applications) claiming the benefit of the pending U.S. provisional patent applications are filed in 2026 before the expiration of the U.S. provisional patent applications, any patent that may issue in the U.S. from those applications would expire no earlier than 2046, absent any terminal disclaimers, patent term adjustments, or patent term extensions. Any patents that may issue in foreign jurisdictions would likewise expire in 2046, absent any terminal disclaimers, patent term adjustments, or patent term extensions.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of March 31, 2026, we also filed a PCT application directed at a biomarker that may facilitate and expedite the identification and stratification of IBD patient populations that are responsive to treatment with a RIPK2 inhibitor. Any patent that may issue in the U.S. from this application would expire no earlier than 2044, absent any terminal disclaimers, patent term adjustments, or patent term extensions. Any patents that may issue in foreign jurisdictions would likewise expire in 2044, absent any terminal disclaimers, patent term adjustments, or patent term extensions.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SLC15A4</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SLC15A4 patent portfolio covers SLC15A4 small-molecule inhibitors that we are continually evaluating for the purpose of determining which molecule may be advanced into clinical trials. As of March 31, 2026, this portfolio is based on twelve U.S. provisional applications directed to these molecules and methods of treating disease by administering</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these molecules, including one provisional application covering our current lead molecule for this program. Any patents granting from these pending applications would expire in 2046 to 2047, absent any terminal disclaimers, patent term adjustments, or patent term extensions.</w:t>
      </w:r>
      <w:r>
        <w:rPr>
          <w:rFonts w:ascii="Times New Roman" w:hAnsi="Times New Roman"/>
          <w:color w:val="000000"/>
          <w:sz w:val="20"/>
        </w:rPr>
        <w:t xml:space="preserve"> </w:t>
      </w:r>
    </w:p>
    <w:p>
      <w:pPr>
        <w:pStyle w:val="TextBody"/>
        <w:bidi w:val="0"/>
        <w:spacing w:before="240" w:after="283"/>
        <w:jc w:val="left"/>
        <w:rPr>
          <w:rFonts w:ascii="Arial" w:hAnsi="Arial"/>
          <w:b/>
          <w:i/>
          <w:color w:val="000000"/>
          <w:sz w:val="20"/>
        </w:rPr>
      </w:pPr>
      <w:r>
        <w:rPr>
          <w:rFonts w:ascii="Arial" w:hAnsi="Arial"/>
          <w:b/>
          <w:i/>
          <w:color w:val="000000"/>
          <w:sz w:val="20"/>
        </w:rPr>
        <w:t>TNFR2</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TNFR2 patent portfolio covers protein agonist molecules. This portfolio is based on our wholly owned group of patent families, including patent applications directed to TNFR2 VHH, CD25 VHH, TNFR2-CD25 bispecific VHH, methods of making these molecules and methods of treating disease by administering these molecules, including with respect to our lead molecule for this program, OD-003.</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As of March 31, 2026, our TNFR2 patent portfolio comprised three pending PCT patent applications, two U.S. non-provisional patent applications and 36 foreign counterpart patent applications. Any patents that may issue from these pending applications would expire from 2044 to 2045, absent any terminal disclaimers, patent term adjustments, or patent term extensions.</w:t>
      </w:r>
    </w:p>
    <w:p>
      <w:pPr>
        <w:pStyle w:val="TextBody"/>
        <w:bidi w:val="0"/>
        <w:spacing w:before="240" w:after="283"/>
        <w:jc w:val="left"/>
        <w:rPr>
          <w:rFonts w:ascii="Times New Roman" w:hAnsi="Times New Roman"/>
          <w:sz w:val="20"/>
        </w:rPr>
      </w:pPr>
      <w:r>
        <w:rPr>
          <w:rFonts w:ascii="Arial" w:hAnsi="Arial"/>
          <w:b/>
          <w:i/>
          <w:color w:val="000000"/>
          <w:sz w:val="20"/>
        </w:rPr>
        <w:t>Other Intellectual Property</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In addition to the intellectual property described above, we also have a number of pending patent applications and other intellectual property rights with respect to our TSLP-IL-33, IRAK4 and IRF5 programs.</w:t>
      </w:r>
    </w:p>
    <w:p>
      <w:pPr>
        <w:pStyle w:val="TextBody"/>
        <w:bidi w:val="0"/>
        <w:spacing w:before="240" w:after="283"/>
        <w:jc w:val="left"/>
        <w:rPr>
          <w:rFonts w:ascii="Times New Roman" w:hAnsi="Times New Roman"/>
          <w:sz w:val="20"/>
        </w:rPr>
      </w:pPr>
      <w:r>
        <w:rPr>
          <w:rFonts w:ascii="Arial" w:hAnsi="Arial"/>
          <w:b/>
          <w:color w:val="000000"/>
          <w:sz w:val="20"/>
        </w:rPr>
        <w:t>Trademarks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Further, we have and will continue to pursue trademark protection for our company name and brand, as well as slogans and taglines and logos. As of March 31, 2026, we owned six trademark registrations in the European Union, six trademark registrations in the United Kingdom and four pending trademark applications in the United States for marks that comprise or incorporate the term “Odyssey Therapeutics” and/or our current wreath logo.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Sales and Marketing</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Given our stage of development, we have not yet established a full commercial organization or distribution capabilities. We intend to build a commercial infrastructure to support sales of any approved product candidates and intend to continue evaluating opportunities to work with partners that enhance our capabilities with respect to the development and commercialization of product candidates, if approved. In addition, we intend to commercialize our product candidates, if approved, in key global markets, either alone or with partners in order to maximize the worldwide commercial potential of our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Manufacturing</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do not own or operate, and currently have no plans to establish, any manufacturing facilities. We currently rely, and expect to continue to rely, on third parties for the manufacture of our product candidates for clinical testing, as well as for the manufacture of any products that we may commercialize, if approved. For all our product candidates, we intend to identify and qualify redundant manufacturers, including entering into long-term agreements, to provide the active pharmaceutical ingredients and drug product and prior to submission of a new drug application, or NDA, or biologics license application, or BLA, to the FDA and/or a marketing authorization application, or MAA, to the European Medicines Agency, or EMA, and/or other comparable foreign regulatory authorities. We believe our selection of two well understood modalities, small molecules and protein therapeutics, will allow us to manufacture our product candidates in reliable and reproducible processes from readily available starting materials. We expect to continue to develop product candidates that can be produced cost-effectively at contract manufacturing facilities.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Government Regulation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sale, distribution, post-approval monitoring and reporting, marketing, and export and import of drug products and biologics. We, along with any third-party contractors on whom we rely, will be required to navigate the various preclinical, clinical, and commercial approval requirements of the governing regulatory agencies of the countries in which we wish to conduct studies, clinical trials, or seek approval of our product candidates. The process of obtaining regulatory approvals and the subsequent compliance with applicable federal, state, local, and foreign statutes and regulations require the expenditure of substantial time and financial resources.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U.S. Regulation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the United States, the FDA regulates drugs under the Federal Food, Drug, and Cosmetic Act, as amended, or the FDCA, and its implementing regulations. Drugs are also subject to other federal, state and local statutes and regulations. Biologics are subject to these same requirements in the United States, except that they are licensed under the Public Health Service Act. A new drug or biologic must be approved by the FDA through the NDA or BLA process, respectively, before they may be legally marketed in the United States, and this process generally involves the following: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completion of preclinical laboratory tests, animal studies, and formulation studies in accordance with FDA’s GLPs and other applicable regulations;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submission to the FDA of an IND which must become effective before human clinical trials may begin and must be updated annually and when certain changes are made;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approval by an independent investigational review board, or IRB, or independent ethics committee, or EC, representing each clinical site before each trial may be initiated;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performance of adequate and well-controlled human clinical trials in accordance with good clinical practices, or GCPs, to establish the safety and efficacy of the proposed drug or the safety, purity and potency of the proposed biologic for its intended use;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preparation of and submission to the FDA of an NDA or BLA after the completion of pivotal trials;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determination by the FDA within 60 days of its receipt of an NDA or BLA to file the application for review;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satisfactory completion of an FDA advisory committee review, if applicable;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satisfactory completion of an FDA inspection of the manufacturing facility or facilities at which the drug or biologic is produced to assess compliance with current good manufacturing practices, or cGMPs, to assure that the facilities, methods and controls are adequate to preserve the product’s identity, strength, quality and purity;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FDA audit of the preclinical study, nonclinical study and/or clinical trial sites that generated data in support of the NDA or BLA;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FDA review and approval of the NDA or BLA to permit commercial marketing of the product for particular indications for use in the United States.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Prior to beginning the first clinical trial with a product candidate in the United States, a sponsor must submit an IND to the FDA requesting their authorization to administer an investigational product to humans. The central focus of an IND submission is on the general investigational plan and the protocol(s) for clinical trials. The IND also includes results of animal and in vitro studies assessing the toxicology, pharmacokinetics, pharmacology and pharmacodynamics, characteristics of the product; chemistry, manufacturing and controls information; and any available human data or literature to support the use of the investigational product. An IND must become effective before human clinical trials may begin. Some long-term preclinical testing may continue after the IND is submitted.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 or may not allow the trial to commence on the terms originally specified in the IND.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trial, dosing procedures, subject selection and exclusion criteria,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retains oversight for the trial to protect study subject welfare until completed. Some trials also include oversight by an independent group of qualified experts organized by the clinical trial sponsor, known as a data safety monitoring board or data monitoring committee,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or other ethical grounds to stop the trial. The FDA or the sponsor may suspend a clinical trial at any time on various grounds, including a finding that the research subjects or patients are being exposed to an unacceptable health risk or that the trial is unlikely to meet its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stated objectives. Similarly, an IRB may suspend or terminate approval of a clinical trial at its institution if the clinical trial is not being conducted in accordance with the IRB’s requirements or if the drug or biologic has been associated with unexpected serious harm to patients. There are also requirements governing the reporting of ongoing clinical trials and clinical trial results to public registries.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 sponsor who wishes to conduct a clinical trial outside of the United States may, but need not, obtain FDA authorization to conduct the clinical trial under an IND. If a foreign clinical trial is not conducted under an IND, the sponsor must ensure that the clinical trial complies with regulatory requirements if the data is to be used in support of NDA or BLA approval. The FDA may accept a well-designed and well-conducted foreign clinical trial not conducted under an IND if the trial was conducted in accordance with GCPs, and the FDA is able to validate the data through an onsite inspection, if deemed necessary.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Human clinical trials are typically conducted in three sequential phases that may overlap or be combined:</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pPr>
      <w:r>
        <w:rPr>
          <w:rFonts w:ascii="Arial" w:hAnsi="Arial"/>
          <w:i/>
          <w:color w:val="000000"/>
          <w:sz w:val="20"/>
        </w:rPr>
        <w:t>Phase 1</w:t>
      </w:r>
      <w:r>
        <w:rPr>
          <w:rFonts w:ascii="Arial" w:hAnsi="Arial"/>
          <w:color w:val="000000"/>
          <w:sz w:val="20"/>
        </w:rPr>
        <w:t xml:space="preserve">: The product candidate is initially introduced into healthy human subjects or patients with the target disease or condition. These trials are designed to test the safety, dosage tolerance, absorption, metabolism, excretion and distribution of the investigational product in humans, the side effects associated with increasing doses, and, if possible, to gain early evidence on effectiveness. In the case of some drugs or biologics for severe or life-threatening diseases, especially when the drug or biologic may be inherently too toxic to ethically administer to healthy participants, the initial human testing is often conducted in patients with the target disease or condition.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pPr>
      <w:r>
        <w:rPr>
          <w:rFonts w:ascii="Arial" w:hAnsi="Arial"/>
          <w:i/>
          <w:color w:val="000000"/>
          <w:sz w:val="20"/>
        </w:rPr>
        <w:t>Phase 2</w:t>
      </w:r>
      <w:r>
        <w:rPr>
          <w:rFonts w:ascii="Arial" w:hAnsi="Arial"/>
          <w:color w:val="000000"/>
          <w:sz w:val="20"/>
        </w:rPr>
        <w:t xml:space="preserve">: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pPr>
      <w:r>
        <w:rPr>
          <w:rFonts w:ascii="Arial" w:hAnsi="Arial"/>
          <w:i/>
          <w:color w:val="000000"/>
          <w:sz w:val="20"/>
        </w:rPr>
        <w:t>Phase 3</w:t>
      </w:r>
      <w:r>
        <w:rPr>
          <w:rFonts w:ascii="Arial" w:hAnsi="Arial"/>
          <w:color w:val="000000"/>
          <w:sz w:val="20"/>
        </w:rPr>
        <w:t xml:space="preserve">: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labeling. Generally, two adequate and well-controlled phase 3 clinical trials are required by the FDA for approval of an NDA or BLA.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It is possible that phase 1, phase 2, and phase 3 testing may not be completed successfully within any specified period, if at all. The FDA or the sponsor may, at any time during the initial 30-day IND review period or while clinical trials are ongoing under the IND, impose a partial or complete clinical hold or suspend a clinical trial, for example, because there is an unacceptable health risk.</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some cases, the FDA may require, or companies may voluntarily pursue, additional clinical trials after a product is approved to gain more information about the product for the approved use or uses. These so-called phase 4 trials may be conducted after initial marketing approval and may be used to gain additional experience from the treatment of patients in the intended therapeutic indication, for example, to generate additional safety data regarding use of the product in a clinical setting. In certain instances, the FDA may mandate the performance of phase 4 clinical trials as a condition of approval of an NDA or BLA.</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 xml:space="preserve">While the IND is active and before approval, progress reports summarizing the results of the clinical trials and preclinical or nonclinical studies performed since the last progress report must be submitted at least annually to the FDA, and written IND safety reports must be submitted to the FDA and investigators for serious and unexpected suspected adverse events, or AEs, findings from other trials suggesting a significant risk to humans exposed to the same or similar drugs, findings from animal or </w:t>
      </w:r>
      <w:r>
        <w:rPr>
          <w:rFonts w:ascii="Arial" w:hAnsi="Arial"/>
          <w:i/>
          <w:color w:val="000000"/>
          <w:sz w:val="20"/>
        </w:rPr>
        <w:t>in vitro</w:t>
      </w:r>
      <w:r>
        <w:rPr>
          <w:rFonts w:ascii="Times New Roman" w:hAnsi="Times New Roman"/>
          <w:color w:val="000000"/>
          <w:sz w:val="20"/>
        </w:rPr>
        <w:t xml:space="preserve"> </w:t>
      </w:r>
      <w:r>
        <w:rPr>
          <w:rFonts w:ascii="Arial" w:hAnsi="Arial"/>
          <w:color w:val="000000"/>
          <w:sz w:val="20"/>
        </w:rPr>
        <w:t>testing suggesting a significant risk to humans, and any clinically important increased incidence of a serious suspected adverse reaction compared to that listed in the protocol or investigator brochure.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during the development of a new drug or biologic, sponsors are given opportunities to meet with the FDA at certain points. These points may be prior to submission of an IND, at the end of a phase 2 trial, and before an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 or biologic.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U.S. Review and Approval Process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or biologic, proposed labeling, and other relevant information are submitted to the FDA as part of an NDA or BLA requesting approval to market the product. Data can come from company-sponsored clinical trials intended to test the safety and effectiveness of a use of the product, or from a number of alternative sources, including trials initiated by independent investigators. To support marketing approval, the data submitted must be sufficient to establish the safety and efficacy of the investigational drug product or the safety, purity and potency of the investigational biological product, for its intended use or uses to the satisfaction of the FDA. The submission of an NDA or BLA is subject to the payment of user fees; a waiver of such fees may be obtained under certain limited circumstances.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FDA conducts a preliminary review of all NDAs and BLAs generally within the first 60 days after submission, before accepting them for filing, to determine whether they are sufficiently complete to permit substantive review. The FDA may request additional information rather than accept an application for filing. In this event, the NDA or BLA must be resubmitted with the additional information. The resubmitted application also is subject to preliminary review before the FDA accepts it for filing. Once accepted for filing, the FDA reviews an NDA or BLA to determine, among other things, whether a product is safe and effective for its intended use or uses and whether its manufacturing is cGMP-compliant to assure and preserve the product’s identity, strength, quality and purity. Under the Prescription Drug User Fee Act, or PDUFA, guidelines that are currently in effect, the FDA has a goal of ten months from the filing date to complete its initial review and act on a standard NDA for a drug that is a new molecular entity or a BLA. The FDA also has a goal of ten months from the date of NDA receipt to review and act on a standard NDA for a drug that is not a new molecular entity. The FDA does not always meet its goal dates, and the review process is often extended by FDA requests for additional information or clarification.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FDA may refer an application for a novel drug or biologic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Before approving an NDA or BLA, the FDA will typically inspect the facility or facilities where the product is manufactured. The FDA will not approve an application unless it determines that the manufacturing processes and facilities are in compliance with cGMPs and adequate to assure consistent production of the product within designated specifications. Additionally, before approving an NDA or BLA, the FDA will typically inspect one or more clinical sites to assure compliance with GCPs and assure the integrity of the clinical data submitted to the FDA.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After the FDA evaluates an NDA or BLA and conducts inspections of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and other conditions of use. A CRL indicates that the review cycle of the application is complete and the application is not ready for approval. A CRL will describe all of the deficiencies that the FDA has identified in the NDA or BLA,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or BLA in condition for approval, including requests for additional information or clarification. The FDA may delay or refuse approval of an NDA or BLA if applicable regulatory criteria are not satisfied, require additional testing or information and/or require post-marketing testing and surveillance to monitor safety or efficacy of a product.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regulatory approval of a product is granted, such approval will be granted for particular indications and other conditions of use, and may entail limitations on the indicated uses for which such product may be marketed. For example, the FDA may approve the NDA or BLA with a Risk Evaluation and Mitigation Strategy, or REMS, to ensure the benefits of the product outweigh its risks. A REMS is a safety strategy to manage a known or potential serious risk associated with a</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medicine and to enable patients to have continued access to such medicines by managing their safe use, and could include medication guides, physician communication plans, assessment plans and/or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post-marketing trials and surveillance to further assess and monitor the product’s safety and effectiveness after commercialization and may limit further marketing of the product based on the results of these post-marketing trials or surveillance programs.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the Pediatric Research Equity Act, or PREA, requires a sponsor to conduct pediatric clinical trials for most drugs and biologics, including for a new active ingredient, new indication, new dosage form, new dosing regimen or new route of administration. Under PREA, original NDAs, BLAs,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the FDA may request a deferral of pediatric clinical trials for some or all of the pediatric subpopulations. A deferral may be granted for several reasons, including a finding that the drug or biologic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U.S. Expedited Development and Review Programs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FDA offers a number of expedited development and review programs for qualifying product candidates. For example, the Fast Track program is intended to expedite or facilitate the process for reviewing new product candidates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designated product candidate has opportunities for more frequent interactions with the applicable FDA review team during product development and, once an NDA or BLA is submitted, the product candidate may be eligible for priority review. A Fast Track-designated product candidate may also be eligible for rolling review, where the FDA may consider for review sections of the NDA or BLA on a rolling basis before the complete application is submitted. Rolling review may occur if the sponsor provides a schedule for the submission of the sections of the NDA or BLA, the FDA agrees to accept sections of the NDA or BLA for review and determines that the schedule is acceptable, and the sponsor pays any required user fees upon submission of the first section of the NDA or BLA.</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as a combination therapy with one or more other drugs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from FDA to expedite the development and review of the product candidate, including involvement of senior managers.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 marketing application for a drug submitted to the FDA for approval, including a product candidate with a Fast Track designation and/or Breakthrough Therapy designation, may be eligible for other types of FDA programs intended to expedite the FDA review and approval process, such as priority review. A product candidate is eligible for priority review if it is designed to treat a serious condition, and if approved, would provide a significant improvement in safety or effectiveness compared to available alternatives for such disease or condition. For new-molecular-entity NDAs or original BLAs, priority review designation means the FDA’s goal is to take action on the marketing application within six months of the 60-day filing date, or with respect to non-new-molecular-entity NDAs, within six months of the NDA receipt date.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Additionally, product candidates studied for their safety and effectiveness in treating serious or life-threatening diseases or conditions may utilize an accelerated approval pathway upon a determination that the product has an effect on (1) a surrogate endpoint that is reasonably likely to predict clinical benefit or (2)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an adequate and well-controlled post-marketing clinical trial or trials to verify and describe the anticipated effect on irreversible morbidity or mortality or other clinical benefit. Any such confirmatory trial must be completed with due diligence and the FDA may require that the trial be underway prior to approval. Failure to conduct such required post-approval trials with due diligence, or to confirm a clinical benefit during such trials, would allow the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FDA to withdraw the product from the market on an expedited basis. In addition, the FDA requires, as a condition of accelerated approval, the pre-submission of promotional materials, which can adversely impact the timing of the commercial launch of a product.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Fast Track designation, Breakthrough Therapy designation, priority review designation, and the accelerated approval pathway do not change the scientific or medical standards for approval or the quality of evidence necessary to support approval. These pathways do not always lead to a faster development or regulatory review or approval process, and do not provide assurance of ultimate full FDA approval. Even if a product candidate qualifies for one or more of these programs, the FDA may later decide that the product no longer meets the conditions for qualification or decide that the time period for FDA review or approval will not be shortened.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U.S. Marketing Exclusivity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Market exclusivity provisions under the FDCA and the Public Health Service Act can delay the submission or the approval of certain marketing applications. The FDA provides periods of non-patent regulatory exclusivity, which provides the holder of an approved NDA limited protection from new competition in the marketplace. For drugs,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or not involving the sharing of electron pairs between atoms, derivatives, such as a complex (i.e., formed by the chemical interaction of two compounds), chelate (i.e., a chemical compound), or clathrate (i.e., a polymer framework that traps molecules), of the molecule, responsible for the physiological or pharmacological activity of the drug substance. During the exclusivity period, the FDA may not accept for review or approve an abbreviated new drug application, or ANDA, or a 505(b)(2) NDA submitted by another company that contains the same active moiety. An ANDA or 505(b)(2) application, however, may be submitted one year before NCE exclusivity expires if a Paragraph IV certification of patent invalidity, unenforceability, or non-infringement is filed.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ingredient for the original indication or condition of use. Five-year and three-year exclusivity will not delay the submission or approval of a 505(b)(1) NDA; however, an applicant submitting a 505(b)(1) NDA would be required to conduct or obtain a right of reference to all of the preclinical studies and adequate and well-controlled clinical trials necessary to demonstrate safety and efficacy.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Biologics are also entitled to exclusivity under amendments to the Public Health Service Act from the Biologics Price Competition and Innovation Act, or the BPCIA. Under the BPCIA, a reference biological product is granted 12 years of data exclusivity, the period of time during which an innovator’s clinical data cannot be used by other companies, from the time of “first licensure” of the product, and an application for a biosimilar product may not be submitted to the FDA until four years following the date that the reference product was first licensed by the FDA. Biosimilarity requires that the biological product be highly similar to the reference product notwithstanding minor differences in clinically inactive components and that there be no clinically meaningful differences between the product and the reference product in terms of safety, purity and potency, which is generally shown through a combination of analytical studies, animal studies and a clinical trial or trials. Certain biological products can also be shown to be interchangeable with the original biological product, which requires that a biological product be biosimilar to the reference product and that the product can be expected to produce the same clinical results as the reference product in any given patient, and for products administered multiple times, that the product and the reference product may be switched after one has been previously administered without increasing safety risks or risks of diminished efficacy relative to exclusive use of the reference biological product. In addition, the approval of a biosimilar product may not be made effective by the FDA until 12 years from the date on which the reference product was first licensed. The BPCIA also created certain exclusivity periods for biosimilars approved as interchangeable products.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FDA may also grant pediatric exclusivity to drugs, which provides an additional six months of exclusivity running from the expiration date of each other existing regulatory exclusivity period and from the date of each patent listed with FDA. The FDA may also grant pediatric exclusivity to biologics, but that exclusivity will only attach to the reference product and orphan drug exclusivity period, not patents for biological products. To be eligible for pediatric exclusivity, the FDA must issue a Written Request detailing the trials to be performed and the timeframe for their completion. If an applicant agrees to perform the trials as outlined in the Written Request, the applicant must submit trial reports at least nine months prior to the expiry of the exclusivity or patent, as applicable, that is to be extended. The trial reports must demonstrate that the applicant has met the conditions of the Written Request.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U.S. Post-Approval Requirements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which include restrictions on promoting products for unapproved uses or patient populations (known as “off-label use”) and limitations on industry-sponsored scientific and educational activities. After approval, changes to the approved product, manufacturing locations or processes, or labeling are subject to FDA review and approval. Significant changes require prior FDA review and approval. Further, for certain modifications to the drug, including changes in indications, labeling or manufacturing processes or facilities, the applicant may be required to submit and obtain prior FDA approval of a new NDA, BLA or supplement, which may require the development and submission of additional data. There also are continuing, annual user fees due to FDA for any marketed products.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Drug manufacturers and their subcontractors involved in the manufacture and distribution of approved drugs and biologics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in the event of a deviation affecting a marketed product. Manufacturers and other parties involved in the drug supply chain for prescription drug products must also comply with product tracking and other tracking requirements and must notify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cGMPs and other aspects of regulatory compliance.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FDA may withdraw approval of an NDA or BLA for various reasons, including based on new concerns related to safety or effectiveness or if compliance with regulatory requirements and standards is not maintained. Later discovery of previously unknown problems with a product, including AEs of unanticipated severity or frequency, or with manufacturing processes, or failure to comply with regulatory requirements, may also result in revisions to the approved labeling to add new safety information; imposition of post-market trials or clinical trials to assess new safety risks; or imposition of distribution restrictions or other restrictions under a REMS program. Other potential consequences for the failure to meet applicable requirements include, among other things:</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restrictions on the marketing or manufacturing of the product, complete withdrawal of the product from the market or product recalls;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fines, warning letters or untitled letters;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clinical holds on clinical trials;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refusal of the FDA to approve pending applications or supplements to approved applications or suspension or revocation of product approvals;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product seizure or detention or refusal to permit the import or export of products;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consent decrees, corporate integrity agreements, debarment or exclusion from federal healthcare programs;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mandated modification of promotional materials and labeling and the issuance of corrective information;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issuance of safety alerts, Dear Healthcare Provider letters, press releases, and other communications containing warnings or other safety information about the product; or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injunctions or the imposition of civil or criminal penalties. </w:t>
      </w:r>
    </w:p>
    <w:p>
      <w:pPr>
        <w:pStyle w:val="TextBody"/>
        <w:bidi w:val="0"/>
        <w:spacing w:before="120" w:after="283"/>
        <w:jc w:val="center"/>
        <w:rPr>
          <w:rFonts w:ascii="Arial" w:hAnsi="Arial"/>
          <w:color w:val="000000"/>
          <w:sz w:val="20"/>
        </w:rPr>
      </w:pPr>
      <w:r>
        <w:rPr>
          <w:rFonts w:ascii="Arial" w:hAnsi="Arial"/>
          <w:color w:val="000000"/>
          <w:sz w:val="20"/>
        </w:rPr>
        <w:t>174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FDA closely regulates the marketing, labeling, advertising, and promotion of drugs and biologics. A company may make only those claims relating to safety, efficacy, purity and potency that are approved by the FDA and in accordance with the provisions of the approved labeling. The FDA and other agencies actively enforce the laws and regulations prohibiting the promotion of off-label uses and misleading promotion. Failure to comply with these requirements may result in, among other things, adverse publicity, warning or other enforcement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Other Regulatory Matters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Manufacturing, sales, promotion and other activities following product approval are also subject to regulation by numerous regulatory authorities in addition to the FDA, including, in the United States, the Centers for Medicare &amp; Medicaid Services, or CMS, other divisions of the Department of Health and Human Services, or HHS, (e.g., the Office of Inspector General and Office for Civil Rights),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federal and state fraud and abuse laws, data privacy and security laws, transparency laws and pricing and reimbursement requirements in connection with governmental payor programs, among others. The handling of any controlled substances must comply with the U.S. Controlled Substances Act and Controlled Substances Import and Export Act, as well as applicable state laws. Products must meet applicable child-resistant packaging requirements under the U.S. Poison Prevention Packaging Act. Manufacturing, sales, promotion and other activities are also potentially subject to federal and state consumer protection and unfair competition laws.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distribution of pharmaceutical products is subject to additional requirements and regulations, including extensive record keeping, licensing, storage and security requirements intended to prevent the unauthorized sale of pharmaceutical products.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failure to comply with regulatory requirements subjects companies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company to enter into supply contracts, including government contracts. In addition, even if a company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U.S. Patent Term Restoration and Marketing Exclusivity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Depending upon the timing, duration and specifics of the FDA approval of our product candidates, some of our future U.S. patents may be eligible for limited patent term extension under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product is eligible for the extension and, among other requirements, the application for the extension must be submitted prior to the expiration of the patent. The USPTO, in consultation with the FDA, reviews and approves the application for any patent term extension or restoration. In the future, we may apply for restoration of patent term for our then owned or licensed patents to add patent life beyond its current expiration date, depending on the expected length of the clinical trials and other factors involved in the filing of the relevant NDA or BLA.</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An abbreviated approval pathway for biological products shown to be biosimilar to, or interchangeable with, an FDA-licensed reference biological product was created by the BPCIA, which was part of the Patient Protection and Affordable Care Act, as amended by the Health Care and Education Reconciliation Act of 2010, or collectively the ACA.</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noted above, a reference biological product may be eligible for 12-year exclusivity from the time of “first licensure.” “First licensure” typically means the initial date the particular product at issue was licensed in the United States. This does not include a supplement for the biological product or a subsequent application by the same sponsor or manufacturer of the biological product (or licensor, predecessor in interest or other related entity) for a change that results in a new indication, route of administration, dosing schedule, dosage form, delivery system, delivery device, or strength, unless that change is a modification to the structure of the biological product and such modification changes its safety, purity or potency. Whether a subsequent application, if approved, warrants exclusivity as the “first licensure” of a biological product is determined on a case-by-case basis with data submitted by the sponsor.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Pricing and Reimbursement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In the United States, no uniform policy exists for coverage and reimbursement for pharmaceutical products among third-party payors. Therefore, decisions regarding the extent of coverage and amount of reimbursement to be provided are made on a plan-by-plan basis and can be a time-consuming process, with no assurance that coverage and adequate reimbursement will be applied consistently or obtained in the first instance or at all. These third-party payors are increasingly reducing reimbursements for medical products and services. The process for determining whether a third-party payor will provide coverage for a product typically is separate from the process for setting the price of such product or for establishing the reimbursement rate that the payor will pay for the product once coverage is approved.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Third-party payors may limit coverage to specific products on an approved list, also known as a formulary, which might not include all of the FDA-approved products for a particular indication, or place products at certain formulary levels that result in lower reimbursement levels and higher cost-sharing obligation imposed on patients. One third-party payor’s decision to cover a particular medical product or service does not ensure that other payors will also provide coverage for the medical product or service. In order to secure coverage and reimbursement for any product candidate that might be approved for sale, we may need to conduct expensive pharmacoeconomic studies to demonstrate the medical necessity and cost-effectiveness of the product candidate, in addition to the costs required to obtain FDA or other comparable regulatory approvals. Whether or not we conduct such studies, our product candidates may not be considered medically necessary or cost-effective. A third-party payor’s decision to provide coverage for a product does not imply that an adequate reimbursement rate will be approved. Third-party reimbursement may not be sufficient to enable us to maintain price levels high enough to realize an appropriate return on our investment in product development. In the United States, the principal decisions about reimbursement for new products are typically made by CMS, an agency within HHS. CMS decides whether and to what extent a new product will be covered and reimbursed under Medicare, and private payors tend to follow CMS to a substantial degree. However, no uniform policy of coverage and reimbursement for products exists among third-party payors and coverage and reimbursement levels for products can differ significantly from payor to payor. Moreover, as a condition of participating in, and having products covered under, certain federal healthcare programs, such as Medicare and Medicaid, we will be subject to federal laws and regulations that require pharmaceutical manufacturers to calculate and report certain price reporting metrics to the government, such as Medicaid Average Manufacturer Price, or AMP, and Best Price, Medicare Average Sales Price, the 340B Ceiling Price and Non-Federal AMP reported to the Department of Veteran Affairs, and with respect to Medicaid, pay statutory rebates on utilization of manufacturers’ products by Medicaid beneficiaries. Compliance with such laws and regulations require significant resources and any findings of non-compliance may have a material adverse effect on our revenues if any of our product candidates are approved.</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Further, CMS imposes rebates on many Medicare Part B and Medicare Part D products to penalize price increases that outpace inflation on an annual basis. CMS has also been empowered to negotiate the price of certain single-source drugs that have been on the market for at least seven years and single-source biologics that have been on the market for at least 11 years covered under Medicare as part of the Medicare Drug Price Negotiation Program. Each year, up to 20 products will be selected by CMS for the Medicare Drug Price Negotiation Program. Products subject to the Medicare Drug Price Negotiation Program are expected to experience a significant reduction in reimbursement from the Medicare program on a per unit basis.</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containment of healthcare costs has become a priority of federal and state governments, and the prices of drugs and biologics, have been a focus in this effort. The U.S. government, state legislatures and foreign governments have shown significant interest in implementing cost-containment programs, including by passing legislation and regulations designed to control pharmaceutical and biological product pricing, including government price controls, price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or patient reimbursement constraints, discounts, restrictions on certain drug access, marketing cost disclosure, transparency measures, requirements for substitution of generic products and other measures designed to encourage importation from other countries and bulk purchasing. In many countries, the prices of products are subject to varying price control mechanisms as part of national health systems. For example, in the European Union, or the EU, pricing and reimbursement schemes vary widely from country to country. Some countries provide that products may be marketed only after a reimbursement price has been approved. Some countries may require the completion of additional studies that compare the cost 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will likely continue as countries attempt to manage healthcare expenditures. Historically, products launched in the EU do not follow price structures of the United States and generally prices tend to be significantly lower. In general, the prices of products under such systems are substantially lower than in the United States. Accordingly, in markets outside the United States, the reimbursement for products may be reduced compared with the United States. Adoption of price controls and cost-containment measures, and adoption of more restrictive policies in jurisdictions with existing controls and measures, could further limit our future net revenue and results if our product candidates are approved in these jurisdictions. Decreases in third-party reimbursement for any of our product candidates or a decision by a third-party payor to not cover our product candidates could reduce physician usage of the product candidates, if approved, and have a material adverse effect on our sales,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Other Healthcare Laws and Compliance Requirements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the United States, drug manufacturers and sponsors are subject to a number of federal and state healthcare regulatory laws that restrict business practices in the healthcare industry. These laws include, but are not limited to, federal and state anti-kickback, false claims, and other healthcare fraud and abuse laws, as described below.</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federal false claims laws, including the federal False Claims Act, or the FCA,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FCA may be brought by the U.S. Attorney General or as a qui tam action by a private individual in the name of the government. Moreover, a claim including items or services resulting from a violation of the U.S. federal Anti-Kickback Statute constitutes a false or fraudulent claim for purposes of the civil FCA.</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HIPAA, as amended by the Health Information Technology for Economic and Clinical Health Act, or HITECH, and their respective implementing regulations, imposes obligations on “covered entities,” including certain healthcare providers, health plans, and healthcare clearinghouses, as well as their respective “business associates” and their respective subcontractors that create, receive, maintain or transmit individually identifiable health information for or on behalf of a covered entity, with respect to safeguarding the privacy, security and transmission of individually identifiable health information.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certain other healthcare professionals including physician assistants and nurse practitioners and teaching hospitals, and applicable manufacturers and applicable group purchasing organizations to report annually to CMS ownership and investment interests held by physicians and their immediate family members.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There are federal price reporting laws, which require manufacturers to calculate and report complex pricing metrics to government programs, and such reported prices may be used in the calculation of reimbursement and/or discounts on approved products.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There are also federal consumer protection and unfair competition laws, which broadly regulate marketplace activities and activities that potentially harm consumers.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information and marketing expenditures or which require tracking gifts and other remuneration and items of value provided to physicians, other healthcare providers and entities; and state and local laws that require certain regulatory licenses to manufacture or distribute our products commercially and/or the registration of pharmaceutical sales representatives.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Violations of any of these laws and other applicable healthcare fraud and abuse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Healthcare Reform</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the United States, the EU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Since its enactment, there have been amendments and judicial, Congressional and executive branch challenges to certain aspects of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Other legislative changes have been proposed and adopted in the United States since the ACA was enacted. In addition, aggregate reductions to Medicare payments to providers of 2% per fiscal year, which began in 2013 and will remain in effect until 2032 unless additional Congressional action is taken.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Most-Favored Nation pricing equal to or lower than those paid in other developed nations for certain prescription drugs under Medicaid and for certain newly launched products across all market channels in the U.S., with additional mandates for direct-to-patient discounts through a direct to consumer platform, or TrumpRx and repatriation of certain foreign revenues. Other recent actions, for example, include (1) directing agencies to reduce agency workforce and cut programs; (2) directing HHS and other agencies to lower prescription drug</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 xml:space="preserve">costs through a variety of initiatives; (3) considering the imposition of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w:t>
      </w:r>
      <w:r>
        <w:rPr>
          <w:rFonts w:ascii="Arial" w:hAnsi="Arial"/>
          <w:i/>
          <w:color w:val="000000"/>
          <w:sz w:val="20"/>
        </w:rPr>
        <w:t>Loper Bright</w:t>
      </w:r>
      <w:r>
        <w:rPr>
          <w:rFonts w:ascii="Times New Roman" w:hAnsi="Times New Roman"/>
          <w:color w:val="000000"/>
          <w:sz w:val="20"/>
        </w:rPr>
        <w:t xml:space="preserve"> </w:t>
      </w:r>
      <w:r>
        <w:rPr>
          <w:rFonts w:ascii="Arial" w:hAnsi="Arial"/>
          <w:color w:val="000000"/>
          <w:sz w:val="20"/>
        </w:rPr>
        <w:t>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120" w:after="283"/>
        <w:ind w:left="0" w:right="0" w:firstLine="619"/>
        <w:jc w:val="left"/>
        <w:rPr>
          <w:rFonts w:ascii="Arial" w:hAnsi="Arial"/>
          <w:color w:val="000000"/>
          <w:sz w:val="20"/>
        </w:rPr>
      </w:pPr>
      <w:r>
        <w:rPr>
          <w:rFonts w:ascii="Arial" w:hAnsi="Arial"/>
          <w:color w:val="000000"/>
          <w:sz w:val="20"/>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materially and adversely affect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cannot predict what healthcare reform initiatives may be adopted in the future. Further federal, state and foreign legislative and regulatory developments are likely, and we expect ongoing initiatives to increase pressure on drug pricing.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The Foreign Corrupt Practices Act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Foreign Corrupt Practices Act of 1977, or the FCPA, prohibits any U.S. individual or business, as well as its employees, agents, and other representatives, from paying, offering, authorizing payment or offering of anything of value, directly or indirectly, to any foreign official, political party or candidate for the purpose of influencing any act or decision of the foreign entity in order to obtain, retain, or direct business. The FCPA also obligates companies whose securities are publicly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Additional Regulation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Europe and Rest of World Government Regulation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regulatory strategy involves filing CTAs for our early-stage clinical trials in jurisdictions outside of the United States to support enrollment in our clinical trials, which may include Australia and other countries. As a result, in addition to regulations in the United States, we expect to be subject to a variety of regulations in other jurisdictions that we may in the future select to test or commercialize our product candidates, which may govern, among other things, clinical trials and any commercial sales and distribution of our products. Whether or not we obtain FDA approval of a product, we would need to obtain the requisite approvals from regulatory authorities in foreign countries prior to the commencement of clinical trials or marketing of the product in those countries. Certain countries outside of the United States have a similar process that requires the submission of a CTA much like the IND prior to the commencement of human clinical trials. In the EU, for example, a CTA must be submitted to each country’s national health authority and an independent ethics committee, much like the FDA and IRB, respectively. Once the CTA is approved in accordance with a country’s requirements, clinical trial development may proceed.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requirements and process governing the conduct of clinical trials, product licensing, pricing and reimbursement vary from country to country. In all cases, the clinical trials must be conducted in accordance with GCPs and the applicable regulatory requirements and the ethical principles that have their origin in the Declaration of Helsinki.</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To obtain regulatory approval of an investigational drug or biological product under EU regulatory systems, we must submit a MAA, either under a centralized procedure administered by the EMA or one of the procedures administered by competent authorities in the EU member states. The application used to file the NDA in the United States is similar to that required in the EU, with the exception of, among other things, country-specific document requirements.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For other countries outside of the EU, such as Australia, countries in Eastern Europe, Latin America or Asia, the requirements governing the conduct of clinical trials, product licensing, pricing and reimbursement vary from country to country. In all cases, again, the clinical trials must be conducted in accordance with GCPs and the applicable regulatory requirements and the ethical principles that have their origin in the Declaration of Helsinki.</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Data Privacy and Information Security Laws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the ordinary course of business, we process personal data, and other sensitive information, including proprietary and confidential business data, trade secrets, intellectual property, sensitive third-party data, business plans, transactions, financial information and data we collect about trial participants in connection with clinical trials, or collectively, sensitive data. Accordingly, we are subject to numerous data privacy and security obligations, including federal, state, and local laws, regulations, guidance, industry standards, external and internal privacy and security policies, contractual requirements and other obligations related to data privacy and security.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These data privacy and security laws are evolving and impose potentially conflicting obligations. Such obligations include, without limitation, the Federal Trade Commission Act, the European Union’s General Data Protection Regulation 2016/679 , or EU GDPR, the EU GDPR as it forms part of United Kingdom, or UK, law by virtue of section 3 of the European Union (Withdrawal) Act 2018, or UK GDPR, and HIPAA, as amended by HITECH. In addition, numerous U.S. states have enacted comprehensive privacy laws that impose certain obligations on covered businesses, and similar laws are being considered at the federal and state levels. These new laws are examples of the increasingly stringent and evolving regulatory frameworks related to personal data processing that may increase our compliance obligations and exposure for any noncompliance.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Additionally, because we collect personal data from individuals outside of the United States, through clinical trials or otherwise, we are, or may become, subject to foreign data privacy and security laws, such as the EU GDPR. Foreign data privacy and security laws impose significant and complex compliance obligations on entities that are subject to those laws. For example, the EU GDPR applies to any company established in the European Economic Area, or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EU in certain circumstances.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Employees and Human Capital Resources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of March 31, 2026, we had 100 full-time employees. Of those, 80 were engaged in research and development activities. Approximately 60% of our employees hold Ph.D. or M.D. degrees. Approximately 91% of our employees are located in the United States. We do not have any employees that are represented by a labor union or covered by a collective bargaining agreement. We consider our relationship with our employees to be good.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future success depends on our ability to attract, develop and retain key personnel, maintain our culture and ensure diversity and inclusion among our board of directors, management and broader workforce. Our human resources objectives include, as applicable, identifying, attracting, retaining, incentivizing and integrating existing and prospective employees. Our employees have access to a broad range of benefits, including health insurance, a 401(k) plan, equity incentive plans and other customary employee benefits. The purpose of these benefits is to attract and retain the best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available personnel, incentivize our employees, promote the success of our business and strengthen the mutuality of interest between employees and our stockholders. As these areas directly impact our ability to compete and innovate, they are key focus areas for our board of directors and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Scientific Advisory Board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While our team of employees and consultants has a profound knowledge of immune biology, we also seek advice from our scientific advisory board, which is comprised of preeminent immunology researchers. Members of our scientific advisory board include multiple investigators at the Howard Hughes Medical Institute and leading experts globally who have conducted foundational research to identify and characterize a number of our therapeutic targets, including RIPK2 and SLC15A4. Our scientific advisory board meets periodically with our board of directors and management to discuss matters relating to our business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Facilities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currently lease approximately 45,632 square feet of space as our corporate headquarters in Boston, Massachusetts. The lease expires in September 2029. We also currently lease approximately 19,845 square feet of space in Ann Arbor, Michigan, which expires in December 2026 and is used for research and development and office space. We have the option to extend both leases described above once for an additional five-year term on largely the same terms but at the then-current market rate. We also rent additional space in Ann Arbor, Michigan that we use for a variety of administrative and research and development activities. We believe that our existing facilities are adequate to meet our current needs, and that suitable additional alternative spaces will be available in the future on commercially reasonable terms.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Legal Proceedings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reputational harm, and other factors.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Corporate Information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were incorporated in Delaware in April 2021. Our principal executive offices are located at 51 Sleeper Street, Suite 800, Boston, MA 02210, and our telephone number is (617) 865-9628. Our website address is https://odysseytx.com/. We do not incorporate the information on, or accessible through, our website into this prospectus, and you should not consider any information on, or accessible through, our website as part of this prospectus. We have included our website address in this prospectus solely as an inactive textual reference.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4" w:name="management"/>
      <w:bookmarkEnd w:id="14"/>
      <w:r>
        <w:rPr>
          <w:rFonts w:ascii="Arial" w:hAnsi="Arial"/>
          <w:b/>
          <w:color w:val="000000"/>
          <w:sz w:val="20"/>
        </w:rPr>
        <w:t>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olor w:val="000000"/>
          <w:sz w:val="20"/>
        </w:rPr>
        <w:t>Executive Officers and Directors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Set forth below is certain biographical and other information regarding our executive officers and directors as of March 31, 2026.</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75"/>
        <w:gridCol w:w="146"/>
        <w:gridCol w:w="421"/>
        <w:gridCol w:w="146"/>
        <w:gridCol w:w="6817"/>
      </w:tblGrid>
      <w:tr>
        <w:trPr/>
        <w:tc>
          <w:tcPr>
            <w:tcW w:w="26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817" w:type="dxa"/>
            <w:tcBorders/>
            <w:shd w:fill="FFFFFF" w:val="clear"/>
            <w:vAlign w:val="center"/>
          </w:tcPr>
          <w:p>
            <w:pPr>
              <w:pStyle w:val="TableContents"/>
              <w:bidi w:val="0"/>
              <w:spacing w:before="0" w:after="283"/>
              <w:jc w:val="left"/>
              <w:rPr>
                <w:sz w:val="4"/>
                <w:szCs w:val="4"/>
              </w:rPr>
            </w:pPr>
            <w:r>
              <w:rPr>
                <w:sz w:val="4"/>
                <w:szCs w:val="4"/>
              </w:rPr>
            </w:r>
          </w:p>
        </w:tc>
      </w:tr>
      <w:tr>
        <w:trPr/>
        <w:tc>
          <w:tcPr>
            <w:tcW w:w="267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8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Position(s)</w:t>
            </w:r>
          </w:p>
        </w:tc>
      </w:tr>
      <w:tr>
        <w:trPr/>
        <w:tc>
          <w:tcPr>
            <w:tcW w:w="2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Executive Officers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Gary D. Glick,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64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President, Chief Executive Officer and Director</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Natalie Dales,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of Research Operations and Portfolio Strategy</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Jason Haas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Anthony Opipari, M.D.,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Interim Chief Medical Officer and Executive Vice President, Translational Medicine</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Jolie M. Siegel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Executive Vice President, General Counsel and Secretary</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Collin Todd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Vice President, Strategy and Business Development</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Non-Employee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Jeffrey M. Leiden, M.D.,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70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Chair and Director</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Jill Carroll*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Shelley Chu, M.D.,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Carl L. Gordon, Ph.D., CFA*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Paulina Hill,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Nan Li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Carolyn Ng,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Valerie Odegard,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Ksenija Pavletic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Ian F. Smith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60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Nia Tatsis,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r>
        <w:trPr/>
        <w:tc>
          <w:tcPr>
            <w:tcW w:w="267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Timothy P. Walbert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r>
    </w:tbl>
    <w:p>
      <w:pPr>
        <w:pStyle w:val="TextBody"/>
        <w:bidi w:val="0"/>
        <w:jc w:val="left"/>
        <w:rPr>
          <w:rFonts w:ascii="Arial" w:hAnsi="Arial"/>
          <w:color w:val="000000"/>
          <w:sz w:val="16"/>
        </w:rPr>
      </w:pPr>
      <w:r>
        <w:rPr>
          <w:rFonts w:ascii="Arial" w:hAnsi="Arial"/>
          <w:color w:val="000000"/>
          <w:sz w:val="16"/>
        </w:rPr>
        <w:t>* Ms. Carroll and Dr. Gordon will resign from our board of directors contingent upon and effective immediately prior to the effectiveness of the registration statement of which this prospectus forms a part.</w:t>
      </w:r>
    </w:p>
    <w:p>
      <w:pPr>
        <w:pStyle w:val="TextBody"/>
        <w:bidi w:val="0"/>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The following are brief biographies describing the backgrounds of our executive officers and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Executive Officers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b/>
          <w:color w:val="000000"/>
          <w:sz w:val="20"/>
        </w:rPr>
        <w:t>Gary D. Glick, Ph.D.</w:t>
      </w:r>
      <w:r>
        <w:rPr>
          <w:rFonts w:ascii="Times New Roman" w:hAnsi="Times New Roman"/>
          <w:color w:val="000000"/>
          <w:sz w:val="20"/>
        </w:rPr>
        <w:t xml:space="preserve"> </w:t>
      </w:r>
      <w:r>
        <w:rPr>
          <w:rFonts w:ascii="Arial" w:hAnsi="Arial"/>
          <w:color w:val="000000"/>
          <w:sz w:val="20"/>
        </w:rPr>
        <w:t>is our founder and has served as our President, Chief Executive Officer and a director since April 2021. Dr. Glick is a chemist and serial biotechnology entrepreneur with over 15 years of experience in the biotechnology industry. Dr. Glick has also served as the Executive Chairman of Charm Therapeutics Limited, or Charm, a London-based biotechnology company focused on developing a new generation of menin inhibitors for acute myeloid leukemia, since January 2022, and as interim Chief Executive Officer since June 2025. While Dr. Glick works on a full-time basis for Odyssey as our Chief Executive Officer, he also devotes approximately 10 hours per week, on average, to his role at Charm, which time commitment is not materially different to what was required when he was Executive Chairman and not also interim Chief Executive Officer. In fulfilling his responsibilities to Charm, Dr. Glick seeks to leverage the time zone difference between London and Boston to complete as many of his responsibilities as possible for Charm during times that are outside of customary business hours in Boston. Dr. Glick has founded several successful companies, including IFM Therapeutics, LLC, or IFM, a private biotechnology company. Dr. Glick has served as Executive Chairman of IFM since December 2019 and previously served as Chief Executive Officer from 2015 to November 2019. During Dr. Glick’s tenure as Chief Executive Officer, IFM progressed three programs from ideation to clinical development and executed several major transactions generating proceeds to date of $750 million. Subject to the achievement of various milestones, proceeds from those sales could reach more than $4.7 billion. Prior to founding Odyssey in 2021, Dr. Glick co-founded and launched Scorpion Therapeutics, or Scorpion, in February 2020, where he played an instrumental role in the conception and building of the company. During his tenure as Chief Executive Officer from February 2020 to February 2021, Scorpion grew to nearly 50 employees and raised $270 million across two financings. In 2025, Eli Lilly and Company acquired Scorpion for up to $2.5 billion in cash. Dr. Glick also founded Lycera Corporation earlier in his career, serving as Chief Scientific Officer. Dr. Glick received his Ph.D. in organic chemistry from Columbia University and completed an NIH postdoctoral fellowship in organic chemistry at Harvard University.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b/>
          <w:color w:val="000000"/>
          <w:sz w:val="20"/>
        </w:rPr>
        <w:t>Natalie Dales, Ph.D.</w:t>
      </w:r>
      <w:r>
        <w:rPr>
          <w:rFonts w:ascii="Times New Roman" w:hAnsi="Times New Roman"/>
          <w:color w:val="000000"/>
          <w:sz w:val="20"/>
        </w:rPr>
        <w:t xml:space="preserve"> </w:t>
      </w:r>
      <w:r>
        <w:rPr>
          <w:rFonts w:ascii="Arial" w:hAnsi="Arial"/>
          <w:color w:val="000000"/>
          <w:sz w:val="20"/>
        </w:rPr>
        <w:t>has served as our Chief of Research Operations and Portfolio Strategy since November 2022. Dr. Dales also served in several roles of increasing seniority within our Enabling Sciences department, including as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Senior Vice President from October 2021 to February 2022 and Executive Vice President from February 2022 to November 2022. Dr. Dales is an accomplished scientist with more than 20 years of experience in small-molecule drug discovery and has led and mentored teams across the biopharmaceutical and biotechnology industries throughout her career. Prior to joining Odyssey, Dr. Dales worked at Novartis AG (NYSE: NVS) for 17 years, where she held roles of increasing seniority from Scientific Investigator to Executive Director, Global Discovery Chemistry. Additionally, from October 2019 to October 2021, Dr. Dales also held the role of Head of Portfolio and Strategy for Global Discovery Chemistry. She was also a Senior Advisor to Novartis Genesis Labs, Novartis AG’s internal innovation incubator. Earlier in her career, Dr. Dales worked as a senior scientist at Millennium Pharmaceuticals, Inc. (later acquired by Takeda Pharmaceutical Company Limited, NYSE: TAK), where she contributed to oncology, cardiovascular and metabolism research programs. Dr. Dales received her Ph.D. in organic chemistry from the University of Wisconsin and earned her B.S. in chemistry from the University of Michigan.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b/>
          <w:color w:val="000000"/>
          <w:sz w:val="20"/>
        </w:rPr>
        <w:t>Jason Haas</w:t>
      </w:r>
      <w:r>
        <w:rPr>
          <w:rFonts w:ascii="Times New Roman" w:hAnsi="Times New Roman"/>
          <w:color w:val="000000"/>
          <w:sz w:val="20"/>
        </w:rPr>
        <w:t xml:space="preserve"> </w:t>
      </w:r>
      <w:r>
        <w:rPr>
          <w:rFonts w:ascii="Arial" w:hAnsi="Arial"/>
          <w:color w:val="000000"/>
          <w:sz w:val="20"/>
        </w:rPr>
        <w:t>has served as our Chief Financial Officer since December 2024. Mr. Haas is a dynamic business leader with over 25 years of experience in healthcare investment banking and the biotechnology industry. Prior to joining Odyssey, he served as Chief Financial Officer at Syros Pharmaceuticals, Inc. (Nasdaq: SYRS) from October 2021 until November 2024. Previously, Mr. Haas served as Co-head of Americas, Healthcare Investment Banking at Barclays plc from June 2016 to October 2021. From 2012 to June 2016, Mr. Haas served as Head of Americas, Healthcare Investment Banking at Deutsche Bank AG, or Deutsche Bank. Before that, he was a Managing Director on the Healthcare Investment Banking team at Goldman Sachs &amp; Co. Mr. Haas currently serves on the board of directors of Ligand Pharmaceuticals Incorporated (Nasdaq: LGND), a public biotechnology company. Mr. Haas earned his B.A. in international relations and economics from Colgate University and his M.B.A. from Columbia Business School.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b/>
          <w:color w:val="000000"/>
          <w:sz w:val="20"/>
        </w:rPr>
        <w:t>Anthony Opipari, M.D., Ph.D.</w:t>
      </w:r>
      <w:r>
        <w:rPr>
          <w:rFonts w:ascii="Times New Roman" w:hAnsi="Times New Roman"/>
          <w:color w:val="000000"/>
          <w:sz w:val="20"/>
        </w:rPr>
        <w:t xml:space="preserve"> </w:t>
      </w:r>
      <w:r>
        <w:rPr>
          <w:rFonts w:ascii="Arial" w:hAnsi="Arial"/>
          <w:color w:val="000000"/>
          <w:sz w:val="20"/>
        </w:rPr>
        <w:t>has served as our interim Chief Medical Officer since August 2024. Dr. Opipari has led translational medicine at Odyssey since the company was founded having joined as a Senior Vice President, Translational Medicine in 2021. He was appointed as an Executive Vice President in 2024. Dr. Opipari is a physician-scientist with experience in academic medicine as a clinician and principal investigator as well as co-founding several biotechnology companies. Before joining Odyssey, he co-founded Lycera Corporation in 2006 and worked there as a Senior Director of Biology until 2021. In 2021 he co-founded both Firstwave Bio and IFM Therapeutics. He led research in translational medicine and directed early clinical development at both Firstwave and IFM until joining Odyssey in 2021. Prior to working in the industry, he was a member of the University of Michigan Medical School faculty with an appointment in the Division of Gynecological Oncology. Dr. Opipari received his M.D. and Ph.D. in cellular and molecular biology and completed his post-graduate medical training at the University of Michigan.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b/>
          <w:color w:val="000000"/>
          <w:sz w:val="20"/>
        </w:rPr>
        <w:t>Jolie M. Siegel</w:t>
      </w:r>
      <w:r>
        <w:rPr>
          <w:rFonts w:ascii="Times New Roman" w:hAnsi="Times New Roman"/>
          <w:color w:val="000000"/>
          <w:sz w:val="20"/>
        </w:rPr>
        <w:t xml:space="preserve"> </w:t>
      </w:r>
      <w:r>
        <w:rPr>
          <w:rFonts w:ascii="Arial" w:hAnsi="Arial"/>
          <w:color w:val="000000"/>
          <w:sz w:val="20"/>
        </w:rPr>
        <w:t>has served as our Executive Vice President and General Counsel since January 2026 and as Secretary since February 2026. Ms. Siegel is an accomplished legal and business executive with significant experience working with biotechnology companies during periods of growth and transformation. Prior to joining Odyssey, from July 2020 to January 2026, Ms. Siegel served as Chief Legal Officer and Corporate Secretary of C4 Therapeutics, Inc. (Nasdaq: CCCC), where she also served as Secretary from February 2021 to January 2026, and as interim Chief Legal Officer in a consulting capacity in June 2020. From August 2018 to May 2020, Ms. Siegel served as Vice President, General Counsel and Corporate Secretary of Neon Therapeutics, Inc., an immune oncology company. Ms. Siegel also provided consulting legal services to Neon between March and August 2018. At each of C4 Therapeutics and Neon Therapeutics, Ms. Siegel was responsible for legal, intellectual property and corporate compliance matters. From February 2013 to April 2017, Ms. Siegel served as Senior Vice President, Deputy General Counsel and Assistant Secretary of Intralinks Holdings, Inc., a technology provider for the global financial and capital markets communities. In this role, Ms. Siegel was responsible for corporate governance, compliance, public company reporting, mergers and acquisition, marketing and finance matters. From 2007 to 2013, Ms. Siegel was a partner at Choate, Hall &amp; Stewart LLP, a law firm, where she worked on corporate transactional, securities and general business matters, with an emphasis on private equity, venture capital and high-growth companies. Ms. Siegel holds a J.D. from the University of Pennsylvania Law School and a B.A. in political science from the University of Pennsylvania.</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b/>
          <w:color w:val="000000"/>
          <w:sz w:val="20"/>
        </w:rPr>
        <w:t>Collin Todd</w:t>
      </w:r>
      <w:r>
        <w:rPr>
          <w:rFonts w:ascii="Times New Roman" w:hAnsi="Times New Roman"/>
          <w:color w:val="000000"/>
          <w:sz w:val="20"/>
        </w:rPr>
        <w:t xml:space="preserve"> </w:t>
      </w:r>
      <w:r>
        <w:rPr>
          <w:rFonts w:ascii="Arial" w:hAnsi="Arial"/>
          <w:color w:val="000000"/>
          <w:sz w:val="20"/>
        </w:rPr>
        <w:t>has served as our Senior Vice President, Strategy and Business Development since June 2024 and is responsible for the management of our strategic, business development and capital formation matters. Since joining Odyssey in December 2021, Mr. Todd has overseen our Series B, Series C and Series D financings and the execution of our collaboration agreements. Mr. Todd has over a decade of experience in investing, company operations, corporate and business development and strategic planning in the biotechnology industry. From September 2017 until December 2021, Mr. Todd served in various strategy and business development roles at SpringWorks Therapeutics, Inc., where he was involved in completing over $600 million of private and public financings and the execution of more than 10 licensing and partnering transactions. Prior to SpringWorks, Mr. Todd was a strategy professional at Moderna, Inc. and a member of the private equity team at OrbiMed Advisors LLC, or OrbiMed, where he was involved in deal sourcing, evaluation and execution. Mr. Todd began his career as an investment banker at Bank of America Merrill Lynch where he worked with</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healthcare companies across advisory, capital raising and M&amp;A. Mr. Todd currently serves on the board of directors of cTRL Therapeutics. Mr. Todd earned his B.A. in economics at the University of California, Los Angeles.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Non-Employee Directors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b/>
          <w:color w:val="000000"/>
          <w:sz w:val="20"/>
        </w:rPr>
        <w:t>Jeffrey M. Leiden, M.D., Ph.D.</w:t>
      </w:r>
      <w:r>
        <w:rPr>
          <w:rFonts w:ascii="Times New Roman" w:hAnsi="Times New Roman"/>
          <w:color w:val="000000"/>
          <w:sz w:val="20"/>
        </w:rPr>
        <w:t xml:space="preserve"> </w:t>
      </w:r>
      <w:r>
        <w:rPr>
          <w:rFonts w:ascii="Arial" w:hAnsi="Arial"/>
          <w:color w:val="000000"/>
          <w:sz w:val="20"/>
        </w:rPr>
        <w:t>has served as Chair of our board of directors and as a member of our board of directors since March 2022. Dr. Leiden has served as the Executive Chairman of Vertex Pharmaceuticals Incorporated (Nasdaq: VRTX), or Vertex, since April 2020, after serving as a director since July 2009. Dr. Leiden previously served as President, Chief Executive Officer and Chairman of Vertex from 2012 through March 2020. Prior to joining Vertex, Dr. Leiden served as Managing Director at Clarus Ventures, a life sciences venture capital firm, from 2007 to 2012 and as President, Chief Operating Officer of Abbott Laboratories from 2000 until 2005. Dr. Leiden is a physician and scientist who has dedicated his career to improving the lives of people with serious diseases. While at Abbott Laboratories, Dr. Leiden led the development and commercialization of HUMIRA</w:t>
      </w:r>
      <w:r>
        <w:rPr>
          <w:rFonts w:ascii="Arial" w:hAnsi="Arial"/>
          <w:color w:val="000000"/>
          <w:sz w:val="10"/>
        </w:rPr>
        <w:t>®</w:t>
      </w:r>
      <w:r>
        <w:rPr>
          <w:rFonts w:ascii="Times New Roman" w:hAnsi="Times New Roman"/>
          <w:color w:val="000000"/>
          <w:sz w:val="20"/>
        </w:rPr>
        <w:t xml:space="preserve"> </w:t>
      </w:r>
      <w:r>
        <w:rPr>
          <w:rFonts w:ascii="Arial" w:hAnsi="Arial"/>
          <w:color w:val="000000"/>
          <w:sz w:val="20"/>
        </w:rPr>
        <w:t>for multiple autoimmune diseases. During his time at Vertex, the company delivered a number of leading medicines to treat the underlying cause of cystic fibrosis for patients with certain forms of the disease, including KALYDECO</w:t>
      </w:r>
      <w:r>
        <w:rPr>
          <w:rFonts w:ascii="Arial" w:hAnsi="Arial"/>
          <w:color w:val="000000"/>
          <w:sz w:val="10"/>
        </w:rPr>
        <w:t>®</w:t>
      </w:r>
      <w:r>
        <w:rPr>
          <w:rFonts w:ascii="Arial" w:hAnsi="Arial"/>
          <w:color w:val="000000"/>
          <w:sz w:val="20"/>
        </w:rPr>
        <w:t>, ORKAMBI</w:t>
      </w:r>
      <w:r>
        <w:rPr>
          <w:rFonts w:ascii="Arial" w:hAnsi="Arial"/>
          <w:color w:val="000000"/>
          <w:sz w:val="10"/>
        </w:rPr>
        <w:t>®</w:t>
      </w:r>
      <w:r>
        <w:rPr>
          <w:rFonts w:ascii="Arial" w:hAnsi="Arial"/>
          <w:color w:val="000000"/>
          <w:sz w:val="20"/>
        </w:rPr>
        <w:t>, SYMDEKO</w:t>
      </w:r>
      <w:r>
        <w:rPr>
          <w:rFonts w:ascii="Arial" w:hAnsi="Arial"/>
          <w:color w:val="000000"/>
          <w:sz w:val="10"/>
        </w:rPr>
        <w:t>®</w:t>
      </w:r>
      <w:r>
        <w:rPr>
          <w:rFonts w:ascii="Times New Roman" w:hAnsi="Times New Roman"/>
          <w:color w:val="000000"/>
          <w:sz w:val="20"/>
        </w:rPr>
        <w:t xml:space="preserve"> </w:t>
      </w:r>
      <w:r>
        <w:rPr>
          <w:rFonts w:ascii="Arial" w:hAnsi="Arial"/>
          <w:color w:val="000000"/>
          <w:sz w:val="20"/>
        </w:rPr>
        <w:t>and TRIKAFTA</w:t>
      </w:r>
      <w:r>
        <w:rPr>
          <w:rFonts w:ascii="Arial" w:hAnsi="Arial"/>
          <w:color w:val="000000"/>
          <w:sz w:val="10"/>
        </w:rPr>
        <w:t>®</w:t>
      </w:r>
      <w:r>
        <w:rPr>
          <w:rFonts w:ascii="Arial" w:hAnsi="Arial"/>
          <w:color w:val="000000"/>
          <w:sz w:val="20"/>
        </w:rPr>
        <w:t>. While serving as Chief Executive Officer of Vertex, the company also built a robust pipeline of drug candidates in specialty markets, including pain, sickle cell disease and type 1 diabetes, and entered into important collaborations, like with CRISPR Therapeutics AG, which led to the discovery and development of the first CRISPR/Cas9 gene editing therapy, CASGEVY</w:t>
      </w:r>
      <w:r>
        <w:rPr>
          <w:rFonts w:ascii="Arial" w:hAnsi="Arial"/>
          <w:color w:val="000000"/>
          <w:sz w:val="10"/>
        </w:rPr>
        <w:t></w:t>
      </w:r>
      <w:r>
        <w:rPr>
          <w:rFonts w:ascii="Arial" w:hAnsi="Arial"/>
          <w:color w:val="000000"/>
          <w:sz w:val="20"/>
        </w:rPr>
        <w:t>, approved for two human genetic diseases, sickle cell disease and beta thalassemia. Dr. Leiden is the lead director of Massachusetts Mutual Life Insurance Company, and the Chairman of the Board of Casana Care, Inc. and previously served on the board of directors of Shire plc, Millennium Pharmaceuticals, Inc. and Quest Diagnostics Incorporated (NYSE: DGX). Dr. Leiden received his B.A. in biological sciences, his Ph.D. in virology and his M.D. from the University of Chicago.</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believe Dr. Leiden is qualified to serve on our board of directors because of his deep industry and scientific experience combined with his experience leading another public biopharmaceutical company.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b/>
          <w:color w:val="000000"/>
          <w:sz w:val="20"/>
        </w:rPr>
        <w:t>Jill Carroll</w:t>
      </w:r>
      <w:r>
        <w:rPr>
          <w:rFonts w:ascii="Times New Roman" w:hAnsi="Times New Roman"/>
          <w:color w:val="000000"/>
          <w:sz w:val="20"/>
        </w:rPr>
        <w:t xml:space="preserve"> </w:t>
      </w:r>
      <w:r>
        <w:rPr>
          <w:rFonts w:ascii="Arial" w:hAnsi="Arial"/>
          <w:color w:val="000000"/>
          <w:sz w:val="20"/>
        </w:rPr>
        <w:t>has served as a member of our board of directors since August 2021. Ms. Carroll joined SR One Ltd in 2011 and SR One Capital Management, LP in September 2020 with a background in biotech partnering and corporate development. Previously, Ms. Carroll completed multiple pharma partnerships and substantial private and public financings for Dynavax Technologies (Nasdaq: DVAX). Ms. Carroll was formerly a biopharmaceutical industry consultant with Clearview Projects and Mercer Management Consulting, and earlier studied Biochemistry at Johns Hopkins University and Chemistry and Duke University. Currently, Ms. Carroll is on the Board of Directors of Arcellx, Inc. (Nasdaq: ACLX), HotSpot Therapeutics, Inc., Avalyn Pharma, Inc., TBIO, LLC, Poplar Therapeutics, Inc. and AirNexis Therapeutics, Inc., and previously served on the Boards of Directors of Nkarta, Inc. (Nasdaq: NKTX) from 2017 to 2020 and Pandion Therapeutics from 2019 to 2021. Ms. Carroll received her B.S. in chemistry from Duke University and an M.S. in biochemistry, cellular and molecular biology from Johns Hopkins University.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believe Ms. Carroll is qualified to serve on our board of directors because of her extensive experience in partnering and other business development transactions.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b/>
          <w:color w:val="000000"/>
          <w:sz w:val="20"/>
        </w:rPr>
        <w:t xml:space="preserve">Shelley Chu, M.D., Ph.D. </w:t>
      </w:r>
      <w:r>
        <w:rPr>
          <w:rFonts w:ascii="Arial" w:hAnsi="Arial"/>
          <w:color w:val="000000"/>
          <w:sz w:val="20"/>
        </w:rPr>
        <w:t>has served as a member of our board of directors since August 2025. Since 2020, Dr. Chu has been a Partner of Lightspeed Venture Partners where she leads the Biotech practice and co-heads the Healthcare Sector. She currently serves on the board of directors of Antares Therapeutics, Diagonal Therapeutics, Alpha-9 Oncology, Seismic Therapeutics, Triana Therapeutics, Enlaza Therapeutics, Protego BioPharma, and Zag Bio, and has previously served on the board of directors of private and public companies, including Scorpion Therapeutics (acquired by Eli Lilly &amp; Co.), HilleVax (Nasdaq: HLVX), Tizona Therapeutics, Inc. (acquired by Gilead Sciences, Inc.), Trishula Therapeutics (partnered with AbbVie Inc.), IFM Therapeutics, LLC (acquired by Bristol Myers Squibb), IFM Tre (acquired by Novartis AG), IFM Due (acquired by Novartis AG), IFM Quattro, and SFJ Pharmaceuticals. Dr. Chu also led R&amp;D strategy across all therapeutic areas as well as business development in immuno-oncology and HBV at Gilead during the launch of their cure for HCV. Dr. Chu holds an M.D. and a Ph.D. in Biochemistry and Biophysics from the University of California at San Francisco and a B.A. in Molecular Biology from Princeton University, where she serves as Co-Chair for Princeton ASC. She is also a member of the Scientific Advisory Board for BioCentury.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believe Dr. Chu is qualified to serve on our board of directors because of her investment experience in the biopharmaceutical industry as well as her experience on numerous public and private company boards of directors.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b/>
          <w:color w:val="000000"/>
          <w:sz w:val="20"/>
        </w:rPr>
        <w:t>Carl L. Gordon, Ph.D., CFA</w:t>
      </w:r>
      <w:r>
        <w:rPr>
          <w:rFonts w:ascii="Times New Roman" w:hAnsi="Times New Roman"/>
          <w:color w:val="000000"/>
          <w:sz w:val="20"/>
        </w:rPr>
        <w:t xml:space="preserve"> </w:t>
      </w:r>
      <w:r>
        <w:rPr>
          <w:rFonts w:ascii="Arial" w:hAnsi="Arial"/>
          <w:color w:val="000000"/>
          <w:sz w:val="20"/>
        </w:rPr>
        <w:t>has served as a member of our board of directors since August 2021. Dr. Gordon is a Managing Partner at OrbiMed Advisors LLC, an investment firm. Dr. Gordon currently serves on the boards of directors of Compass Therapeutics Inc. (Nasdaq: CMPX), Keros Therapeutics, Inc. (Nasdaq: KROS) and Lomond Therapeutics Holdings, Inc. (trading on OTC), as well as several private companies. Dr. Gordon previously served on the boards of directors of several publicly-traded companies, including Adicet Bio, Inc. (Nasdaq: ACET) from August 2015 to April 2025, ArriVent Biopharma, Inc. (Nasdaq: AVBP) from December 2022 to June 2025, Gemini Therapeutics, Inc. (which merged with Disc Medicine, Inc. (Nasdaq: IRON)) from April 2016 to December 2022, Kinnate Biopharma, Inc. (Nasdaq: KNTE) from December 2019 to April 2024, MBX Biosciences. Inc. (Nasdaq: MBX) from July 2020 to June 2025, ORIC Pharmaceuticals, Inc. (Nasdaq: ORIC) from November 2015 to November 2021, Terns Pharmaceuticals, Inc. (Nasdaq:</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TERN) from October 2018 to February 2025 and Theseus Pharmaceuticals, Inc. (Nasdaq: THRX) from June 2018 to February 2024. Dr. Gordon received his B.A. in Chemistry from Harvard College, his Ph.D. in Molecular Biology from the Massachusetts Institute of Technology, and was a Fellow at The Rockefeller University.</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believe Dr. Gordon is qualified to serve on our board of directors because of his venture capital experience, expertise in the scientific field of molecular biology and financial credentials.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b/>
          <w:color w:val="000000"/>
          <w:sz w:val="20"/>
        </w:rPr>
        <w:t>Paulina Hill, Ph.D.</w:t>
      </w:r>
      <w:r>
        <w:rPr>
          <w:rFonts w:ascii="Times New Roman" w:hAnsi="Times New Roman"/>
          <w:color w:val="000000"/>
          <w:sz w:val="20"/>
        </w:rPr>
        <w:t xml:space="preserve"> </w:t>
      </w:r>
      <w:r>
        <w:rPr>
          <w:rFonts w:ascii="Arial" w:hAnsi="Arial"/>
          <w:color w:val="000000"/>
          <w:sz w:val="20"/>
        </w:rPr>
        <w:t>has served as a member of our board of directors since June 2025. Since April 2022, Dr. Hill has served as a Partner at Sanofi Ventures. Prior to joining Sanofi, Dr. Hill was a Principal on the investment team at Omega Funds from January 2019 to December 2021. While there she incubated and served as the founding investor for Scorpion Therapeutics (acquired by Eli Lilly), and her investments included Arrakis Therapeutics, IFM Therapeutics, Synthekine and Vanqua Bio. Dr. Hill began her career with Polaris Partners, where she was on the investment team from January 2012 to October 2018. Dr. Hill currently serves on the boards of directors of several private companies including Avilar Therapeutics, Inc., NextPoint Therapeutics, Inc., Nuvig Therapeutics, Inc. and Tisento Therapeutics, Inc., and previously served on the board of directors of Normunity, Inc. She completed her postdoctoral fellowship in Robert Langer’s lab in the Chemical Engineering Department at the Massachusetts Institute of Technology. Dr. Hill completed her Ph.D. in Molecular Medicine from Wake Forest University School of Medicine and graduated magna cum laude from East Carolina University with a quadruple major in biochemistry, neuroscience, biology and chemistry.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believe Dr. Hill is qualified to serve on our board of directors because of her investment experience and experience serving on the boards of directors of other life sciences companies.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b/>
          <w:color w:val="000000"/>
          <w:sz w:val="20"/>
        </w:rPr>
        <w:t>Nan Li</w:t>
      </w:r>
      <w:r>
        <w:rPr>
          <w:rFonts w:ascii="Times New Roman" w:hAnsi="Times New Roman"/>
          <w:color w:val="000000"/>
          <w:sz w:val="20"/>
        </w:rPr>
        <w:t xml:space="preserve"> </w:t>
      </w:r>
      <w:r>
        <w:rPr>
          <w:rFonts w:ascii="Arial" w:hAnsi="Arial"/>
          <w:color w:val="000000"/>
          <w:sz w:val="20"/>
        </w:rPr>
        <w:t>has served as a member of our board of directors since June 2025. Mr. Li has served as Co-Founder and Managing Partner of Dimension Capital since April 2022, a multistage investment firm at the interface of technology and life science. Dimension partners with visionary founders working across therapeutics, diagnostics, software applications, automation systems and tech-enabled services. Mr. Li is interested in the development of cutting-edge technologies including computer vision, AI/ML, NLP, robotics and automation systems. Prior to founding Dimension Capital, Mr. Li was a Managing Director at Obvious Ventures from March 2015 to April 2022, where he worked with companies developing frontier technologies from early company formation through public markets. This includes Automata Technologies, Aspect Biosystems Ltd., Dexterity, Inc., Dyno Therapeutics, Inc., Iterative Scopes, Inc. d/b/a Iterative Health, Planet Labs PBC (NYSE: PL), Recursion Pharma (Nasdaq: RXRX) and SwiftScale Biologics. Mr. Li currently serves on the boards of directors of Aspect Biosystems Ltd., Automata Technologies, Fiveonefour Labs Inc. and Tamarind Bio, Inc. In addition, Mr. Li previously served on the boards of directors of Anagenix Ltd., Darwin Inc., Dexterity, Inc., Gandeeva Therapeutics, Inc., Inato, Inc., Iterative Scopes, Inc. d/b/a Iterative Health, LabGenius Therapeutics, Octave Health Group Inc. and The Aifleet Inc. Mr. Li holds a BSE in Computer Science from the University of Michigan. He has also been a Lecturer at Stanford University on artificial intelligence and venture capital.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believe Mr. Li is qualified to serve on our board of directors because of his venture capital experience, experience with developing cutting-edge technologies including artificial intelligence and experience as a director of numerous private companies.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b/>
          <w:color w:val="000000"/>
          <w:sz w:val="20"/>
        </w:rPr>
        <w:t>Carolyn Ng, Ph.D.</w:t>
      </w:r>
      <w:r>
        <w:rPr>
          <w:rFonts w:ascii="Times New Roman" w:hAnsi="Times New Roman"/>
          <w:color w:val="000000"/>
          <w:sz w:val="20"/>
        </w:rPr>
        <w:t xml:space="preserve"> </w:t>
      </w:r>
      <w:r>
        <w:rPr>
          <w:rFonts w:ascii="Arial" w:hAnsi="Arial"/>
          <w:color w:val="000000"/>
          <w:sz w:val="20"/>
        </w:rPr>
        <w:t>has served as a member of our board of directors since July 2025. Dr. Ng is a Business Unit Partner at TPG Global, LLC, a leading global alternative asset manager, where she leads investments in transformative early- to mid-stage companies across a range of therapeutic areas. Dr. Ng currently serves on the boards of directors for Bicara Therapeutics Inc. (Nasdaq: BCAX) since December 2023, Mbrace Therapeutics, Inc. since April 2023 and Adcendo ApS since November 2024. Before joining TPG Global, LLC in October 2021, Dr. Ng was a Managing Director at Vertex Ventures HC, a global healthcare and life sciences venture fund, where she co-led the investment team. Dr. Ng has previously served on the boards of directors for several other life sciences companies, including Boundless Bio, Inc. (Nasdaq: BOLD) from June 2019 to September 2021, Obsidian Therapeutics, Inc. from December 2017 to September 2021, Redona Therapeutics, Inc. (formerly, 28-7 Therapeutics) from 2017 to 2021 and Nuvaira, Inc. from 2017 to 2021, and served as a board observer for Visterra (acquired by Otsuka Pharmaceutical Co, Ltd.). Dr. Ng holds a Ph.D. in Cancer Molecular Biology from the National University of Singapore, where she was the recipient of the prestigious NGS, Integrative Sciences and Technology, Ph.D. scholarship and holds a B.S. degree in Pharmacy with first class honors from the National University of Singapore.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believe Dr. Ng is qualified to serve on our board of directors because of her venture capital experience with early-to mid-stage life sciences companies and her experience as a director of numerous public and private companies.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b/>
          <w:color w:val="000000"/>
          <w:sz w:val="20"/>
        </w:rPr>
        <w:t>Valerie Odegard, Ph.D.</w:t>
      </w:r>
      <w:r>
        <w:rPr>
          <w:rFonts w:ascii="Times New Roman" w:hAnsi="Times New Roman"/>
          <w:color w:val="000000"/>
          <w:sz w:val="20"/>
        </w:rPr>
        <w:t xml:space="preserve"> </w:t>
      </w:r>
      <w:r>
        <w:rPr>
          <w:rFonts w:ascii="Arial" w:hAnsi="Arial"/>
          <w:color w:val="000000"/>
          <w:sz w:val="20"/>
        </w:rPr>
        <w:t>has served as a member of our board of directors since October 2021. Dr. Odegard has been involved in the discovery and development of drugs for autoimmune diseases and oncology for over 20 years. Dr. Odegard has served as the Chief Executive Officer of Dovetail Therapeutics, Inc. since October 2023 and as a director since May 2023. From October 2016 until September 2022, Dr. Odegard served in various roles with Silverback Therapeutics, Inc., including as Chief Scientific Officer starting in October 2018 and President starting in September 2020.</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Since October 2022, Dr. Odegard has also served as a venture partner at OrbiMed. Dr. Odegard holds a B.S. in biology from Wake Forest University and a Ph.D. in immunobiology from Yale University.</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believe Dr. Odegard is qualified to serve on our board of directors because of her experience leading drug development programs and her public company experience.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b/>
          <w:color w:val="000000"/>
          <w:sz w:val="20"/>
        </w:rPr>
        <w:t>Ksenija Pavletic</w:t>
      </w:r>
      <w:r>
        <w:rPr>
          <w:rFonts w:ascii="Times New Roman" w:hAnsi="Times New Roman"/>
          <w:color w:val="000000"/>
          <w:sz w:val="20"/>
        </w:rPr>
        <w:t xml:space="preserve"> </w:t>
      </w:r>
      <w:r>
        <w:rPr>
          <w:rFonts w:ascii="Arial" w:hAnsi="Arial"/>
          <w:color w:val="000000"/>
          <w:sz w:val="20"/>
        </w:rPr>
        <w:t>has served as a member of our board of directors since August 2025. Since October 2025, Ms. Pavletic has served as General Partner and Chief Commercial Officer at Jeito Capital, a leading global investment company focused on building transformative biopharma companies. She joined the investment team at Jeito as Operational Investor and Chief Commercial Officer and was promoted to Partner in 2024, then General Partner in 2025. She is a dynamic executive with more than 25 years of global experience in the pharmaceutical and biotechnology sectors. She is an expert in both investment strategies and healthcare companies scaleups with a successful track record in fund raising, M&amp;A, company scaleups, commercial organization build ups, product launches and market access. As part of Jeito’s founding team, Ms. Pavletic has significantly contributed to the firm’s development since its inception. Ms. Pavletic has also served as Chief Executive Officer of Advesya since October 2022, a pioneering and transformative biotechnology company developing therapies for difficult-to-treat cancers. Prior to joining Jeito, Ms. Pavletic was CEO of Swiss-based, reproductive health pharma company PregLem SA from July 2015 to January 2022, where she led the company’s rapid expansion including its successful exit. Before PregLem, she worked for eleven years with Serono (then Merck Serono) in various regional and global business, sales and marketing positions. Ms. Pavletic currently serves on the boards of several private companies including Azafaros B.V., Callio Therapeutics and ReproNovo. Previously, Ms. Pavletic was a director at MaxiVAX SA (now Release Therapeutics) from May 2020 to November 2024. She holds a M.Sc. in biotechnology from University of Zagreb and M.B.A. from American Graduate School of Business at Webster University.</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believe Ms. Pavletic is qualified to serve on our board of directors because of her experience in the pharmaceutical and biotechnology industries, her business and operational expertise and her venture capital experience.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b/>
          <w:color w:val="000000"/>
          <w:sz w:val="20"/>
        </w:rPr>
        <w:t>Ian F. Smith</w:t>
      </w:r>
      <w:r>
        <w:rPr>
          <w:rFonts w:ascii="Times New Roman" w:hAnsi="Times New Roman"/>
          <w:color w:val="000000"/>
          <w:sz w:val="20"/>
        </w:rPr>
        <w:t xml:space="preserve"> </w:t>
      </w:r>
      <w:r>
        <w:rPr>
          <w:rFonts w:ascii="Arial" w:hAnsi="Arial"/>
          <w:color w:val="000000"/>
          <w:sz w:val="20"/>
        </w:rPr>
        <w:t>has served as a member of our board of directors since August 2024 and prior to that as a consultant. Mr. Smith is an experienced leader with more than 30 years of finance and operating experience</w:t>
      </w:r>
      <w:r>
        <w:rPr>
          <w:rFonts w:ascii="Arial" w:hAnsi="Arial"/>
          <w:i/>
          <w:color w:val="000000"/>
          <w:sz w:val="20"/>
        </w:rPr>
        <w:t>.</w:t>
      </w:r>
      <w:r>
        <w:rPr>
          <w:rFonts w:ascii="Times New Roman" w:hAnsi="Times New Roman"/>
          <w:color w:val="000000"/>
          <w:sz w:val="20"/>
        </w:rPr>
        <w:t xml:space="preserve"> </w:t>
      </w:r>
      <w:r>
        <w:rPr>
          <w:rFonts w:ascii="Arial" w:hAnsi="Arial"/>
          <w:color w:val="000000"/>
          <w:sz w:val="20"/>
        </w:rPr>
        <w:t>Mr. Smith has served as Chief Executive Officer of Stoke Therapeutics, Inc. (Nasdaq: STOK) since October 2025 and a member of the board of directors since 2023, and previously served as Interim Chief Executive Officer from March 2025 to October 2025. In addition, Mr. Smith is the Chair of the board of directors for Rivus Pharmaceutical Inc., a position he has held since November 2023. Mr. Smith also serves as a Senior Advisor to Bain Capital Life Sciences, which position he has held since January 2021, and as Executive Chair of the board of directors of Solid Biosciences Inc. (Nasdaq: SLDB), which position he has held since June 2020. He has also served as a member of the board of directors of Foghorn Therapeutics Inc. (Nasdaq: FHTX) since April 2021. Prior to his current roles, Mr. Smith served as Executive Chair of the board of directors of Viacyte, a private biotechnology company, from July 2019 to September 2022. Mr. Smith previously served in various roles at Vertex from 2001 until January 2019, including as the Chief Financial Officer and Chief Operating Officer. Prior to joining Vertex, Mr. Smith was a partner of the accounting firm Ernst &amp; Young LLP, serving private and public companies, including biotechnology companies. Mr. Smith also serves on the boards of a number of private biotechnology companies and provides advisory services. Mr. Smith holds a B.A. with honors in accounting and finance from Manchester Metropolitan University (UK).</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believe Mr. Smith is qualified to serve on our board of directors due to his experience as a senior finance executive and his knowledge and experience across multiple roles for public biotechnology companies.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b/>
          <w:color w:val="000000"/>
          <w:sz w:val="20"/>
        </w:rPr>
        <w:t>Nia Tatsis, Ph.D.</w:t>
      </w:r>
      <w:r>
        <w:rPr>
          <w:rFonts w:ascii="Times New Roman" w:hAnsi="Times New Roman"/>
          <w:color w:val="000000"/>
          <w:sz w:val="20"/>
        </w:rPr>
        <w:t xml:space="preserve"> </w:t>
      </w:r>
      <w:r>
        <w:rPr>
          <w:rFonts w:ascii="Arial" w:hAnsi="Arial"/>
          <w:color w:val="000000"/>
          <w:sz w:val="20"/>
        </w:rPr>
        <w:t>has served as a member of our board of directors since September 2025. Dr. Tatsis is currently the Executive Vice President, Chief Regulatory and Quality Officer of Vertex. She joined Vertex in 2017 as Head of Regulatory and was appointed as Chief Regulatory and Quality Officer in 2020. Prior to joining Vertex, Dr. Tatsis held positions of increasing responsibility at pharmaceutical companies including Sanofi, Pfizer, and Wyeth. Dr. Tatsis has served as a member of the board of directors of Verve Therapeutics, Inc. from 2024 to 2025 and as a member of the leadership council of the International Institute of New England. Previously, she served as a staff scientist and research fellow in immunology and vaccine development at the Wistar Institute. Dr. Tatsis received her Ph.D. in cell and molecular biology from the University of Vermont and completed a postdoctoral research fellowship in immunology at Thomas Jefferson University. She holds a B.S. in biology from Temple University.</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believe Dr. Tatsis is qualified to serve on our board of directors because of her experience as a chief regulatory and quality officer for a biopharmaceutical company and her experience in the biotechnology industry.</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b/>
          <w:color w:val="000000"/>
          <w:sz w:val="20"/>
        </w:rPr>
        <w:t>Timothy P. Walbert</w:t>
      </w:r>
      <w:r>
        <w:rPr>
          <w:rFonts w:ascii="Times New Roman" w:hAnsi="Times New Roman"/>
          <w:color w:val="000000"/>
          <w:sz w:val="20"/>
        </w:rPr>
        <w:t xml:space="preserve"> </w:t>
      </w:r>
      <w:r>
        <w:rPr>
          <w:rFonts w:ascii="Arial" w:hAnsi="Arial"/>
          <w:color w:val="000000"/>
          <w:sz w:val="20"/>
        </w:rPr>
        <w:t>has served as a member of our board of directors since June 2024. He is currently a senior advisor to Amgen Inc. Mr. Walbert was Chairman, President and Chief Executive Officer of the then public company Horizon Therapeutics, a biotechnology company, from June 2008 to October 2023, when it was acquired by Amgen for $28 billion. Before joining Horizon, he was President, Chief Executive Officer and director of IDM Pharma Inc., a public</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biotechnology company, which was acquired by Takeda Pharmaceutical Company Limited in June 2009. Before IDM, Mr. Walbert served as Executive Vice President, Commercial Operations, at NeoPharm Inc., a public biotechnology company. From 2001 to 2005, he was Divisional Vice President and General Manager, immunology, at Abbott Laboratories, now AbbVie Inc., leading the global development and launch of the multi-indication biologic HUMIRA</w:t>
      </w:r>
      <w:r>
        <w:rPr>
          <w:rFonts w:ascii="Arial" w:hAnsi="Arial"/>
          <w:color w:val="000000"/>
          <w:sz w:val="10"/>
        </w:rPr>
        <w:t>®</w:t>
      </w:r>
      <w:r>
        <w:rPr>
          <w:rFonts w:ascii="Arial" w:hAnsi="Arial"/>
          <w:color w:val="000000"/>
          <w:sz w:val="20"/>
        </w:rPr>
        <w:t>, and served as Divisional Vice President, Global Cardiovascular Strategy. Mr. Walbert serves on the board of directors of BioMarin Pharmaceutical Inc. (Nasdaq: BMRN), Century Therapeutics, Inc. (Nasdaq: IPSC), Mirum Pharmaceuticals, Inc. (Nasdaq: MIRM), Sagimet Biosciences Inc. (Nasdaq: SGMT), Catalent, Inc., Cour Pharmaceuticals, Crystalys Therapeutics Inc. and Latigo Biotherapeutics. He is also chairman of Latigo Biotherapeutics. He previously served on the board of directors of Aurinia Pharmaceuticals Inc. (Nasdaq: AUPH) from 2020 to 2022, Exicure, Inc. (Nasdaq: XCUR) from 2019 to 2022, Assertio Therapeutics, Inc. (Nasdaq: ASRT) from 2014 to 2020, Raptor Pharmaceutical Corp. (Nasdaq: RPTP) from 2011 to 2014, XOMA Corporation (Nasdaq: XOMA) from 2010 to 2017 and Sucampo Pharmaceuticals Inc. (Nasdaq: SCMP) from 2015 until 2018. Mr. Walbert received a Bachelor of Arts in business administration from Muhlenberg College in Allentown, Pennsylvania.</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believe Mr. Walbert is qualified to serve on our board of directors due to his leadership experience at a public company and public company board experience in the biopharmaceutical industry.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Board Composition</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Our Bylaws, which will become effective immediately prior to the completion of this offering, provide that the number of directors that shall constitute the whole board of directors shall be determined by resolution of our board of directors. As of the effective time of the registration statement of which this prospectus forms a part, our board of directors consists of eleven members: Gary D. Glick, Ph.D., Jeffrey M. Leiden, M.D., Ph.D., Shelley Chu, M.D., Ph.D., Paulina Hill, Ph.D., Nan Li, Carolyn Ng, Ph.D., Ian F. Smith, Valerie Odegard, Ph.D., Ksenija Pavletic, Nia Tatsis, Ph.D. and Timothy P. Walbert. Jill Carroll and Carl L. Gordon, Ph.D., CFA will resign from our board of directors contingent upon and effective immediately prior to the effectiveness of the registration statement of which this prospectus forms a part.</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Certain members of our current board of directors were elected pursuant to the provisions of our Third A&amp;R Voting Agreement (as defined below), which will terminate upon the closing of this offering. Under the terms and subject to the conditions of the Third A&amp;R Voting Agreement, the stockholders who are party to the Third A&amp;R Voting Agreement have agreed to vote their respective shares to elect: (i) one director designated by OrbiMed Private Investments VIII, LP, currently Dr. Gordon; (ii) one director designated by SR One Capital Fund I Aggregator, LP, SR One Co-Invest IV, LLC, SR One Co-Invest IV-A, LLC and AMZL, LP, currently Ms. Carroll; (iii) one director designated by Dimension Capital II, L.P., currently Mr. Li; (iv) one director designated by Sanofi Ventures LLC, currently Dr. Hill; (v) one director designated by Lightspeed Venture Partners XV-B (Ignite), L.P., currently Dr. Chu; (vi) one director designated by Jeito II S.L.P., currently Ms. Pavletic; (vii) one director designated by TPG LSI Rise Orazio, L.P., currently Dr. Ng; (viii) our Chief Executive Officer, currently Dr. Glick; (ix) one director who is not otherwise affiliated with us or any stockholder, currently Dr. Odegard; and (x) one director who is not otherwise affiliated with us or any stockholder, and is mutually acceptable to the other members of our board of directors elected pursuant to a vote of the various classes of convertible preferred stock, subject to the approval of General Catalyst Group XI – Endurance, L.P., currently Dr. Leiden. The Third A&amp;R Voting Agreement will terminate upon the closing of this offering, at which point no stockholder will have any special rights regarding the election or designation of the members of our board of directors, and the provisions of our current amended and restated certificate of incorporation, as amended, by which our directors were elected, will be amended and restated in connection with this offering. After this offering, the number of directors will be fixed by our board of directors, subject to the terms of our Certificate of Incorporation and our Bylaws that will become effective immediately prior to the closing of this offering. Our current directors elected to our board of directors pursuant to the Third A&amp;R Voting Agreement will continue to serve as directors until their successors are duly elected and qualified, or until their earlier resignation or removal.</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accordance with our Certificate of Incorporation, which will be effective immediately prior to the closing of this offering, our board of directors will be divided into three classes with staggered three-year terms. At each annual meeting of stockholders after the initial classification, the successors to the directors whose terms will then expire will be elected to serve from the time of election and qualification until the third annual meeting following their election. Our directors will be divided among the three classes as follows:</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Class I directors will be Nan Li, Ksenija Pavletic, Ian F. Smith, and Nia Tatsis, Ph.D., and their terms will expire at the annual meeting of stockholders to be held in 2027;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Class II directors will be Shelley Chu, M.D., Ph.D., Jeffrey M. Leiden, M.D., Ph.D., Valerie Odegard, Ph.D., and Carolyn Ng, Ph.D., and their terms will expire at the annual meeting of stockholders to be held in 2028;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Class III directors will be Gary D. Glick, Ph.D., Paulina Hill, Ph.D., and Timothy P. Walbert, and their terms will expire at the annual meeting of stockholders to be held in 2029. </w:t>
      </w:r>
    </w:p>
    <w:p>
      <w:pPr>
        <w:pStyle w:val="TextBody"/>
        <w:bidi w:val="0"/>
        <w:spacing w:before="120" w:after="283"/>
        <w:jc w:val="center"/>
        <w:rPr>
          <w:rFonts w:ascii="Arial" w:hAnsi="Arial"/>
          <w:color w:val="000000"/>
          <w:sz w:val="20"/>
        </w:rPr>
      </w:pPr>
      <w:r>
        <w:rPr>
          <w:rFonts w:ascii="Arial" w:hAnsi="Arial"/>
          <w:color w:val="000000"/>
          <w:sz w:val="20"/>
        </w:rPr>
        <w:t>187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Any increase or decrease in the number of directors will be distributed among the three classes so that, as nearly as possible, each class will consist of one-third of the directors. This classification of our board of directors may have the effect of delaying or preventing a change of our management or a change in control of our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Director Independence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Under the rules and listing standards of The Nasdaq Stock Market LLC, or the Nasdaq Rules, a majority of the members of our board of directors must satisfy the criteria for “independence.” No director qualifies as independent under the Nasdaq Rules unless our board of directors affirmatively determines that the director does not have a relationship with us that would impair independence, directly or indirectly. Our board of directors has determined that all of our directors qualify as independent under the Nasdaq Rules, except for Gary D. Glick, Ph.D.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of this prospectus titled “</w:t>
      </w:r>
      <w:r>
        <w:rPr>
          <w:rFonts w:ascii="Arial" w:hAnsi="Arial"/>
          <w:i/>
          <w:color w:val="000000"/>
          <w:sz w:val="20"/>
        </w:rPr>
        <w:t>Certain Relationships and Related Person Transactions</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Board Leadership Structure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Our board of directors recognizes that one of its key responsibilities is to evaluate and determine its optimal leadership structure so as to provide effective oversight of management. Our Bylaws provide our board of directors with flexibility to combine or separate the positions of Chair of our board of directors and Chief Executive Officer. Our board of directors believes that our existing leadership structure, under which Dr. Glick serves as our Chief Executive Officer and Dr. Leiden serves as Chair of our board of directors, is effective, provides the appropriate balance of authority between independent and non-independent directors, and achieves the optimal governance model for us and for our stockholders at this time. Moreover, we believe that separating these positions allows our Chief Executive Officer to focus on our research and development programs and other day-to-day business, while allowing the Chair of our board of directors to lead our board of directors in its fundamental role of providing advice to and independent oversight of management. Our board of directors recognizes the time, effort and energy that our Chief Executive Officer is required to devote to his position in the current business environment, as well as the commitment required to serve as the Chair of our board of directors, particularly as our board of directors’ oversight responsibilities continue to grow.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Board Oversight of Risk</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Although management is responsible for the day-to-day management of the risks our company faces, our board of directors and its committees take an active role in overseeing management of our risks and have the ultimate responsibility for the oversight of risk management. Our board of directors regularly reviews information regarding our operational, financial, legal and strategic risks. Specifically, senior management attends quarterly meetings of our board of directors, periodically provides presentations on operations, including significant risks, and is available to address any questions or concerns raised by our board of directors.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addition, we expect that our three standing committees will assist our board of directors in fulfilling its oversight responsibilities regarding risk. The audit committee of our board of directors, or the Audit Committee, will coordinate our board of directors’ oversight of our internal control over financial reporting, disclosure controls and procedures, related party transactions, cybersecurity and financial compliance matters and management will regularly report to the Audit Committee on these areas. The compensation committee of our board of directors, or the Compensation Committee, will assist our board of directors in fulfilling its oversight responsibilities with respect to the management of risks arising from our compensation policies and programs as well as succession planning as it relates to our Chief Executive Officer. The nominating and governance committee of our board of directors, or the Nominating and Governance Committee, will assist our board of directors in fulfilling its oversight responsibilities with respect to the management of risks associated with board organization, membership and structure, succession planning for our directors and our corporate governance generally. When any of the committees receives a report related to material risk oversight, the chair of the relevant committee will report on the discussion to our full board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Code of Conduct and Ethics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have adopted an amended code of conduct and ethics, to be effective upon the closing of this offering, which will apply to all of our employees, officers, including those officers responsible for financial reporting, directors and vendors or independent contractors providing us services. Following the closing of this offering, the amended code of conduct and ethics will be available on our website at https://odysseytx.com. We intend to disclose any amendments to the code of conduct and ethics, or any waivers of its requirements, on our website to the extent required by the applicable rules and exchange requirements. The inclusion of our website address in this prospectus does not incorporate by reference the information on or accessible through our website into this prospectus.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Board Committees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Our board of directors has established an Audit Committee, a Compensation Committee and a Nominating and Governance Committee. The composition and responsibilities of each of the committees of our board of directors are described below. Members will serve on these committees until their resignation or removal or until otherwise determined by our board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Audit Committee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Audit Committee is comprised of Nan Li, Ksenija Pavletic, Ian F. Smith, and Timothy P. Walbert, with Mr. Smith serving as Chair of the Audit Committee. Each member of the Audit Committee must be independent as defined under the applicable Nasdaq Rules and rules of the SEC and financially literate under the Nasdaq Rules. Our board of directors has determined that each member of the Audit Committee is “independent” and “financially literate” under the Nasdaq Rules and the rules of the SEC and that Mr. Smith is an “audit committee financial expert” under the rules of the SEC. The responsibilities of the Audit Committee are included in a written charter. The Audit Committee acts on behalf of our board of directors in fulfilling our board of directors’ oversight responsibilities with respect to our corporate accounting and financial reporting processes, the systems of internal control over financial reporting and audits of financial statements, and also assists our board of directors in its oversight of the quality and integrity of our financial statements and reports and the qualifications, independence and performance of our independent registered public accounting firm. The functions of the Audit Committee include, among others:</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appointing a firm to serve as the independent registered public accounting firm to audit our financial statements and overseeing the work of such firm;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ensuring the independence of the independent registered public accounting firm, determining whether to retain our existing independent registered public accounting firm and determining the compensation for such firm;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pPr>
      <w:r>
        <w:rPr>
          <w:rFonts w:ascii="Arial" w:hAnsi="Arial"/>
          <w:color w:val="000000"/>
          <w:sz w:val="20"/>
        </w:rPr>
        <w:t>discussing the scope and results of the audit or review with the independent registered public accounting firm and reviewing, with management and that firm, our interim and year-end operating results and reports, including the disclosures contained under the heading “</w:t>
      </w:r>
      <w:r>
        <w:rPr>
          <w:rFonts w:ascii="Arial" w:hAnsi="Arial"/>
          <w:i/>
          <w:color w:val="000000"/>
          <w:sz w:val="20"/>
        </w:rPr>
        <w:t>Management’s Discussion and Analysis of Financial Condition and Results of Operations</w:t>
      </w:r>
      <w:r>
        <w:rPr>
          <w:color w:val="000000"/>
        </w:rPr>
        <w:t>”</w:t>
      </w:r>
      <w:r>
        <w:rPr>
          <w:rFonts w:ascii="Arial" w:hAnsi="Arial"/>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overseeing the integrity of our accounting and financial reporting processes and our system of internal control over financial reporting, including any significant deficiencies and material weaknesses in the design or operation of such system, and our disclosure controls;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reviewing and discussing with our management and independent registered public accounting firm the scope, design, implementation, adequacy and effectiveness of our internal control over financial reporting and disclosure controls, including any reportable conditions, material weaknesses or significant deficiencies, significant changes in internal controls reported to the Audit Committee by our management or independent registered public accounting firm and our management’s reports and assessments thereon;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reviewing material related party transactions or those that require disclosure;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pre-approving audit and non-audit services to be performed by the independent registered public accounting firm;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establishing procedures for employees to anonymously submit concerns about questionable accounting or audit matters;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overseeing our compliance program relating to financial impropriety, fraud, financial statement issues or other similar matters;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overseeing our risk management process, including with respect to cybersecurity, and our process for preventing and detecting fraud;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reviewing our investment policy and annual business plan. </w:t>
      </w:r>
    </w:p>
    <w:p>
      <w:pPr>
        <w:pStyle w:val="TextBody"/>
        <w:bidi w:val="0"/>
        <w:spacing w:before="240" w:after="283"/>
        <w:jc w:val="left"/>
        <w:rPr>
          <w:rFonts w:ascii="Times New Roman" w:hAnsi="Times New Roman"/>
          <w:sz w:val="20"/>
        </w:rPr>
      </w:pPr>
      <w:r>
        <w:rPr>
          <w:rFonts w:ascii="Arial" w:hAnsi="Arial"/>
          <w:b/>
          <w:i/>
          <w:color w:val="000000"/>
          <w:sz w:val="20"/>
        </w:rPr>
        <w:t>Compensation Committee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Compensation Committee is comprised of Shelley Chu, M.D., Ph.D., Paulina Hill, Ph.D., Jeffrey M. Leiden, M.D., Ph.D., Valerie Odegard, Ph.D., and Timothy P. Walbert, with Dr. Leiden serving as Chair of the Compensation Committee. Our board of directors has determined that each member of the Compensation Committee is “independent” under the Nasdaq Rules and all applicable laws. Each member of the Compensation Committee is also a “nonemployee director” as that term is defined under Rule 16b-3 under the Exchange Act. The Compensation Committee acts on behalf</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of our board of directors to fulfill our board of directors’ responsibilities in overseeing our compensation policies, plans and programs; and in reviewing and determining the compensation to be paid to our officers and non-employee directors. The responsibilities of the Compensation Committee are included in its written charter. The functions of the Compensation Committee include, among others:</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reviewing and approving the compensation of officers, except for the Chief Executive Officer;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reviewing and recommending to our board of directors the compensation of our directors and Chief Executive Officer;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administering our equity incentive and other benefit plans;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reviewing and approving, or making recommendations to our board of directors with respect to, incentive compensation and equity plans;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reviewing our overall compensation philosophy;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overseeing and reviewing management’s assessment of major risk exposures associated with our compensation policies and practice and the mitigation thereof;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reviewing and administering our “clawback policy,” subject to applicable rules and regulations of the SEC and Nasdaq;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reviewing and assessing the independence of compensation consultants, legal counsel and other advisors as required by Section 10C of the Exchange Act;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periodically reviewing our strategies, initiatives and programs with respect to our culture, talent, recruitment, retention, employee engagement and diversity and inclusion.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addition, once we cease to be an emerging growth company, as defined in the JOBS Act, the responsibilities of the Compensation Committee will also include:</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reviewing and recommending to our board of directors for approval the frequency with which we conduct an advisory vote on executive compensation, taking into account the results of the most recent stockholder advisory vote on the frequency of the advisory vote on executive compensation, and reviewing and approving the proposals regarding the frequency of the advisory vote on executive compensation to be included in our annual meeting proxy statements;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reviewing and discussing with management our Compensation Discussion and Analysis, and recommending to our board of directors that the Compensation Discussion and Analysis be approved for inclusion in our Annual Reports on Form 10-K, registration statements and our annual meeting proxy statements.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Compensation Committee may delegate authority to our Chief Executive Officer, Chief Financial Officer or other executive officers to act under our equity incentive plans, subject to certain limitations.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Nominating and Governance Committee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Nominating and Governance Committee is comprised of Shelley Chu, M.D., Ph.D., Jeffrey M. Leiden, M.D., Ph.D., Carolyn Ng, Ph.D., Ksenija Pavletic, and Nia Tatsis, Ph.D., with Dr. Leiden serving as Chair of the Nominating and Governance Committee. Our board of directors has determined that each member of the Nominating and Governance Committee is “independent” under the Nasdaq Rules and the rules of the SEC. The responsibilities of the Nominating and Governance Committee are included in its written charter. The Nominating and Governance Committee acts on behalf of our board of directors to fulfill our board of directors’ responsibilities in overseeing all aspects of our nominating and corporate governance functions. The functions of the Nominating and Governance Committee include, among others:</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considering corporate governance matters and related legal requirements and periodically reviewing our corporate governance framework, including our Certificate of Incorporation, Bylaws and other arrangements affecting corporate governance and submitting recommended changes to our board of directors for approval;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developing and recommending to our board of directors the selection criteria for candidates to join our board of directors;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identifying and recommending candidates for membership on our board of directors;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overseeing the process of evaluating the performance of our board of directors and its committees and making recommendations with respect to the composition of the committees of our board of directors; </w:t>
      </w:r>
    </w:p>
    <w:p>
      <w:pPr>
        <w:pStyle w:val="TextBody"/>
        <w:bidi w:val="0"/>
        <w:spacing w:before="120" w:after="283"/>
        <w:jc w:val="center"/>
        <w:rPr>
          <w:rFonts w:ascii="Arial" w:hAnsi="Arial"/>
          <w:color w:val="000000"/>
          <w:sz w:val="20"/>
        </w:rPr>
      </w:pPr>
      <w:r>
        <w:rPr>
          <w:rFonts w:ascii="Arial" w:hAnsi="Arial"/>
          <w:color w:val="000000"/>
          <w:sz w:val="20"/>
        </w:rPr>
        <w:t>190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evaluating and presenting to our board of directors the committee’s determination as to the independence of each director and director candidate;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considering any stockholder proposal submitted for inclusion in our proxy materials and make a recommendation to our board of directors regarding whether the proposal should be included or excluded from our proxy materials;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reviewing proposed waivers of the code of conduct and ethics for directors and executive officers. </w:t>
      </w:r>
    </w:p>
    <w:p>
      <w:pPr>
        <w:pStyle w:val="TextBody"/>
        <w:bidi w:val="0"/>
        <w:spacing w:before="240" w:after="283"/>
        <w:jc w:val="left"/>
        <w:rPr>
          <w:rFonts w:ascii="Times New Roman" w:hAnsi="Times New Roman"/>
          <w:sz w:val="20"/>
        </w:rPr>
      </w:pPr>
      <w:r>
        <w:rPr>
          <w:rFonts w:ascii="Arial" w:hAnsi="Arial"/>
          <w:b/>
          <w:color w:val="000000"/>
          <w:sz w:val="20"/>
        </w:rPr>
        <w:t>Compensation Committee Interlocks and Insider Participation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None of the members of the Compensation Committee has at any time been one of our officers or employees. None of our executive officers currently serve, or in the past fiscal year has served, as a member of the board of directors or the compensation committee of any entity that has one or more executive officers on our board of directors or the Compensation Committee.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Non-Employee Director Compensation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following table presents the total compensation for each person who served as a non-employee member of our board of directors during the year ended December 31, 2025. Other than as set forth in the table and described more fully below, in 2025 we did not pay any compensation, or grant any equity awards or non-equity awards, to any of the non-employee members of our board of directors. Dr. Glick, our President and Chief Executive Officer, also served on our board of directors during the year ended December 31, 2025, but did not receive any additional compensation for his service as a director. See the section of this prospectus titled “</w:t>
      </w:r>
      <w:r>
        <w:rPr>
          <w:rFonts w:ascii="Arial" w:hAnsi="Arial"/>
          <w:i/>
          <w:color w:val="000000"/>
          <w:sz w:val="20"/>
        </w:rPr>
        <w:t>Executive Compensation</w:t>
      </w:r>
      <w:r>
        <w:rPr>
          <w:rFonts w:ascii="Times New Roman" w:hAnsi="Times New Roman"/>
          <w:color w:val="000000"/>
          <w:sz w:val="20"/>
        </w:rPr>
        <w:t xml:space="preserve">” </w:t>
      </w:r>
      <w:r>
        <w:rPr>
          <w:rFonts w:ascii="Arial" w:hAnsi="Arial"/>
          <w:color w:val="000000"/>
          <w:sz w:val="20"/>
        </w:rPr>
        <w:t>for more information regarding the compensation earned by Dr. Glick.</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reimbursed and will continue to reimburse all of our non-employee directors for their reasonable out-of-pocket expenses incurred in attending board of directors and committee meetings. Prior to this offering certain of our directors were party to agreements governing the terms of their service as directors and their compensation. Each of these agreements have been terminated and all of our non-employee directors will be compensated according to our Non-Employee Director Compensation Framework described in greater detail below.</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following table sets forth information regarding the compensation awarded to our non-employee directors during the year ended December 31, 2025.</w:t>
      </w:r>
      <w:r>
        <w:rPr>
          <w:rFonts w:ascii="Times New Roman" w:hAnsi="Times New Roman"/>
          <w:color w:val="000000"/>
          <w:sz w:val="20"/>
        </w:rPr>
        <w:t xml:space="preserve"> </w:t>
      </w:r>
    </w:p>
    <w:p>
      <w:pPr>
        <w:pStyle w:val="TextBody"/>
        <w:bidi w:val="0"/>
        <w:jc w:val="left"/>
        <w:rPr/>
      </w:pPr>
      <w:r>
        <w:rPr/>
        <w:t> </w:t>
      </w:r>
    </w:p>
    <w:tbl>
      <w:tblPr>
        <w:tblW w:w="6835" w:type="dxa"/>
        <w:jc w:val="left"/>
        <w:tblInd w:w="0" w:type="dxa"/>
        <w:tblLayout w:type="fixed"/>
        <w:tblCellMar>
          <w:top w:w="28" w:type="dxa"/>
          <w:left w:w="28" w:type="dxa"/>
          <w:bottom w:w="28" w:type="dxa"/>
          <w:right w:w="28" w:type="dxa"/>
        </w:tblCellMar>
      </w:tblPr>
      <w:tblGrid>
        <w:gridCol w:w="2911"/>
        <w:gridCol w:w="146"/>
        <w:gridCol w:w="1081"/>
        <w:gridCol w:w="146"/>
        <w:gridCol w:w="146"/>
        <w:gridCol w:w="961"/>
        <w:gridCol w:w="146"/>
        <w:gridCol w:w="146"/>
        <w:gridCol w:w="961"/>
        <w:gridCol w:w="191"/>
      </w:tblGrid>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Fees Earned</w:t>
            </w:r>
            <w:r>
              <w:rPr>
                <w:rFonts w:ascii="Arial" w:hAnsi="Arial"/>
                <w:color w:val="000000"/>
                <w:sz w:val="16"/>
              </w:rPr>
              <w:br/>
            </w:r>
            <w:r>
              <w:rPr>
                <w:rFonts w:ascii="Arial" w:hAnsi="Arial"/>
                <w:b/>
                <w:color w:val="000000"/>
                <w:sz w:val="16"/>
              </w:rPr>
              <w:t>or Paid in</w:t>
            </w:r>
            <w:r>
              <w:rPr>
                <w:rFonts w:ascii="Arial" w:hAnsi="Arial"/>
                <w:color w:val="000000"/>
                <w:sz w:val="16"/>
              </w:rPr>
              <w:br/>
            </w:r>
            <w:r>
              <w:rPr>
                <w:rFonts w:ascii="Arial" w:hAnsi="Arial"/>
                <w:b/>
                <w:color w:val="000000"/>
                <w:sz w:val="16"/>
              </w:rPr>
              <w:t>Cash</w:t>
            </w:r>
            <w:r>
              <w:rPr>
                <w:rFonts w:ascii="Arial" w:hAnsi="Arial"/>
                <w:color w:val="000000"/>
                <w:sz w:val="16"/>
              </w:rPr>
              <w:br/>
            </w:r>
            <w:r>
              <w:rPr>
                <w:rFonts w:ascii="Arial" w:hAnsi="Arial"/>
                <w:b/>
                <w:color w:val="000000"/>
                <w:sz w:val="16"/>
              </w:rPr>
              <w: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Option</w:t>
            </w:r>
            <w:r>
              <w:rPr>
                <w:rFonts w:ascii="Arial" w:hAnsi="Arial"/>
                <w:color w:val="000000"/>
                <w:sz w:val="16"/>
              </w:rPr>
              <w:br/>
            </w:r>
            <w:r>
              <w:rPr>
                <w:rFonts w:ascii="Arial" w:hAnsi="Arial"/>
                <w:b/>
                <w:color w:val="000000"/>
                <w:sz w:val="16"/>
              </w:rPr>
              <w:t>Awards</w:t>
            </w:r>
            <w:r>
              <w:rPr>
                <w:rFonts w:ascii="Arial" w:hAnsi="Arial"/>
                <w:color w:val="000000"/>
                <w:sz w:val="16"/>
              </w:rPr>
              <w:br/>
            </w:r>
            <w:r>
              <w:rPr>
                <w:rFonts w:ascii="Arial" w:hAnsi="Arial"/>
                <w:b/>
                <w:color w:val="000000"/>
                <w:sz w:val="16"/>
              </w:rPr>
              <w:t>($)</w:t>
            </w:r>
            <w:r>
              <w:rPr>
                <w:rFonts w:ascii="Arial" w:hAnsi="Arial"/>
                <w:b/>
                <w:color w:val="000000"/>
                <w:sz w:val="8"/>
              </w:rPr>
              <w:t>(1)</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Total ($)</w:t>
            </w:r>
            <w:r>
              <w:rPr>
                <w:rFonts w:ascii="Times New Roman" w:hAnsi="Times New Roman"/>
                <w:color w:val="000000"/>
                <w:sz w:val="16"/>
              </w:rPr>
              <w:t xml:space="preserve">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Jeffrey M. Leiden, M.D., Ph.D.</w:t>
            </w:r>
            <w:r>
              <w:rPr>
                <w:rFonts w:ascii="Arial" w:hAnsi="Arial"/>
                <w:color w:val="000000"/>
                <w:sz w:val="1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1,335,049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1,536,356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Jill Carroll</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Shelley Chu,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Carl L. Gordon, Ph.D., CFA</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Paulina Hill,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Nan Li</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Carolyn Ng,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Valerie Odegard, Ph.D.</w:t>
            </w:r>
            <w:r>
              <w:rPr>
                <w:rFonts w:ascii="Arial" w:hAnsi="Arial"/>
                <w:color w:val="000000"/>
                <w:sz w:val="10"/>
              </w:rPr>
              <w:t>(3)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51,727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385,410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437,137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Ksenija Pavletic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Ian F. Smith</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553,846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703,846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Nia Tatsis, Ph.D.</w:t>
            </w:r>
            <w:r>
              <w:rPr>
                <w:rFonts w:ascii="Arial" w:hAnsi="Arial"/>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686,257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Timothy P. Walbert</w:t>
            </w:r>
            <w:r>
              <w:rPr>
                <w:rFonts w:ascii="Arial" w:hAnsi="Arial"/>
                <w:color w:val="000000"/>
                <w:sz w:val="10"/>
              </w:rPr>
              <w:t>(5)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443,164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593,164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ind w:left="0" w:right="9792" w:hanging="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The amounts reported in the “Option Awards” column represent the aggregate grant date fair value of the stock options awarded to our non-employee directors during fiscal year 2025, calculated in accordance with Financial Accounting Standards Board, or FASB, Accounting Standards Codification, or ASC, Topic 718. The assumptions used in calculating the grant date fair value of the awards reported in this column are set forth in Note 13 to our audited financial statements included elsewhere in this prospectus. The amounts reported in this column reflect the accounting cost for the stock options and do not reflect the actual economic value that will be realized by the individual upon the vesting of the stock options, the exercise of the stock options or the sale of the common stock underlying such awards. </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jc w:val="left"/>
        <w:rPr>
          <w:rFonts w:ascii="Arial" w:hAnsi="Arial"/>
          <w:color w:val="000000"/>
          <w:sz w:val="20"/>
        </w:rPr>
      </w:pPr>
      <w:r>
        <w:rPr>
          <w:rFonts w:ascii="Arial" w:hAnsi="Arial"/>
          <w:color w:val="000000"/>
          <w:sz w:val="20"/>
        </w:rPr>
        <w:t xml:space="preserve">As of December 31, 2025, Dr. Leiden held options to purchase an aggregate of 323,640 shares of our common stock. </w:t>
      </w:r>
    </w:p>
    <w:p>
      <w:pPr>
        <w:pStyle w:val="TextBody"/>
        <w:bidi w:val="0"/>
        <w:spacing w:before="120" w:after="283"/>
        <w:jc w:val="center"/>
        <w:rPr>
          <w:rFonts w:ascii="Arial" w:hAnsi="Arial"/>
          <w:color w:val="000000"/>
          <w:sz w:val="20"/>
        </w:rPr>
      </w:pPr>
      <w:r>
        <w:rPr>
          <w:rFonts w:ascii="Arial" w:hAnsi="Arial"/>
          <w:color w:val="000000"/>
          <w:sz w:val="20"/>
        </w:rPr>
        <w:t>191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(3)</w:t>
      </w:r>
    </w:p>
    <w:p>
      <w:pPr>
        <w:pStyle w:val="TextBody"/>
        <w:bidi w:val="0"/>
        <w:spacing w:before="0" w:after="0"/>
        <w:jc w:val="left"/>
        <w:rPr>
          <w:rFonts w:ascii="Arial" w:hAnsi="Arial"/>
          <w:color w:val="000000"/>
          <w:sz w:val="20"/>
        </w:rPr>
      </w:pPr>
      <w:r>
        <w:rPr>
          <w:rFonts w:ascii="Arial" w:hAnsi="Arial"/>
          <w:color w:val="000000"/>
          <w:sz w:val="20"/>
        </w:rPr>
        <w:t xml:space="preserve">As of December 31, 2025, Dr. Odegard held options to purchase an aggregate of 132,325 shares of our common stock. </w:t>
      </w:r>
    </w:p>
    <w:p>
      <w:pPr>
        <w:pStyle w:val="TextBody"/>
        <w:bidi w:val="0"/>
        <w:spacing w:before="0" w:after="0"/>
        <w:jc w:val="left"/>
        <w:rPr>
          <w:rFonts w:ascii="Arial" w:hAnsi="Arial"/>
          <w:color w:val="000000"/>
          <w:sz w:val="20"/>
        </w:rPr>
      </w:pPr>
      <w:r>
        <w:rPr>
          <w:rFonts w:ascii="Arial" w:hAnsi="Arial"/>
          <w:color w:val="000000"/>
          <w:sz w:val="20"/>
        </w:rPr>
        <w:t>(4)</w:t>
      </w:r>
    </w:p>
    <w:p>
      <w:pPr>
        <w:pStyle w:val="TextBody"/>
        <w:bidi w:val="0"/>
        <w:spacing w:before="0" w:after="0"/>
        <w:jc w:val="left"/>
        <w:rPr>
          <w:rFonts w:ascii="Arial" w:hAnsi="Arial"/>
          <w:color w:val="000000"/>
          <w:sz w:val="20"/>
        </w:rPr>
      </w:pPr>
      <w:r>
        <w:rPr>
          <w:rFonts w:ascii="Arial" w:hAnsi="Arial"/>
          <w:color w:val="000000"/>
          <w:sz w:val="20"/>
        </w:rPr>
        <w:t xml:space="preserve">As of December 31, 2025, Dr. Tatsis held options to purchase an aggregate of 196,497 shares of our common stock. </w:t>
      </w:r>
    </w:p>
    <w:p>
      <w:pPr>
        <w:pStyle w:val="TextBody"/>
        <w:bidi w:val="0"/>
        <w:spacing w:before="0" w:after="0"/>
        <w:jc w:val="left"/>
        <w:rPr>
          <w:rFonts w:ascii="Arial" w:hAnsi="Arial"/>
          <w:color w:val="000000"/>
          <w:sz w:val="20"/>
        </w:rPr>
      </w:pPr>
      <w:r>
        <w:rPr>
          <w:rFonts w:ascii="Arial" w:hAnsi="Arial"/>
          <w:color w:val="000000"/>
          <w:sz w:val="20"/>
        </w:rPr>
        <w:t>(5)</w:t>
      </w:r>
    </w:p>
    <w:p>
      <w:pPr>
        <w:pStyle w:val="TextBody"/>
        <w:bidi w:val="0"/>
        <w:jc w:val="left"/>
        <w:rPr>
          <w:rFonts w:ascii="Arial" w:hAnsi="Arial"/>
          <w:color w:val="000000"/>
          <w:sz w:val="20"/>
        </w:rPr>
      </w:pPr>
      <w:r>
        <w:rPr>
          <w:rFonts w:ascii="Arial" w:hAnsi="Arial"/>
          <w:color w:val="000000"/>
          <w:sz w:val="20"/>
        </w:rPr>
        <w:t xml:space="preserve">As of December 31, 2025, Mr. Walbert held options to purchase an aggregate of 196,496 shares of our common stock. </w:t>
      </w:r>
    </w:p>
    <w:p>
      <w:pPr>
        <w:pStyle w:val="TextBody"/>
        <w:bidi w:val="0"/>
        <w:spacing w:before="240" w:after="283"/>
        <w:jc w:val="left"/>
        <w:rPr>
          <w:rFonts w:ascii="Times New Roman" w:hAnsi="Times New Roman"/>
          <w:sz w:val="20"/>
        </w:rPr>
      </w:pPr>
      <w:r>
        <w:rPr>
          <w:rFonts w:ascii="Arial" w:hAnsi="Arial"/>
          <w:b/>
          <w:color w:val="000000"/>
          <w:sz w:val="20"/>
        </w:rPr>
        <w:t>Non-Employee Director Compensation Framework</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Effective upon the closing of this offering, our non-employee directors will be compensated in accordance with our non-employee director compensation framework, or the Director Compensation Framework. Pursuant to the Director Compensation Framework, our non-employee directors will receive cash compensation, paid quarterly in arrears, as follows:</w:t>
      </w:r>
      <w:r>
        <w:rPr>
          <w:rFonts w:ascii="Times New Roman" w:hAnsi="Times New Roman"/>
          <w:color w:val="000000"/>
          <w:sz w:val="20"/>
        </w:rPr>
        <w:t xml:space="preserve"> </w:t>
      </w:r>
    </w:p>
    <w:p>
      <w:pPr>
        <w:pStyle w:val="TextBody"/>
        <w:bidi w:val="0"/>
        <w:jc w:val="left"/>
        <w:rPr/>
      </w:pPr>
      <w:r>
        <w:rPr/>
        <w:t> </w:t>
      </w:r>
    </w:p>
    <w:tbl>
      <w:tblPr>
        <w:tblW w:w="7105" w:type="dxa"/>
        <w:jc w:val="left"/>
        <w:tblInd w:w="0" w:type="dxa"/>
        <w:tblLayout w:type="fixed"/>
        <w:tblCellMar>
          <w:top w:w="28" w:type="dxa"/>
          <w:left w:w="28" w:type="dxa"/>
          <w:bottom w:w="28" w:type="dxa"/>
          <w:right w:w="28" w:type="dxa"/>
        </w:tblCellMar>
      </w:tblPr>
      <w:tblGrid>
        <w:gridCol w:w="4726"/>
        <w:gridCol w:w="146"/>
        <w:gridCol w:w="211"/>
        <w:gridCol w:w="1831"/>
        <w:gridCol w:w="191"/>
      </w:tblGrid>
      <w:tr>
        <w:trPr/>
        <w:tc>
          <w:tcPr>
            <w:tcW w:w="47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831"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47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Annual Cash Retainer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Board of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 Non-Employee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Additional retainer for Independent Chair of the Board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Audit Committee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Non-Chair Member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Compensation Committee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Chair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15,000</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Non-Chair Member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Nominating and Governance Committee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Non-Chair Member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ind w:left="0" w:right="0" w:firstLine="612"/>
        <w:jc w:val="left"/>
        <w:rPr>
          <w:rFonts w:ascii="Times New Roman" w:hAnsi="Times New Roman"/>
          <w:sz w:val="20"/>
        </w:rPr>
      </w:pPr>
      <w:r>
        <w:rPr>
          <w:rFonts w:ascii="Arial" w:hAnsi="Arial"/>
          <w:color w:val="000000"/>
          <w:sz w:val="20"/>
        </w:rPr>
        <w:t>In addition to the above, the Director Compensation Framework provides that each newly appointed director receive a stock option award to purchase $740,000 of our common stock, subject to certain caps. The initial award will have a ten-year term and vest over three years, with one-third vesting on the first anniversary of the grant, followed by monthly vesting thereafter in substantially equal installments, subject to continued service with us through the applicable vesting date.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Director Compensation Framework further provides that each director who continues to serve immediately following each annual meeting of our stockholders receive a stock option award to purchase $370,000 of our common stock, subject to certain caps. The annual award will have a ten-year term and vest upon the earlier of one year or the next annual meeting of our stockholders, subject to continued service with us through the applicable vesting date.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If a director’s service with us terminates, other than for cause (as defined in the 2026 Plan), the unvested portion of their outstanding stock option awards granted under the 2026 Plan will be forfeited and the vested portion will remain exercisable until the tenth anniversary of the grant date. In the event a corporate transaction (as defined in the section of this prospectus titled “</w:t>
      </w:r>
      <w:r>
        <w:rPr>
          <w:rFonts w:ascii="Arial" w:hAnsi="Arial"/>
          <w:i/>
          <w:color w:val="000000"/>
          <w:sz w:val="20"/>
        </w:rPr>
        <w:t>Executive Compensation—Equity Benefit Plans</w:t>
      </w:r>
      <w:r>
        <w:rPr>
          <w:rFonts w:ascii="Times New Roman" w:hAnsi="Times New Roman"/>
          <w:color w:val="000000"/>
          <w:sz w:val="20"/>
        </w:rPr>
        <w:t>”</w:t>
      </w:r>
      <w:r>
        <w:rPr>
          <w:rFonts w:ascii="Arial" w:hAnsi="Arial"/>
          <w:color w:val="000000"/>
          <w:sz w:val="20"/>
        </w:rPr>
        <w:t>) occurs during a director’s service, the vesting of any unvested portion of their outstanding stock option awards granted under the 2026 Plan will accelerate.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5" w:name="executive_compensation"/>
      <w:bookmarkEnd w:id="15"/>
      <w:r>
        <w:rPr>
          <w:rFonts w:ascii="Arial" w:hAnsi="Arial"/>
          <w:b/>
          <w:color w:val="000000"/>
          <w:sz w:val="20"/>
        </w:rPr>
        <w:t>EXECUTIVE COMPENSATION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named executive officers for the year ended December 31, 2025, are:</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Gary D. Glick, Ph.D., our President and Chief Executive Officer;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Jason Haas, our Chief Financial Officer;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Collin Todd, our Senior Vice President, Strategy and Business Development. </w:t>
      </w:r>
    </w:p>
    <w:p>
      <w:pPr>
        <w:pStyle w:val="TextBody"/>
        <w:bidi w:val="0"/>
        <w:spacing w:before="240" w:after="283"/>
        <w:jc w:val="left"/>
        <w:rPr>
          <w:rFonts w:ascii="Times New Roman" w:hAnsi="Times New Roman"/>
          <w:sz w:val="20"/>
        </w:rPr>
      </w:pPr>
      <w:r>
        <w:rPr>
          <w:rFonts w:ascii="Arial" w:hAnsi="Arial"/>
          <w:b/>
          <w:color w:val="000000"/>
          <w:sz w:val="20"/>
        </w:rPr>
        <w:t>Summary Compensation Table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following table sets forth certain information with respect to the compensation paid to our named executive officers for the fiscal year ended December 31, 2025:</w:t>
      </w:r>
      <w:r>
        <w:rPr>
          <w:rFonts w:ascii="Times New Roman" w:hAnsi="Times New Roman"/>
          <w:color w:val="000000"/>
          <w:sz w:val="20"/>
        </w:rPr>
        <w:t xml:space="preserve"> </w:t>
      </w:r>
    </w:p>
    <w:p>
      <w:pPr>
        <w:pStyle w:val="TextBody"/>
        <w:bidi w:val="0"/>
        <w:ind w:left="0" w:right="0" w:firstLine="619"/>
        <w:jc w:val="left"/>
        <w:rPr/>
      </w:pPr>
      <w:r>
        <w:rPr/>
        <w:t> </w:t>
      </w:r>
    </w:p>
    <w:tbl>
      <w:tblPr>
        <w:tblW w:w="10205" w:type="dxa"/>
        <w:jc w:val="left"/>
        <w:tblInd w:w="0" w:type="dxa"/>
        <w:tblLayout w:type="fixed"/>
        <w:tblCellMar>
          <w:top w:w="28" w:type="dxa"/>
          <w:left w:w="28" w:type="dxa"/>
          <w:bottom w:w="28" w:type="dxa"/>
          <w:right w:w="28" w:type="dxa"/>
        </w:tblCellMar>
      </w:tblPr>
      <w:tblGrid>
        <w:gridCol w:w="1899"/>
        <w:gridCol w:w="146"/>
        <w:gridCol w:w="526"/>
        <w:gridCol w:w="220"/>
        <w:gridCol w:w="146"/>
        <w:gridCol w:w="808"/>
        <w:gridCol w:w="146"/>
        <w:gridCol w:w="571"/>
        <w:gridCol w:w="146"/>
        <w:gridCol w:w="970"/>
        <w:gridCol w:w="146"/>
        <w:gridCol w:w="1226"/>
        <w:gridCol w:w="220"/>
        <w:gridCol w:w="146"/>
        <w:gridCol w:w="1156"/>
        <w:gridCol w:w="146"/>
        <w:gridCol w:w="961"/>
        <w:gridCol w:w="146"/>
        <w:gridCol w:w="480"/>
      </w:tblGrid>
      <w:tr>
        <w:trPr/>
        <w:tc>
          <w:tcPr>
            <w:tcW w:w="189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6" w:type="dxa"/>
            <w:tcBorders/>
            <w:shd w:fill="FFFFFF" w:val="clear"/>
            <w:vAlign w:val="center"/>
          </w:tcPr>
          <w:p>
            <w:pPr>
              <w:pStyle w:val="TableContents"/>
              <w:bidi w:val="0"/>
              <w:spacing w:before="0" w:after="283"/>
              <w:jc w:val="left"/>
              <w:rPr>
                <w:sz w:val="4"/>
                <w:szCs w:val="4"/>
              </w:rPr>
            </w:pPr>
            <w:r>
              <w:rPr>
                <w:sz w:val="4"/>
                <w:szCs w:val="4"/>
              </w:rPr>
            </w:r>
          </w:p>
        </w:tc>
        <w:tc>
          <w:tcPr>
            <w:tcW w:w="2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0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7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26" w:type="dxa"/>
            <w:tcBorders/>
            <w:shd w:fill="FFFFFF" w:val="clear"/>
            <w:vAlign w:val="center"/>
          </w:tcPr>
          <w:p>
            <w:pPr>
              <w:pStyle w:val="TableContents"/>
              <w:bidi w:val="0"/>
              <w:spacing w:before="0" w:after="283"/>
              <w:jc w:val="left"/>
              <w:rPr>
                <w:sz w:val="4"/>
                <w:szCs w:val="4"/>
              </w:rPr>
            </w:pPr>
            <w:r>
              <w:rPr>
                <w:sz w:val="4"/>
                <w:szCs w:val="4"/>
              </w:rPr>
            </w:r>
          </w:p>
        </w:tc>
        <w:tc>
          <w:tcPr>
            <w:tcW w:w="2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0" w:type="dxa"/>
            <w:tcBorders/>
            <w:shd w:fill="FFFFFF" w:val="clear"/>
            <w:vAlign w:val="center"/>
          </w:tcPr>
          <w:p>
            <w:pPr>
              <w:pStyle w:val="TableContents"/>
              <w:bidi w:val="0"/>
              <w:spacing w:before="0" w:after="283"/>
              <w:jc w:val="left"/>
              <w:rPr>
                <w:sz w:val="4"/>
                <w:szCs w:val="4"/>
              </w:rPr>
            </w:pPr>
            <w:r>
              <w:rPr>
                <w:sz w:val="4"/>
                <w:szCs w:val="4"/>
              </w:rPr>
            </w:r>
          </w:p>
        </w:tc>
      </w:tr>
      <w:tr>
        <w:trPr/>
        <w:tc>
          <w:tcPr>
            <w:tcW w:w="18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Name and Principal Position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Arial" w:hAnsi="Arial"/>
                <w:b/>
                <w:color w:val="000000"/>
                <w:sz w:val="15"/>
              </w:rPr>
              <w:t>Year</w:t>
            </w:r>
            <w:r>
              <w:rPr>
                <w:rFonts w:ascii="Times New Roman" w:hAnsi="Times New Roman"/>
                <w:color w:val="000000"/>
                <w:sz w:val="15"/>
              </w:rPr>
              <w:t xml:space="preserve"> </w:t>
            </w:r>
          </w:p>
        </w:tc>
        <w:tc>
          <w:tcPr>
            <w:tcW w:w="22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Arial" w:hAnsi="Arial"/>
                <w:b/>
                <w:color w:val="000000"/>
                <w:sz w:val="15"/>
              </w:rPr>
              <w:t>Salary ($)</w:t>
            </w:r>
            <w:r>
              <w:rPr>
                <w:rFonts w:ascii="Times New Roman" w:hAnsi="Times New Roman"/>
                <w:color w:val="000000"/>
                <w:sz w:val="15"/>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Arial" w:hAnsi="Arial"/>
                <w:b/>
                <w:color w:val="000000"/>
                <w:sz w:val="15"/>
              </w:rPr>
              <w:t>Bonus</w:t>
            </w:r>
            <w:r>
              <w:rPr>
                <w:rFonts w:ascii="Arial" w:hAnsi="Arial"/>
                <w:color w:val="000000"/>
                <w:sz w:val="15"/>
              </w:rPr>
              <w:br/>
            </w:r>
            <w:r>
              <w:rPr>
                <w:rFonts w:ascii="Arial" w:hAnsi="Arial"/>
                <w:b/>
                <w:color w:val="000000"/>
                <w:sz w:val="15"/>
              </w:rPr>
              <w:t>($)</w:t>
            </w:r>
            <w:r>
              <w:rPr>
                <w:rFonts w:ascii="Times New Roman" w:hAnsi="Times New Roman"/>
                <w:color w:val="000000"/>
                <w:sz w:val="15"/>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Arial" w:hAnsi="Arial"/>
                <w:b/>
                <w:color w:val="000000"/>
                <w:sz w:val="15"/>
              </w:rPr>
              <w:t>Option</w:t>
            </w:r>
            <w:r>
              <w:rPr>
                <w:rFonts w:ascii="Arial" w:hAnsi="Arial"/>
                <w:color w:val="000000"/>
                <w:sz w:val="15"/>
              </w:rPr>
              <w:br/>
            </w:r>
            <w:r>
              <w:rPr>
                <w:rFonts w:ascii="Arial" w:hAnsi="Arial"/>
                <w:b/>
                <w:color w:val="000000"/>
                <w:sz w:val="15"/>
              </w:rPr>
              <w:t>Awards ($)</w:t>
            </w:r>
            <w:r>
              <w:rPr>
                <w:rFonts w:ascii="Arial" w:hAnsi="Arial"/>
                <w:b/>
                <w:color w:val="000000"/>
                <w:sz w:val="1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Arial" w:hAnsi="Arial"/>
                <w:b/>
                <w:color w:val="000000"/>
                <w:sz w:val="15"/>
              </w:rPr>
              <w:t>Non-Equity</w:t>
            </w:r>
            <w:r>
              <w:rPr>
                <w:rFonts w:ascii="Arial" w:hAnsi="Arial"/>
                <w:color w:val="000000"/>
                <w:sz w:val="15"/>
              </w:rPr>
              <w:br/>
            </w:r>
            <w:r>
              <w:rPr>
                <w:rFonts w:ascii="Arial" w:hAnsi="Arial"/>
                <w:b/>
                <w:color w:val="000000"/>
                <w:sz w:val="15"/>
              </w:rPr>
              <w:t>Incentive Plan</w:t>
            </w:r>
            <w:r>
              <w:rPr>
                <w:rFonts w:ascii="Arial" w:hAnsi="Arial"/>
                <w:color w:val="000000"/>
                <w:sz w:val="15"/>
              </w:rPr>
              <w:br/>
            </w:r>
            <w:r>
              <w:rPr>
                <w:rFonts w:ascii="Arial" w:hAnsi="Arial"/>
                <w:b/>
                <w:color w:val="000000"/>
                <w:sz w:val="15"/>
              </w:rPr>
              <w:t>Compensation ($)</w:t>
            </w:r>
            <w:r>
              <w:rPr>
                <w:rFonts w:ascii="Arial" w:hAnsi="Arial"/>
                <w:b/>
                <w:color w:val="000000"/>
                <w:sz w:val="10"/>
              </w:rPr>
              <w:t>(2)</w:t>
            </w:r>
          </w:p>
        </w:tc>
        <w:tc>
          <w:tcPr>
            <w:tcW w:w="22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Arial" w:hAnsi="Arial"/>
                <w:b/>
                <w:color w:val="000000"/>
                <w:sz w:val="15"/>
              </w:rPr>
              <w:t>All Other</w:t>
            </w:r>
            <w:r>
              <w:rPr>
                <w:rFonts w:ascii="Arial" w:hAnsi="Arial"/>
                <w:color w:val="000000"/>
                <w:sz w:val="15"/>
              </w:rPr>
              <w:br/>
            </w:r>
            <w:r>
              <w:rPr>
                <w:rFonts w:ascii="Arial" w:hAnsi="Arial"/>
                <w:b/>
                <w:color w:val="000000"/>
                <w:sz w:val="15"/>
              </w:rPr>
              <w:t>Compensation</w:t>
            </w:r>
            <w:r>
              <w:rPr>
                <w:rFonts w:ascii="Arial" w:hAnsi="Arial"/>
                <w:color w:val="000000"/>
                <w:sz w:val="15"/>
              </w:rPr>
              <w:br/>
            </w:r>
            <w:r>
              <w:rPr>
                <w:rFonts w:ascii="Arial" w:hAnsi="Arial"/>
                <w:b/>
                <w:color w:val="000000"/>
                <w:sz w:val="15"/>
              </w:rPr>
              <w:t>($)</w:t>
            </w:r>
            <w:r>
              <w:rPr>
                <w:rFonts w:ascii="Times New Roman" w:hAnsi="Times New Roman"/>
                <w:color w:val="000000"/>
                <w:sz w:val="15"/>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Arial" w:hAnsi="Arial"/>
                <w:b/>
                <w:color w:val="000000"/>
                <w:sz w:val="15"/>
              </w:rPr>
              <w:t>Total ($)</w:t>
            </w:r>
            <w:r>
              <w:rPr>
                <w:rFonts w:ascii="Times New Roman" w:hAnsi="Times New Roman"/>
                <w:color w:val="000000"/>
                <w:sz w:val="15"/>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8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Gary D. Glick,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2025</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558,900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4,692,082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5,250,982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1899" w:type="dxa"/>
            <w:tcBorders/>
            <w:shd w:fill="CFF0FC" w:val="clear"/>
            <w:tcMar>
              <w:top w:w="0" w:type="dxa"/>
              <w:left w:w="0" w:type="dxa"/>
              <w:bottom w:w="0" w:type="dxa"/>
              <w:right w:w="0" w:type="dxa"/>
            </w:tcMar>
            <w:vAlign w:val="center"/>
          </w:tcPr>
          <w:p>
            <w:pPr>
              <w:pStyle w:val="TableContents"/>
              <w:bidi w:val="0"/>
              <w:spacing w:before="0" w:after="283"/>
              <w:ind w:left="288" w:right="0" w:firstLine="288"/>
              <w:jc w:val="left"/>
              <w:rPr>
                <w:rFonts w:ascii="Arial" w:hAnsi="Arial"/>
                <w:i/>
                <w:color w:val="000000"/>
                <w:sz w:val="19"/>
              </w:rPr>
            </w:pPr>
            <w:r>
              <w:rPr>
                <w:rFonts w:ascii="Arial" w:hAnsi="Arial"/>
                <w:i/>
                <w:color w:val="000000"/>
                <w:sz w:val="19"/>
              </w:rPr>
              <w:t>President and Chief</w:t>
              <w:br/>
              <w:t>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2024</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6,677,117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218,700</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7,435,817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Jason Haas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2025</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500,000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777,646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202,500</w:t>
            </w:r>
          </w:p>
        </w:tc>
        <w:tc>
          <w:tcPr>
            <w:tcW w:w="22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1,480,146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0"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1899" w:type="dxa"/>
            <w:tcBorders/>
            <w:tcMar>
              <w:top w:w="0" w:type="dxa"/>
              <w:left w:w="0" w:type="dxa"/>
              <w:bottom w:w="0" w:type="dxa"/>
              <w:right w:w="0" w:type="dxa"/>
            </w:tcMar>
            <w:vAlign w:val="center"/>
          </w:tcPr>
          <w:p>
            <w:pPr>
              <w:pStyle w:val="TableContents"/>
              <w:bidi w:val="0"/>
              <w:spacing w:before="0" w:after="283"/>
              <w:ind w:left="288" w:right="0" w:firstLine="288"/>
              <w:jc w:val="left"/>
              <w:rPr>
                <w:rFonts w:ascii="Arial" w:hAnsi="Arial"/>
                <w:i/>
                <w:color w:val="000000"/>
                <w:sz w:val="19"/>
              </w:rPr>
            </w:pPr>
            <w:r>
              <w:rPr>
                <w:rFonts w:ascii="Arial" w:hAnsi="Arial"/>
                <w:i/>
                <w:color w:val="000000"/>
                <w:sz w:val="19"/>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2024</w:t>
            </w:r>
          </w:p>
        </w:tc>
        <w:tc>
          <w:tcPr>
            <w:tcW w:w="22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13,889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4,306,322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4,320,211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8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Collin Todd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2025</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467,541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144,900</w:t>
            </w:r>
          </w:p>
        </w:tc>
        <w:tc>
          <w:tcPr>
            <w:tcW w:w="220" w:type="dxa"/>
            <w:tcBorders/>
            <w:shd w:fill="CFF0FC" w:val="clear"/>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1,012,441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1899" w:type="dxa"/>
            <w:tcBorders/>
            <w:shd w:fill="CFF0FC" w:val="clear"/>
            <w:tcMar>
              <w:top w:w="0" w:type="dxa"/>
              <w:left w:w="0" w:type="dxa"/>
              <w:bottom w:w="0" w:type="dxa"/>
              <w:right w:w="0" w:type="dxa"/>
            </w:tcMar>
            <w:vAlign w:val="center"/>
          </w:tcPr>
          <w:p>
            <w:pPr>
              <w:pStyle w:val="TableContents"/>
              <w:bidi w:val="0"/>
              <w:spacing w:before="0" w:after="283"/>
              <w:ind w:left="288" w:right="0" w:firstLine="288"/>
              <w:jc w:val="left"/>
              <w:rPr>
                <w:rFonts w:ascii="Arial" w:hAnsi="Arial"/>
                <w:i/>
                <w:color w:val="000000"/>
                <w:sz w:val="19"/>
              </w:rPr>
            </w:pPr>
            <w:r>
              <w:rPr>
                <w:rFonts w:ascii="Arial" w:hAnsi="Arial"/>
                <w:i/>
                <w:color w:val="000000"/>
                <w:sz w:val="19"/>
              </w:rPr>
              <w:t>Senior Vice President,</w:t>
              <w:br/>
              <w:t>   Strategy and Business</w:t>
              <w:br/>
              <w: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ind w:left="0" w:right="9792" w:hanging="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pPr>
      <w:r>
        <w:rPr>
          <w:rFonts w:ascii="Arial" w:hAnsi="Arial"/>
          <w:color w:val="000000"/>
          <w:sz w:val="20"/>
        </w:rPr>
        <w:t>The amounts reported in the “Option Awards” column represent the aggregate grant date fair value of the stock options awarded to our named executive officers during the fiscal year ended December 31, 2025 and the incremental fair value associated with our stock option repricing on June 18, 2025, in each case, calculated in accordance with FASB ASC Topic 718. The assumptions used in calculating the grant date fair value of the awards reported in this column are set forth in Note 13 to our audited consolidated financial statements included elsewhere in this prospectus. The stock option repricing resulted in the exercise price of previously granted stock options held by our named executive officers being decreased to $3.98 per share, which represented the fair market value of our common stock on the repricing date as determined by our board of directors. The amounts reported in this column reflect the compensation expense recognized under FASB ASC Topic 718 for the stock options and do not reflect the actual economic value that will be realized by the individual upon the vesting of the stock options, the exercise of the stock options or the sale of the common stock underlying such awards. See the subsection “—</w:t>
      </w:r>
      <w:r>
        <w:rPr>
          <w:rFonts w:ascii="Arial" w:hAnsi="Arial"/>
          <w:i/>
          <w:color w:val="000000"/>
          <w:sz w:val="20"/>
        </w:rPr>
        <w:t>Equity Benefit Plans</w:t>
      </w:r>
      <w:r>
        <w:rPr>
          <w:color w:val="000000"/>
        </w:rPr>
        <w:t xml:space="preserve">” </w:t>
      </w:r>
      <w:r>
        <w:rPr>
          <w:rFonts w:ascii="Arial" w:hAnsi="Arial"/>
          <w:color w:val="000000"/>
          <w:sz w:val="20"/>
        </w:rPr>
        <w:t xml:space="preserve">below. </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spacing w:before="0" w:after="0"/>
        <w:jc w:val="left"/>
        <w:rPr>
          <w:rFonts w:ascii="Arial" w:hAnsi="Arial"/>
          <w:color w:val="000000"/>
          <w:sz w:val="20"/>
        </w:rPr>
      </w:pPr>
      <w:r>
        <w:rPr>
          <w:rFonts w:ascii="Arial" w:hAnsi="Arial"/>
          <w:color w:val="000000"/>
          <w:sz w:val="20"/>
        </w:rPr>
        <w:t>The amounts reported represent the annual bonus earned based on certain criteria determined by our board of directors and previously communicated to the officers during the year ended December 31, 2025 and 2024, as applicable.</w:t>
      </w:r>
    </w:p>
    <w:p>
      <w:pPr>
        <w:pStyle w:val="TextBody"/>
        <w:bidi w:val="0"/>
        <w:spacing w:before="0" w:after="0"/>
        <w:jc w:val="left"/>
        <w:rPr>
          <w:rFonts w:ascii="Arial" w:hAnsi="Arial"/>
          <w:color w:val="000000"/>
          <w:sz w:val="20"/>
        </w:rPr>
      </w:pPr>
      <w:r>
        <w:rPr>
          <w:rFonts w:ascii="Arial" w:hAnsi="Arial"/>
          <w:color w:val="000000"/>
          <w:sz w:val="20"/>
        </w:rPr>
        <w:t>(3)</w:t>
      </w:r>
    </w:p>
    <w:p>
      <w:pPr>
        <w:pStyle w:val="TextBody"/>
        <w:bidi w:val="0"/>
        <w:spacing w:before="0" w:after="0"/>
        <w:jc w:val="left"/>
        <w:rPr>
          <w:rFonts w:ascii="Arial" w:hAnsi="Arial"/>
          <w:color w:val="000000"/>
          <w:sz w:val="20"/>
        </w:rPr>
      </w:pPr>
      <w:r>
        <w:rPr>
          <w:rFonts w:ascii="Arial" w:hAnsi="Arial"/>
          <w:color w:val="000000"/>
          <w:sz w:val="20"/>
        </w:rPr>
        <w:t>In 2025, Dr. Glick advised our board of directors that, to support employee retention initiatives put into effect during 2025, he had elected to forego any annual bonus he might otherwise have been entitled to for 2025 based upon the achievement of certain criteria determined by our board of directors and previously communicated to Dr. Glick. Accordingly, Dr. Glick did not receive an annual bonus in 2025. Had our board of directors considered Dr. Glick for an annual bonus for 2025, he would have been entitled to receive an annual bonus of up to $226,355.</w:t>
      </w:r>
    </w:p>
    <w:p>
      <w:pPr>
        <w:pStyle w:val="TextBody"/>
        <w:bidi w:val="0"/>
        <w:spacing w:before="0" w:after="0"/>
        <w:jc w:val="left"/>
        <w:rPr>
          <w:rFonts w:ascii="Arial" w:hAnsi="Arial"/>
          <w:color w:val="000000"/>
          <w:sz w:val="20"/>
        </w:rPr>
      </w:pPr>
      <w:r>
        <w:rPr>
          <w:rFonts w:ascii="Arial" w:hAnsi="Arial"/>
          <w:color w:val="000000"/>
          <w:sz w:val="20"/>
        </w:rPr>
        <w:t>(4)</w:t>
      </w:r>
    </w:p>
    <w:p>
      <w:pPr>
        <w:pStyle w:val="TextBody"/>
        <w:bidi w:val="0"/>
        <w:jc w:val="left"/>
        <w:rPr>
          <w:rFonts w:ascii="Arial" w:hAnsi="Arial"/>
          <w:color w:val="000000"/>
          <w:sz w:val="20"/>
        </w:rPr>
      </w:pPr>
      <w:r>
        <w:rPr>
          <w:rFonts w:ascii="Arial" w:hAnsi="Arial"/>
          <w:color w:val="000000"/>
          <w:sz w:val="20"/>
        </w:rPr>
        <w:t xml:space="preserve">Mr. Haas was hired as our Chief Financial Officer in December 2024. </w:t>
      </w:r>
    </w:p>
    <w:p>
      <w:pPr>
        <w:pStyle w:val="TextBody"/>
        <w:bidi w:val="0"/>
        <w:spacing w:before="240" w:after="283"/>
        <w:jc w:val="left"/>
        <w:rPr>
          <w:rFonts w:ascii="Times New Roman" w:hAnsi="Times New Roman"/>
          <w:sz w:val="20"/>
        </w:rPr>
      </w:pPr>
      <w:r>
        <w:rPr>
          <w:rFonts w:ascii="Arial" w:hAnsi="Arial"/>
          <w:b/>
          <w:color w:val="000000"/>
          <w:sz w:val="20"/>
        </w:rPr>
        <w:t>Employment Arrangements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Below are descriptions of employment agreements with our named executive officers. For a discussion of the severance pay and other benefits to be provided in connection with a termination of employment and/or a change in control of the Company under the arrangements with our named executive officers, see the subsection titled “—</w:t>
      </w:r>
      <w:r>
        <w:rPr>
          <w:rFonts w:ascii="Arial" w:hAnsi="Arial"/>
          <w:i/>
          <w:color w:val="000000"/>
          <w:sz w:val="20"/>
        </w:rPr>
        <w:t>Potential Payments upon Termination or Change in Control</w:t>
      </w:r>
      <w:r>
        <w:rPr>
          <w:rFonts w:ascii="Times New Roman" w:hAnsi="Times New Roman"/>
          <w:color w:val="000000"/>
          <w:sz w:val="20"/>
        </w:rPr>
        <w:t xml:space="preserve">” </w:t>
      </w:r>
      <w:r>
        <w:rPr>
          <w:rFonts w:ascii="Arial" w:hAnsi="Arial"/>
          <w:color w:val="000000"/>
          <w:sz w:val="20"/>
        </w:rPr>
        <w:t>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Gary D. Glick, Ph.D.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On December 28, 2024, we entered into an executive employment agreement with Dr. Glick, or the Existing Glick Employment Agreement, that took effect as of January 1, 2025. The Existing Glick Employment Agreement superseded a prior employment agreement that governed the terms of Dr. Glick’s employment by us, including his salary and bonus.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The Existing Glick Employment Agreement sets forth the terms of Dr. Glick’s employment as our President and Chief Executive Officer and provides for Dr. Glick’s service to us on an at-will basis. The Existing Glick Employment Agreement includes an initial base salary of $540,000, as may be adjusted from time to time. Dr. Glick is also eligible to earn an annual bonus, with a target of 45% of his annual salary, as determined by the board of directors (or the compensation committee of the board of directors), in its sole discretion, and subject to Dr. Glick’s continued service through the date of payment (except as described under the subsection titled “—</w:t>
      </w:r>
      <w:r>
        <w:rPr>
          <w:rFonts w:ascii="Arial" w:hAnsi="Arial"/>
          <w:i/>
          <w:color w:val="000000"/>
          <w:sz w:val="20"/>
        </w:rPr>
        <w:t>Potential Payments upon Termination or Change in Control</w:t>
      </w:r>
      <w:r>
        <w:rPr>
          <w:rFonts w:ascii="Times New Roman" w:hAnsi="Times New Roman"/>
          <w:color w:val="000000"/>
          <w:sz w:val="20"/>
        </w:rPr>
        <w:t xml:space="preserve">” </w:t>
      </w:r>
      <w:r>
        <w:rPr>
          <w:rFonts w:ascii="Arial" w:hAnsi="Arial"/>
          <w:color w:val="000000"/>
          <w:sz w:val="20"/>
        </w:rPr>
        <w:t>below).</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Dr. Glick is eligible to participate in the employee benefit plans and programs available to our employees, including our equity incentive plan, subject to the terms of such plans. We also agreed to reimburse Dr. Glick for travel and other business expenses reasonably incurred in connection with the performance of Dr. Glick’s duties under the Existing Glick Employment Agreement.We also entered into a stock restriction agreement with Dr. Glick which granted us a right to repurchase certain shares of common stock held by Dr. Glick subject to vesting. All of the shares subject to vesting pursuant to the stock restriction agreement were vested as of April 30, 2026.</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Dr. Glick has entered into a Confidentiality and Assignment of Inventions Agreement that contains various restrictive covenants, including confidentiality, non-competition and non-solicitation, and which also provides for the assignment of certain intellectual property rights from Dr. Glick to us, among other things.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On April 28, 2026, Dr. Glick entered into a new executive employment agreement, or the Glick Employment Agreement, that will take effect as of the day prior to, and is conditional upon, the public listing of our common stock and will supersede the Existing Glick Employment Agreement. The terms of the Glick Employment Agreement are largely consistent with the terms of the Existing Glick Employment Agreement other than that Dr. Glick's initial base salary will be $709,000, as may be adjusted from time to time, and Dr. Glick's initial target bonus will be 55% of his annual salary, as determined by the board of directors (or the compensation committee of the board of directors). Dr. Glick is entitled to certain termination benefits pursuant to the Glick Employment Agreement, as described in greater detail in the subsection titled “—</w:t>
      </w:r>
      <w:r>
        <w:rPr>
          <w:rFonts w:ascii="Arial" w:hAnsi="Arial"/>
          <w:i/>
          <w:color w:val="000000"/>
          <w:sz w:val="20"/>
        </w:rPr>
        <w:t>Potential Payments upon Termination or Change in Control</w:t>
      </w:r>
      <w:r>
        <w:rPr>
          <w:rFonts w:ascii="Times New Roman" w:hAnsi="Times New Roman"/>
          <w:color w:val="000000"/>
          <w:sz w:val="20"/>
        </w:rPr>
        <w:t xml:space="preserve">” </w:t>
      </w:r>
      <w:r>
        <w:rPr>
          <w:rFonts w:ascii="Arial" w:hAnsi="Arial"/>
          <w:color w:val="000000"/>
          <w:sz w:val="20"/>
        </w:rPr>
        <w:t>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Jason Haas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On April 27, 2026, we entered into an executive employment agreement with Mr. Haas, or the Haas Employment Agreement, that will take effect as of the day prior to, and is conditional upon, the public listing of our common stock. Prior to the effectiveness of the Haas Employment Agreement, the terms of Mr. Haas’ employment by us, including his salary and bonus, were governed by an offer letter. The Haas Employment Agreement sets forth the terms of Mr. Haas’ employment as our Chief Financial Officer. The Haas Employment Agreement provides for Mr. Haas’ service to us on an at-will basis. The Haas Employment Agreement provides for an initial base salary of $515,000, as may be adjusted from time to time. Mr. Haas is also eligible to earn an annual bonus, with an initial target of 45% of his annual salary, as determined by our board of directors (or the Compensation Committee), in its sole discretion, and subject to Mr. Haas’ continued service through the date of payment (except as described under the subsection titled “—</w:t>
      </w:r>
      <w:r>
        <w:rPr>
          <w:rFonts w:ascii="Arial" w:hAnsi="Arial"/>
          <w:i/>
          <w:color w:val="000000"/>
          <w:sz w:val="20"/>
        </w:rPr>
        <w:t>Potential Payments upon Termination or Change in Control</w:t>
      </w:r>
      <w:r>
        <w:rPr>
          <w:rFonts w:ascii="Times New Roman" w:hAnsi="Times New Roman"/>
          <w:color w:val="000000"/>
          <w:sz w:val="20"/>
        </w:rPr>
        <w:t xml:space="preserve">” </w:t>
      </w:r>
      <w:r>
        <w:rPr>
          <w:rFonts w:ascii="Arial" w:hAnsi="Arial"/>
          <w:color w:val="000000"/>
          <w:sz w:val="20"/>
        </w:rPr>
        <w:t>below, or as otherwise provided for in any applicable annual bonus plan or policy or otherwise determined by the Company). Mr. Haas is eligible to participate in the employee benefit plans and programs available to our employees, including our equity incentive plan, subject to the terms of such plans. We also agreed to reimburse Mr. Haas for travel and other business expenses reasonably incurred in connection with the performance of Mr. Haas’ duties under the Haas Employment Agreement. Mr. Haas is entitled to certain termination benefits pursuant to the Haas Employment Agreement, as described in greater detail in the subsection titled “—</w:t>
      </w:r>
      <w:r>
        <w:rPr>
          <w:rFonts w:ascii="Arial" w:hAnsi="Arial"/>
          <w:i/>
          <w:color w:val="000000"/>
          <w:sz w:val="20"/>
        </w:rPr>
        <w:t>Potential Payments upon Termination or Change in Control</w:t>
      </w:r>
      <w:r>
        <w:rPr>
          <w:rFonts w:ascii="Times New Roman" w:hAnsi="Times New Roman"/>
          <w:color w:val="000000"/>
          <w:sz w:val="20"/>
        </w:rPr>
        <w:t xml:space="preserve">” </w:t>
      </w:r>
      <w:r>
        <w:rPr>
          <w:rFonts w:ascii="Arial" w:hAnsi="Arial"/>
          <w:color w:val="000000"/>
          <w:sz w:val="20"/>
        </w:rPr>
        <w:t>below.</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Mr. Haas has entered into a Confidentiality and Assignment of Inventions Agreement that contains various restrictive covenants, including confidentiality, non-competition and non-solicitation, and which also provides for the assignment of certain intellectual property rights from Mr. Haas to us, among other things.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Collin Todd</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On April 27, 2026, we entered into an executive employment agreement with Mr. Todd, or the Todd Employment Agreement, that will take effect as of the day prior to, and is conditional upon, the public listing of our common stock. Prior to the effectiveness of the Todd Employment Agreement, the terms of Mr. Todd’s employment by us, including his salary and bonus, were governed by an offer letter. The Todd Employment Agreement sets forth the terms of Mr. Todd’s employment as our Senior Vice President, Strategy and Business Development. The Todd Employment Agreement provides for Mr. Todd’s service to us on an at-will basis. The Todd Employment Agreement provides for an initial base salary of $412,000, as may be adjusted from time to time. Mr. Todd is also eligible to earn an annual bonus, with an initial target of 35% of his annual salary, as determined by our board of directors (or the Compensation Committee), in its sole discretion, and subject to Mr. Todd’s continued service through the date of payment (except as described under the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subsection titled “—</w:t>
      </w:r>
      <w:r>
        <w:rPr>
          <w:rFonts w:ascii="Arial" w:hAnsi="Arial"/>
          <w:i/>
          <w:color w:val="000000"/>
          <w:sz w:val="20"/>
        </w:rPr>
        <w:t>Potential Payments upon Termination or Change in Control</w:t>
      </w:r>
      <w:r>
        <w:rPr>
          <w:rFonts w:ascii="Times New Roman" w:hAnsi="Times New Roman"/>
          <w:color w:val="000000"/>
          <w:sz w:val="20"/>
        </w:rPr>
        <w:t xml:space="preserve">” </w:t>
      </w:r>
      <w:r>
        <w:rPr>
          <w:rFonts w:ascii="Arial" w:hAnsi="Arial"/>
          <w:color w:val="000000"/>
          <w:sz w:val="20"/>
        </w:rPr>
        <w:t>below, or as otherwise provided for in any applicable annual bonus plan or policy or otherwise determined by the Company). Mr. Todd is eligible to participate in the employee benefit plans and programs available to our employees, including our equity incentive plan, subject to the terms of such plans. The Todd Employment Agreement also provides that, if Mr. Todd leads certain corporate out</w:t>
        <w:noBreakHyphen/>
        <w:t>licensing or partnering transactions that result in the Company receiving a qualifying unrestricted upfront payment, Mr. Todd would be eligible to receive an equity award pursuant to the Company’s equity incentive arrangements. We also agreed to reimburse Mr. Todd for travel and other business expenses reasonably incurred in connection with the performance of Mr. Todd’s duties under the Todd Employment Agreement. Mr. Todd is entitled to certain termination benefits pursuant to the Todd Employment Agreement, as described in greater detail in the subsection titled “—</w:t>
      </w:r>
      <w:r>
        <w:rPr>
          <w:rFonts w:ascii="Arial" w:hAnsi="Arial"/>
          <w:i/>
          <w:color w:val="000000"/>
          <w:sz w:val="20"/>
        </w:rPr>
        <w:t>Potential Payments upon Termination or Change in Control</w:t>
      </w:r>
      <w:r>
        <w:rPr>
          <w:rFonts w:ascii="Times New Roman" w:hAnsi="Times New Roman"/>
          <w:color w:val="000000"/>
          <w:sz w:val="20"/>
        </w:rPr>
        <w:t xml:space="preserve">” </w:t>
      </w:r>
      <w:r>
        <w:rPr>
          <w:rFonts w:ascii="Arial" w:hAnsi="Arial"/>
          <w:color w:val="000000"/>
          <w:sz w:val="20"/>
        </w:rPr>
        <w:t>below.</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Mr. Todd has entered into a Confidentiality and Assignment of Inventions Agreement that contains various restrictive covenants, including confidentiality, non-competition and non-solicitation, and which also provides for the assignment of certain intellectual property rights from Mr. Todd to us, among other things.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Potential Payments Upon Termination or Change in Control</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If the employment of any of our named executive officers terminates for any reason, we will pay such named executive officer (or his or her estate or legal representative, if applicable), any base salary earned through the termination date, any unpaid expense reimbursements, any accrued and used vacation, and any vested benefits he or she may have under any of our employee benefit plans.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Gary D. Glick, Ph.D.</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Under the Glick Employment Agreement, if Dr. Glick resigns for good reason (as defined in the Glick Employment Agreement), Dr. Glick will be entitled to receive, subject to his execution and non-revocation of a separation and release agreement with us, (i) 12 months of base salary continuation, payable in accordance with our normal payroll practices, (ii) any unpaid annual bonus in respect of the year prior to the year of termination, paid in a lump sum, (iii) a pro-rated target annual bonus in respect of the year of termination, paid in a lump sum, (iv) payment of the full amount of premiums for COBRA continuation coverage for up to 12 months, and (v) accelerated vesting of his unvested shares of our capital stock and unvested equity awards (with any performance-based vesting conditions deemed to be satisfied at their target achievement levels).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the event that Dr. Glick’s employment is terminated without cause (as defined in the Glick Employment Agreement), subject to his execution and non-revocation of a separation and release agreement with us and his agreement to extend his non-competition period until the 12-month anniversary of the termination, Dr. Glick will also be entitled to the benefits described above.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If Dr. Glick (i) is subject to the non-competition provision of his Confidentiality and Assignment of Inventions Agreement following termination of his employment, and (ii) is not receiving the severance benefits described above, we would be required to pay him an amount equal to 12 months of his base salary in four equal installments during the 12-month non-competition period.</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the event that Dr. Glick’s employment is terminated due to death or disability, 50% of any shares of our capital stock and any equity incentive awards held by Dr. Glick, in each case which have not vested, shall vest.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Payments and benefits provided to Dr. Glick in connection with a change in control may not be eligible for a federal income tax deduction by us pursuant to Section 280G of the Code. These payments and benefits may also subject Dr. Glick to an excise tax under Section 4999 of the Code. If these payments and benefits would be subject to the excise tax imposed under Section 4999 of the Code, then such payments and benefits will be reduced if such reduction would result in a higher net after-tax benefit to Dr. Glick.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Jason Haas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Under the Haas Employment Agreement, if Mr. Haas resigns for good reason (as defined in the Haas Employment Agreement), Mr. Haas will be entitled to receive, subject to his execution and non-revocation of a separation and release agreement with us, (i) twelve months of base salary continuation, payable in accordance with our normal payroll practices, and (ii) payment of the full amount of premiums for COBRA continuation coverage for up to twelve months. If such resignation occurs within three months prior to or within twelve months following a change in control (as defined in the Haas Employment Agreement), Mr. Haas will additionally be entitled to receive accelerated vesting of his unvested equity awards (with any performance-based vesting conditions deemed to be satisfied at their target achievement levels).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the event that Mr. Haas’ employment is terminated without cause (as defined in the Haas Employment Agreement), subject to his execution and non-revocation of a separation and release agreement with us and his agreement to extend his non-compete period until the 12-month anniversary of the termination, Mr. Haas will also be entitled to the benefits described above.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the event that Mr. Haas’ employment is terminated, other than for cause, following the end of a calendar year and before annual bonuses for such prior calendar year are paid, we will pay Mr. Haas any unpaid annual bonus in respect of such prior calendar year, calculated in the same manner that is used to calculate bonuses for our other employees.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Payments and benefits provided to Mr. Haas in connection with a change in control may not be eligible for a federal income tax deduction by us pursuant to Section 280G of the Code. These payments and benefits may also subject Mr. Haas to an excise tax under Section 4999 of the Code. If these payments and benefits would be subject to the excise tax imposed under Section 4999 of the Code, then such payments and benefits will be reduced if such reduction would result in a higher net after-tax benefit to Mr. Haas.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Collin Todd</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Under the Todd Employment Agreement, if Mr. Todd resigns for good reason (as defined in the Todd Employment Agreement), Mr. Todd will be entitled to receive, subject to his execution and non-revocation of a separation and release agreement with us, (i) six months of base salary continuation, payable in accordance with our normal payroll practices, and (ii) payment of the full amount of premiums for COBRA continuation coverage for up to six months. If such resignation occurs within three months prior to or within twelve months following a change in control (as defined in the Todd Employment Agreement), Mr. Todd will additionally be entitled to receive accelerated vesting of his unvested equity awards (with any performance-based vesting conditions deemed to be satisfied at their target achievement levels).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the event that Mr. Todd’s employment is terminated without cause (as defined in the Todd Employment Agreement), subject to his execution and non-revocation of a separation and release agreement with us, Mr. Todd will also be entitled to the benefits described above.</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In the event that Mr. Todd's employment is terminated, other than for cause, following the end of a calendar year and before annual bonuses for such prior calendar year are paid, we will pay Mr. Todd any unpaid annual bonus in respect of such prior calendar year, calculated in the same manner that is used to calculate bonuses for our other employees.</w:t>
      </w:r>
    </w:p>
    <w:p>
      <w:pPr>
        <w:pStyle w:val="TextBody"/>
        <w:bidi w:val="0"/>
        <w:spacing w:before="0" w:after="283"/>
        <w:jc w:val="left"/>
        <w:rPr/>
      </w:pPr>
      <w:r>
        <w:rPr/>
      </w:r>
    </w:p>
    <w:p>
      <w:pPr>
        <w:pStyle w:val="TextBody"/>
        <w:bidi w:val="0"/>
        <w:spacing w:before="120" w:after="283"/>
        <w:ind w:left="0" w:right="0" w:firstLine="612"/>
        <w:jc w:val="left"/>
        <w:rPr>
          <w:rFonts w:ascii="Times New Roman" w:hAnsi="Times New Roman"/>
          <w:sz w:val="20"/>
        </w:rPr>
      </w:pPr>
      <w:r>
        <w:rPr>
          <w:rFonts w:ascii="Arial" w:hAnsi="Arial"/>
          <w:color w:val="000000"/>
          <w:sz w:val="20"/>
        </w:rPr>
        <w:t>Payments and benefits provided to Mr. Todd in connection with a change in control may not be eligible for a federal income tax deduction by us pursuant to Section 280G of the Code. These payments and benefits may also subject Mr. Todd to an excise tax under Section 4999 of the Code. If these payments and benefits would be subject to the excise tax imposed under Section 4999 of the Code, then such payments and benefits will be reduced if such reduction would result in a higher net after-tax benefit to Mr. Todd.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Perquisites, Health, Welfare and Retirement Plans and Benefits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All of our named executive officers are eligible to participate in our employee benefit plans, including medical, dental, vision, disability, life insurance and 401(k) plans, offered to other employees of the Company. We generally do not provide perquisites or personal benefits to our named executive officers, except in limited circumstances. Our board of directors may elect to adopt qualified or non-qualified benefit plans in the future if it determines that doing so is in our best interests.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Option Repricing</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On June 18, 2025, our board of directors approved the repricing of certain outstanding stock options held by executive officers, employees and directors with per-share exercise prices above the then-current fair market value, as determined by a third-party valuation performed on June 8, 2025. The repricing reduced the exercise prices of such options, which had ranged from $23.03 to $32.07, to $3.98, the fair market value of our common stock as determined by our board of directors on the date of the repricing. The repricing was intended to motivate holders of options to continue to provide services to our company and to work towards our success.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Outstanding Equity Awards at Fiscal Year-End 2025</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following table presents certain information concerning outstanding equity awards held by each of our named executive officers at December 31, 2025:</w:t>
      </w:r>
      <w:r>
        <w:rPr>
          <w:rFonts w:ascii="Times New Roman" w:hAnsi="Times New Roman"/>
          <w:color w:val="000000"/>
          <w:sz w:val="20"/>
        </w:rPr>
        <w:t xml:space="preserve"> </w:t>
      </w:r>
    </w:p>
    <w:p>
      <w:pPr>
        <w:pStyle w:val="TextBody"/>
        <w:bidi w:val="0"/>
        <w:ind w:left="0" w:right="0" w:firstLine="619"/>
        <w:jc w:val="left"/>
        <w:rPr/>
      </w:pPr>
      <w:r>
        <w:rPr/>
        <w:t> </w:t>
      </w:r>
    </w:p>
    <w:tbl>
      <w:tblPr>
        <w:tblW w:w="9866" w:type="dxa"/>
        <w:jc w:val="left"/>
        <w:tblInd w:w="0" w:type="dxa"/>
        <w:tblLayout w:type="fixed"/>
        <w:tblCellMar>
          <w:top w:w="28" w:type="dxa"/>
          <w:left w:w="28" w:type="dxa"/>
          <w:bottom w:w="28" w:type="dxa"/>
          <w:right w:w="28" w:type="dxa"/>
        </w:tblCellMar>
      </w:tblPr>
      <w:tblGrid>
        <w:gridCol w:w="2386"/>
        <w:gridCol w:w="146"/>
        <w:gridCol w:w="916"/>
        <w:gridCol w:w="146"/>
        <w:gridCol w:w="1016"/>
        <w:gridCol w:w="395"/>
        <w:gridCol w:w="146"/>
        <w:gridCol w:w="1081"/>
        <w:gridCol w:w="146"/>
        <w:gridCol w:w="1261"/>
        <w:gridCol w:w="146"/>
        <w:gridCol w:w="196"/>
        <w:gridCol w:w="421"/>
        <w:gridCol w:w="211"/>
        <w:gridCol w:w="146"/>
        <w:gridCol w:w="916"/>
        <w:gridCol w:w="191"/>
      </w:tblGrid>
      <w:tr>
        <w:trPr/>
        <w:tc>
          <w:tcPr>
            <w:tcW w:w="23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16" w:type="dxa"/>
            <w:tcBorders/>
            <w:shd w:fill="FFFFFF" w:val="clear"/>
            <w:vAlign w:val="center"/>
          </w:tcPr>
          <w:p>
            <w:pPr>
              <w:pStyle w:val="TableContents"/>
              <w:bidi w:val="0"/>
              <w:spacing w:before="0" w:after="283"/>
              <w:jc w:val="left"/>
              <w:rPr>
                <w:sz w:val="4"/>
                <w:szCs w:val="4"/>
              </w:rPr>
            </w:pPr>
            <w:r>
              <w:rPr>
                <w:sz w:val="4"/>
                <w:szCs w:val="4"/>
              </w:rPr>
            </w:r>
          </w:p>
        </w:tc>
        <w:tc>
          <w:tcPr>
            <w:tcW w:w="39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34" w:type="dxa"/>
            <w:gridSpan w:val="1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Option Awards</w:t>
            </w:r>
            <w:r>
              <w:rPr>
                <w:rFonts w:ascii="Arial" w:hAnsi="Arial"/>
                <w:b/>
                <w:color w:val="000000"/>
                <w:sz w:val="8"/>
              </w:rPr>
              <w:t>(1)</w:t>
            </w:r>
            <w:r>
              <w:rPr>
                <w:rFonts w:ascii="Times New Roman" w:hAnsi="Times New Roman"/>
                <w:color w:val="000000"/>
                <w:sz w:val="16"/>
              </w:rPr>
              <w:t xml:space="preserve"> </w:t>
            </w:r>
          </w:p>
        </w:tc>
      </w:tr>
      <w:tr>
        <w:trPr/>
        <w:tc>
          <w:tcPr>
            <w:tcW w:w="23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Arial" w:hAnsi="Arial"/>
                <w:b/>
                <w:color w:val="000000"/>
                <w:sz w:val="16"/>
              </w:rPr>
              <w:t>Name</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Grant</w:t>
            </w:r>
            <w:r>
              <w:rPr>
                <w:rFonts w:ascii="Arial" w:hAnsi="Arial"/>
                <w:color w:val="000000"/>
                <w:sz w:val="16"/>
              </w:rPr>
              <w:br/>
            </w:r>
            <w:r>
              <w:rPr>
                <w:rFonts w:ascii="Arial" w:hAnsi="Arial"/>
                <w:b/>
                <w:color w:val="000000"/>
                <w:sz w:val="16"/>
              </w:rPr>
              <w:t>Date</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1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Vesting</w:t>
            </w:r>
            <w:r>
              <w:rPr>
                <w:rFonts w:ascii="Arial" w:hAnsi="Arial"/>
                <w:color w:val="000000"/>
                <w:sz w:val="16"/>
              </w:rPr>
              <w:br/>
            </w:r>
            <w:r>
              <w:rPr>
                <w:rFonts w:ascii="Arial" w:hAnsi="Arial"/>
                <w:b/>
                <w:color w:val="000000"/>
                <w:sz w:val="16"/>
              </w:rPr>
              <w:t>Commencement</w:t>
            </w:r>
            <w:r>
              <w:rPr>
                <w:rFonts w:ascii="Arial" w:hAnsi="Arial"/>
                <w:color w:val="000000"/>
                <w:sz w:val="16"/>
              </w:rPr>
              <w:br/>
            </w:r>
            <w:r>
              <w:rPr>
                <w:rFonts w:ascii="Arial" w:hAnsi="Arial"/>
                <w:b/>
                <w:color w:val="000000"/>
                <w:sz w:val="16"/>
              </w:rPr>
              <w:t>Date</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Number of</w:t>
            </w:r>
            <w:r>
              <w:rPr>
                <w:rFonts w:ascii="Arial" w:hAnsi="Arial"/>
                <w:color w:val="000000"/>
                <w:sz w:val="16"/>
              </w:rPr>
              <w:br/>
            </w:r>
            <w:r>
              <w:rPr>
                <w:rFonts w:ascii="Arial" w:hAnsi="Arial"/>
                <w:b/>
                <w:color w:val="000000"/>
                <w:sz w:val="16"/>
              </w:rPr>
              <w:t>Securities</w:t>
            </w:r>
            <w:r>
              <w:rPr>
                <w:rFonts w:ascii="Arial" w:hAnsi="Arial"/>
                <w:color w:val="000000"/>
                <w:sz w:val="16"/>
              </w:rPr>
              <w:br/>
            </w:r>
            <w:r>
              <w:rPr>
                <w:rFonts w:ascii="Arial" w:hAnsi="Arial"/>
                <w:b/>
                <w:color w:val="000000"/>
                <w:sz w:val="16"/>
              </w:rPr>
              <w:t>Underlying</w:t>
            </w:r>
            <w:r>
              <w:rPr>
                <w:rFonts w:ascii="Arial" w:hAnsi="Arial"/>
                <w:color w:val="000000"/>
                <w:sz w:val="16"/>
              </w:rPr>
              <w:br/>
            </w:r>
            <w:r>
              <w:rPr>
                <w:rFonts w:ascii="Arial" w:hAnsi="Arial"/>
                <w:b/>
                <w:color w:val="000000"/>
                <w:sz w:val="16"/>
              </w:rPr>
              <w:t>Unexercised</w:t>
            </w:r>
            <w:r>
              <w:rPr>
                <w:rFonts w:ascii="Arial" w:hAnsi="Arial"/>
                <w:color w:val="000000"/>
                <w:sz w:val="16"/>
              </w:rPr>
              <w:br/>
            </w:r>
            <w:r>
              <w:rPr>
                <w:rFonts w:ascii="Arial" w:hAnsi="Arial"/>
                <w:b/>
                <w:color w:val="000000"/>
                <w:sz w:val="16"/>
              </w:rPr>
              <w:t>Options (#)</w:t>
            </w:r>
            <w:r>
              <w:rPr>
                <w:rFonts w:ascii="Arial" w:hAnsi="Arial"/>
                <w:color w:val="000000"/>
                <w:sz w:val="16"/>
              </w:rPr>
              <w:br/>
            </w:r>
            <w:r>
              <w:rPr>
                <w:rFonts w:ascii="Arial" w:hAnsi="Arial"/>
                <w:b/>
                <w:color w:val="000000"/>
                <w:sz w:val="16"/>
              </w:rPr>
              <w:t>Exercisable</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Number of</w:t>
            </w:r>
            <w:r>
              <w:rPr>
                <w:rFonts w:ascii="Arial" w:hAnsi="Arial"/>
                <w:color w:val="000000"/>
                <w:sz w:val="16"/>
              </w:rPr>
              <w:br/>
            </w:r>
            <w:r>
              <w:rPr>
                <w:rFonts w:ascii="Arial" w:hAnsi="Arial"/>
                <w:b/>
                <w:color w:val="000000"/>
                <w:sz w:val="16"/>
              </w:rPr>
              <w:t>Securities</w:t>
            </w:r>
            <w:r>
              <w:rPr>
                <w:rFonts w:ascii="Arial" w:hAnsi="Arial"/>
                <w:color w:val="000000"/>
                <w:sz w:val="16"/>
              </w:rPr>
              <w:br/>
            </w:r>
            <w:r>
              <w:rPr>
                <w:rFonts w:ascii="Arial" w:hAnsi="Arial"/>
                <w:b/>
                <w:color w:val="000000"/>
                <w:sz w:val="16"/>
              </w:rPr>
              <w:t>Underlying</w:t>
            </w:r>
            <w:r>
              <w:rPr>
                <w:rFonts w:ascii="Arial" w:hAnsi="Arial"/>
                <w:color w:val="000000"/>
                <w:sz w:val="16"/>
              </w:rPr>
              <w:br/>
            </w:r>
            <w:r>
              <w:rPr>
                <w:rFonts w:ascii="Arial" w:hAnsi="Arial"/>
                <w:b/>
                <w:color w:val="000000"/>
                <w:sz w:val="16"/>
              </w:rPr>
              <w:t>Unexercised</w:t>
            </w:r>
            <w:r>
              <w:rPr>
                <w:rFonts w:ascii="Arial" w:hAnsi="Arial"/>
                <w:color w:val="000000"/>
                <w:sz w:val="16"/>
              </w:rPr>
              <w:br/>
            </w:r>
            <w:r>
              <w:rPr>
                <w:rFonts w:ascii="Arial" w:hAnsi="Arial"/>
                <w:b/>
                <w:color w:val="000000"/>
                <w:sz w:val="16"/>
              </w:rPr>
              <w:t>Options (#)</w:t>
            </w:r>
            <w:r>
              <w:rPr>
                <w:rFonts w:ascii="Arial" w:hAnsi="Arial"/>
                <w:color w:val="000000"/>
                <w:sz w:val="16"/>
              </w:rPr>
              <w:br/>
            </w:r>
            <w:r>
              <w:rPr>
                <w:rFonts w:ascii="Arial" w:hAnsi="Arial"/>
                <w:b/>
                <w:color w:val="000000"/>
                <w:sz w:val="16"/>
              </w:rPr>
              <w:t>Unexercisable</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Option</w:t>
            </w:r>
            <w:r>
              <w:rPr>
                <w:rFonts w:ascii="Arial" w:hAnsi="Arial"/>
                <w:color w:val="000000"/>
                <w:sz w:val="16"/>
              </w:rPr>
              <w:br/>
            </w:r>
            <w:r>
              <w:rPr>
                <w:rFonts w:ascii="Arial" w:hAnsi="Arial"/>
                <w:b/>
                <w:color w:val="000000"/>
                <w:sz w:val="16"/>
              </w:rPr>
              <w:t>Exercise</w:t>
            </w:r>
            <w:r>
              <w:rPr>
                <w:rFonts w:ascii="Arial" w:hAnsi="Arial"/>
                <w:color w:val="000000"/>
                <w:sz w:val="16"/>
              </w:rPr>
              <w:br/>
            </w:r>
            <w:r>
              <w:rPr>
                <w:rFonts w:ascii="Arial" w:hAnsi="Arial"/>
                <w:b/>
                <w:color w:val="000000"/>
                <w:sz w:val="16"/>
              </w:rPr>
              <w:t>Price ($)</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Option</w:t>
            </w:r>
            <w:r>
              <w:rPr>
                <w:rFonts w:ascii="Arial" w:hAnsi="Arial"/>
                <w:color w:val="000000"/>
                <w:sz w:val="16"/>
              </w:rPr>
              <w:br/>
            </w:r>
            <w:r>
              <w:rPr>
                <w:rFonts w:ascii="Arial" w:hAnsi="Arial"/>
                <w:b/>
                <w:color w:val="000000"/>
                <w:sz w:val="16"/>
              </w:rPr>
              <w:t>Expiration</w:t>
            </w:r>
            <w:r>
              <w:rPr>
                <w:rFonts w:ascii="Arial" w:hAnsi="Arial"/>
                <w:color w:val="000000"/>
                <w:sz w:val="16"/>
              </w:rPr>
              <w:br/>
            </w:r>
            <w:r>
              <w:rPr>
                <w:rFonts w:ascii="Arial" w:hAnsi="Arial"/>
                <w:b/>
                <w:color w:val="000000"/>
                <w:sz w:val="16"/>
              </w:rPr>
              <w:t>Date</w:t>
            </w:r>
            <w:r>
              <w:rPr>
                <w:rFonts w:ascii="Times New Roman" w:hAnsi="Times New Roman"/>
                <w:color w:val="000000"/>
                <w:sz w:val="16"/>
              </w:rPr>
              <w:t xml:space="preserve">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Gary D. Glick,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9/10/2025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882,591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9/9/2035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President and Chief Executive</w:t>
              <w:br/>
              <w:t>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9/30/2025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8"/>
              </w:rPr>
            </w:pPr>
            <w:r>
              <w:rPr>
                <w:rFonts w:ascii="Arial" w:hAnsi="Arial"/>
                <w:color w:val="000000"/>
                <w:sz w:val="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313,809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9/9/2035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3/7/2024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209,449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8"/>
              </w:rPr>
            </w:pPr>
            <w:r>
              <w:rPr>
                <w:rFonts w:ascii="Arial" w:hAnsi="Arial"/>
                <w:color w:val="000000"/>
                <w:sz w:val="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8/30/2021</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8"/>
              </w:rPr>
            </w:pPr>
            <w:r>
              <w:rPr>
                <w:rFonts w:ascii="Arial" w:hAnsi="Arial"/>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8"/>
              </w:rPr>
            </w:pPr>
            <w:r>
              <w:rPr>
                <w:rFonts w:ascii="Arial" w:hAnsi="Arial"/>
                <w:color w:val="000000"/>
                <w:sz w:val="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6/29/2032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4/23/2022</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8"/>
              </w:rPr>
            </w:pPr>
            <w:r>
              <w:rPr>
                <w:rFonts w:ascii="Arial" w:hAnsi="Arial"/>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8"/>
              </w:rPr>
            </w:pPr>
            <w:r>
              <w:rPr>
                <w:rFonts w:ascii="Arial" w:hAnsi="Arial"/>
                <w:color w:val="000000"/>
                <w:sz w:val="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12/9/2031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Jason Haas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9/10/2025</w:t>
            </w:r>
          </w:p>
        </w:tc>
        <w:tc>
          <w:tcPr>
            <w:tcW w:w="3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8,215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123,235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4.18</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9/9/2035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9/30/2025</w:t>
            </w:r>
          </w:p>
        </w:tc>
        <w:tc>
          <w:tcPr>
            <w:tcW w:w="39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8"/>
              </w:rPr>
            </w:pPr>
            <w:r>
              <w:rPr>
                <w:rFonts w:ascii="Arial" w:hAnsi="Arial"/>
                <w:color w:val="000000"/>
                <w:sz w:val="8"/>
              </w:rPr>
              <w:t>(2)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43,817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4.18</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9/9/2035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12/20/2024</w:t>
            </w:r>
            <w:r>
              <w:rPr>
                <w:rFonts w:ascii="Times New Roman" w:hAnsi="Times New Roman"/>
                <w:color w:val="000000"/>
                <w:sz w:val="16"/>
              </w:rPr>
              <w:t xml:space="preserve"> </w:t>
            </w:r>
          </w:p>
        </w:tc>
        <w:tc>
          <w:tcPr>
            <w:tcW w:w="39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8"/>
              </w:rPr>
            </w:pPr>
            <w:r>
              <w:rPr>
                <w:rFonts w:ascii="Arial" w:hAnsi="Arial"/>
                <w:color w:val="000000"/>
                <w:sz w:val="8"/>
              </w:rPr>
              <w:t>(3)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42,738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128,216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8"/>
              </w:rPr>
            </w:pPr>
            <w:r>
              <w:rPr>
                <w:rFonts w:ascii="Arial" w:hAnsi="Arial"/>
                <w:color w:val="000000"/>
                <w:sz w:val="8"/>
              </w:rPr>
              <w:t>(4)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12/17/2034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Collin Todd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12/22/2025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12/29/2035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Senior Vice President, Strategy</w:t>
              <w:br/>
              <w:t>   and Business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9/10/2025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9/9/2035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9/30/2025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8"/>
              </w:rPr>
            </w:pPr>
            <w:r>
              <w:rPr>
                <w:rFonts w:ascii="Arial" w:hAnsi="Arial"/>
                <w:color w:val="000000"/>
                <w:sz w:val="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9/9/2035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1/1/2025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8"/>
              </w:rPr>
            </w:pPr>
            <w:r>
              <w:rPr>
                <w:rFonts w:ascii="Arial" w:hAnsi="Arial"/>
                <w:color w:val="000000"/>
                <w:sz w:val="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12/12/2034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6/4/2024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8"/>
              </w:rPr>
            </w:pPr>
            <w:r>
              <w:rPr>
                <w:rFonts w:ascii="Arial" w:hAnsi="Arial"/>
                <w:color w:val="000000"/>
                <w:sz w:val="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6/3/2034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3/7/2024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8"/>
              </w:rPr>
            </w:pPr>
            <w:r>
              <w:rPr>
                <w:rFonts w:ascii="Arial" w:hAnsi="Arial"/>
                <w:color w:val="000000"/>
                <w:sz w:val="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12/16/2022</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8"/>
              </w:rPr>
            </w:pPr>
            <w:r>
              <w:rPr>
                <w:rFonts w:ascii="Arial" w:hAnsi="Arial"/>
                <w:color w:val="000000"/>
                <w:sz w:val="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12/15/2032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6"/>
              </w:rPr>
            </w:pPr>
            <w:r>
              <w:rPr>
                <w:rFonts w:ascii="Arial" w:hAnsi="Arial"/>
                <w:color w:val="000000"/>
                <w:sz w:val="16"/>
              </w:rPr>
              <w:t>12/24/2021</w:t>
            </w:r>
            <w:r>
              <w:rPr>
                <w:rFonts w:ascii="Times New Roman" w:hAnsi="Times New Roman"/>
                <w:color w:val="000000"/>
                <w:sz w:val="16"/>
              </w:rPr>
              <w:t xml:space="preserve">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8"/>
              </w:rPr>
            </w:pPr>
            <w:r>
              <w:rPr>
                <w:rFonts w:ascii="Arial" w:hAnsi="Arial"/>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8"/>
              </w:rPr>
            </w:pPr>
            <w:r>
              <w:rPr>
                <w:rFonts w:ascii="Arial" w:hAnsi="Arial"/>
                <w:color w:val="000000"/>
                <w:sz w:val="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6/29/2032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ind w:left="0" w:right="9792" w:hanging="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 xml:space="preserve">Each stock option award is subject to the terms of the 2021 Plan. Except where otherwise noted, each stock option vests on a monthly basis thereafter, in each case, subject to the executive’s continuous service relationship with us through each applicable vesting date. </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spacing w:before="0" w:after="0"/>
        <w:jc w:val="left"/>
        <w:rPr>
          <w:rFonts w:ascii="Arial" w:hAnsi="Arial"/>
          <w:color w:val="000000"/>
          <w:sz w:val="20"/>
        </w:rPr>
      </w:pPr>
      <w:r>
        <w:rPr>
          <w:rFonts w:ascii="Arial" w:hAnsi="Arial"/>
          <w:color w:val="000000"/>
          <w:sz w:val="20"/>
        </w:rPr>
        <w:t xml:space="preserve">Stock option award fully vested on September 30, 2025 following satisfaction of performance-based conditions. </w:t>
      </w:r>
    </w:p>
    <w:p>
      <w:pPr>
        <w:pStyle w:val="TextBody"/>
        <w:bidi w:val="0"/>
        <w:spacing w:before="0" w:after="0"/>
        <w:jc w:val="left"/>
        <w:rPr>
          <w:rFonts w:ascii="Arial" w:hAnsi="Arial"/>
          <w:color w:val="000000"/>
          <w:sz w:val="20"/>
        </w:rPr>
      </w:pPr>
      <w:r>
        <w:rPr>
          <w:rFonts w:ascii="Arial" w:hAnsi="Arial"/>
          <w:color w:val="000000"/>
          <w:sz w:val="20"/>
        </w:rPr>
        <w:t>(3)</w:t>
      </w:r>
    </w:p>
    <w:p>
      <w:pPr>
        <w:pStyle w:val="TextBody"/>
        <w:bidi w:val="0"/>
        <w:spacing w:before="0" w:after="0"/>
        <w:jc w:val="left"/>
        <w:rPr>
          <w:rFonts w:ascii="Arial" w:hAnsi="Arial"/>
          <w:color w:val="000000"/>
          <w:sz w:val="20"/>
        </w:rPr>
      </w:pPr>
      <w:r>
        <w:rPr>
          <w:rFonts w:ascii="Arial" w:hAnsi="Arial"/>
          <w:color w:val="000000"/>
          <w:sz w:val="20"/>
        </w:rPr>
        <w:t xml:space="preserve">Stock option vests as follows: 25% of the shares subject to the stock option vested or will vest on the one-year anniversary of the vesting commencement date, and the remaining 75% of the shares subject to the stock option vested or will vest on a monthly basis thereafter, in each case, subject to the executive’s continuous service relationship with us through each applicable vesting date. </w:t>
      </w:r>
    </w:p>
    <w:p>
      <w:pPr>
        <w:pStyle w:val="TextBody"/>
        <w:bidi w:val="0"/>
        <w:spacing w:before="0" w:after="0"/>
        <w:jc w:val="left"/>
        <w:rPr>
          <w:rFonts w:ascii="Arial" w:hAnsi="Arial"/>
          <w:color w:val="000000"/>
          <w:sz w:val="20"/>
        </w:rPr>
      </w:pPr>
      <w:r>
        <w:rPr>
          <w:rFonts w:ascii="Arial" w:hAnsi="Arial"/>
          <w:color w:val="000000"/>
          <w:sz w:val="20"/>
        </w:rPr>
        <w:t>(4)</w:t>
      </w:r>
    </w:p>
    <w:p>
      <w:pPr>
        <w:pStyle w:val="TextBody"/>
        <w:bidi w:val="0"/>
        <w:jc w:val="left"/>
        <w:rPr/>
      </w:pPr>
      <w:r>
        <w:rPr>
          <w:rFonts w:ascii="Arial" w:hAnsi="Arial"/>
          <w:color w:val="000000"/>
          <w:sz w:val="20"/>
        </w:rPr>
        <w:t>Represents options that were initially granted on various dates and at various exercise prices between December 10, 2021 and December 18, 2024. Pursuant to our stock option repricing on June 18, 2025, the exercise prices of such options and other outstanding stock options were modified to be $3.98 per share, which represented the fair market value of our common stock on the repricing date, as determined by our board of directors. The stock option repricing did not change the number of shares underlying the options or their respective expiration dates. See the section titled “—</w:t>
      </w:r>
      <w:r>
        <w:rPr>
          <w:rFonts w:ascii="Arial" w:hAnsi="Arial"/>
          <w:i/>
          <w:color w:val="000000"/>
          <w:sz w:val="20"/>
        </w:rPr>
        <w:t>Option Repricing</w:t>
      </w:r>
      <w:r>
        <w:rPr>
          <w:color w:val="000000"/>
        </w:rPr>
        <w:t xml:space="preserve">” </w:t>
      </w:r>
      <w:r>
        <w:rPr>
          <w:rFonts w:ascii="Arial" w:hAnsi="Arial"/>
          <w:color w:val="000000"/>
          <w:sz w:val="20"/>
        </w:rPr>
        <w:t xml:space="preserve">above for more information. </w:t>
      </w:r>
    </w:p>
    <w:p>
      <w:pPr>
        <w:pStyle w:val="TextBody"/>
        <w:bidi w:val="0"/>
        <w:spacing w:before="240" w:after="283"/>
        <w:jc w:val="left"/>
        <w:rPr>
          <w:rFonts w:ascii="Times New Roman" w:hAnsi="Times New Roman"/>
          <w:sz w:val="20"/>
        </w:rPr>
      </w:pPr>
      <w:r>
        <w:rPr>
          <w:rFonts w:ascii="Arial" w:hAnsi="Arial"/>
          <w:b/>
          <w:color w:val="000000"/>
          <w:sz w:val="20"/>
        </w:rPr>
        <w:t>Equity Benefit Plans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2026 Long-Term Incentive Plan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order to incentivize our employees and other service providers following the closing of this offering, we anticipate that our board of directors and stockholders will adopt the 2026 Plan, which will become effective on the date immediately preceding the date on which our common stock is listed (or approved for listing) on Nasdaq. The material terms of the 2026 Plan are summarized below. The purpose of the 2026 Plan is to attract and retain the best available personnel, incentivize service providers, promote the success of our business and strengthen the mutuality of interest between eligible service providers and our stockholders. At the time the 2026 Plan becomes effective, no further grants may be made under the 2021 Plan.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2026 Plan provides for the grant of incentive stock options, or ISOs, within the meaning of Section 422 of the Code, to our and our subsidiaries’ employees, and for the grant of nonstatutory stock options, or NSOs, stock appreciation rights, restricted stock, restricted stock units, unrestricted stock, performance-based awards and other stock-based awards or cash incentives, to our and our subsidiaries’ employees, directors and consultants.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Authorized Shares</w:t>
      </w:r>
      <w:r>
        <w:rPr>
          <w:rFonts w:ascii="Arial" w:hAnsi="Arial"/>
          <w:color w:val="000000"/>
          <w:sz w:val="20"/>
        </w:rPr>
        <w:t>. Initially, 6,232,376 shares of our common stock are reserved for issuance under the 2026 Plan, subject to increase by a number of shares of our common stock equal to the number of shares subject to outstanding stock options or other stock awards granted under the 2021 Plan that, following the effective date of the 2026 Plan, are forfeited, canceled, reacquired by the Company prior to vesting, expired (whether voluntarily or involuntarily), settled in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cash or otherwise satisfied without the issuance of shares, withheld upon exercise of an option or settlement of an award to cover the exercise price or tax withholding, surrendered pursuant to an exchange or otherwise terminated (other than by exercise). The number of shares of our common stock that will be reserved for issuance under the 2026 Plan will automatically increase on January 1 of each year, beginning on January 1, 2027 and continuing through January 1, 2036, in an amount equal to 5% of the total number of shares of our capital stock (including shares underlying unexercised pre-funded warrants with an exercise price per share of $0.01 or less) outstanding on December 31 of the preceding year; provided, however, that our board of directors may act prior to January 1 of a given year to provide that the increase for such year will be a lesser number of shares of our common stock. The maximum number of shares of our common stock that may be issued upon the exercise of ISOs under the 2026 Plan is 23,221,158.</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Shares subject to awards that will be granted under the 2026 Plan that are forfeited, canceled or reacquired by us, or which expire or otherwise terminate without being exercised in full, will become or again be available under the 2026 Plan. The settlement of any portion of an award in cash will not reduce the number of shares available for issuance under the 2026 Plan. Shares withheld under an award to satisfy the exercise, strike or purchase price of an award or to satisfy a tax withholding obligation will become or again be available under the 2026 Plan. With respect to a stock appreciation right, only shares of our common stock that are issued upon settlement of the stock appreciation right will count towards reducing the number of shares available for issuance under the 2026 Plan. If any shares of our common stock issued pursuant to an award are forfeited back to or repurchased or reacquired by us because of a failure to meet a contingency or condition required to vest such shares in the participant, a right of first refusal, a forfeiture provision or repurchase by us, then the shares that are forfeited or reacquired will, as applicable, become or again be available for future grant and issuance under the 2026 Plan.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Plan Administration</w:t>
      </w:r>
      <w:r>
        <w:rPr>
          <w:rFonts w:ascii="Arial" w:hAnsi="Arial"/>
          <w:color w:val="000000"/>
          <w:sz w:val="20"/>
        </w:rPr>
        <w:t>. Our board of directors, or a duly authorized committee of our board of directors, will administer the 2026 Plan. Our board of directors, or a duly authorized committee of our board of directors, may, in accordance with the terms of the 2026 Plan, delegate to one or more of our officers the power to grant awards under the 2026 Plan to employees, consultants or officers (other than to themselves or members of their immediate family), provided, that our board of directors, or a duly authorized committee of our board of directors, shall fix certain material terms of the awards to be granted by any such officer and shall fix a maximum number of shares subject to awards that the officers may grant. Under the 2026 Plan, our board of directors, or a duly authorized committee of our board of directors, will have the authority to, among other things, grant awards and determine recipients and terms thereof, including the type and number of awards to be granted; the number of shares or dollar amount to which an award will relate; the purchase, exercise or base price; the time or times when awards may be exercised; vesting criteria and/or performance goals; any forfeiture, cancelation or surrender events; any vesting, acceleration or waiver of forfeiture restrictions; and any restriction or limitation regarding any award or the shares or other consideration relating thereto. The plan administrator also has the authority to determine the fair market value of the awards; prescribe and amend the terms of or form of any award agreement; amend, modify or terminate any outstanding award subject to the terms of the 2026 Plan; and construe and interpret the provisions of the 2026 Plan and any award agreement granted thereunder. Our board of directors may accelerate the time at which an award granted under the 2026 Plan may first be exercised or the time during which an award grant under the 2026 Plan or any part thereof will vest, notwithstanding the provisions in the award agreement stating the time at which it may first be exercised or the time during which it will vest.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Under the 2026 Plan, the plan administrator will not, without a participant’s consent, amend, modify or terminate any outstanding award and award agreement, unless the plan administrator determines that (i) that the action, taking into account any related action, would not materially and adversely affect the participant’s rights under the 2026 Plan, (ii) the change is permitted under another section of the 2026 Plan, including with respect to changes for awards to foreign participants, in the event of certain corporate adjustments and upon certain corporate transactions and (iii) the plan administrator determines that the action is required or advisable in order for us, the 2026 Plan, or the award to satisfy any law or regulation or to meet the requirements of or avoid adverse financial accounting consequences under any accounting standard.</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Stock Options</w:t>
      </w:r>
      <w:r>
        <w:rPr>
          <w:rFonts w:ascii="Arial" w:hAnsi="Arial"/>
          <w:color w:val="000000"/>
          <w:sz w:val="20"/>
        </w:rPr>
        <w:t>. ISOs and NSOs will be granted under stock option agreements adopted by the plan administrator. The plan administrator will determine the exercise price for stock options, within the terms and conditions of the 2026 Plan, except the exercise price of a stock option generally will not be less than 100% (or 110% in the case of ISOs granted to a person who owns or is deemed to own stock possessing more than 10% of our total combined voting power or that of any of our parent or subsidiary corporations, or a ten percent stockholder) of the fair market value of our common stock on the date of grant. Options granted under the 2026 Plan will vest at the rate specified in the stock option agreement as will be determined by the plan administrator. The terms and conditions of separate options need not be identical.</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No option will be exercisable after the expiration of ten years (or five years in the case of ISOs granted to a ten percent stockholder) or a shorter period specified in the applicable award agreement.</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Acceptable consideration for the purchase of common stock issued upon the exercise of a stock option will be determined by the plan administrator and may include (i) cash; (ii) check; (iii) to the extent permitted under applicable law, delivery of a promissory note with such recourse, interest, security, redemption and other provisions as the plan administrator determines to be appropriate; (iv) cancellation of indebtedness; (v) subject to certain conditions, the tender of shares of our common stock previously owned by the optionholder; (vi) a broker-assisted cashless exercise; (vii) other legal consideration approved by the plan administrator; or (viii) any combination of the foregoing methods of payment.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Tax Limitations on ISOs</w:t>
      </w:r>
      <w:r>
        <w:rPr>
          <w:rFonts w:ascii="Arial" w:hAnsi="Arial"/>
          <w:color w:val="000000"/>
          <w:sz w:val="20"/>
        </w:rPr>
        <w:t>. The aggregate fair market value, determined at the time of grant, of our common stock with respect to ISOs that are exercisable for the first time by any participant during any calendar year under all of our stock plans or plans of our affiliates may not exceed $100,000. Options or portions thereof that exceed such limit will generally be treated as NSOs. No ISO may be granted to any person who, at the time of the grant, is a ten percent stockholder unless (i) the option exercise price is at least 110% of the fair market value of the stock subject to the option on the date of grant; and (ii) the term of the ISO does not exceed five years from the date of grant.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Restricted Stock Unit Awards</w:t>
      </w:r>
      <w:r>
        <w:rPr>
          <w:rFonts w:ascii="Arial" w:hAnsi="Arial"/>
          <w:color w:val="000000"/>
          <w:sz w:val="20"/>
        </w:rPr>
        <w:t>. Subject to the terms of the 2026 Plan, each restricted stock unit award will have such terms and conditions as determined by the plan administrator. A restricted stock unit is an award based on the value of our common stock that is an unfunded and unsecured promise to deliver shares, cash or other property upon the attainment of specified vesting or performance conditions as determined by the plan administrator and set forth in the applicable award agreement. A participant will not have voting or any other rights as a stockholder of ours with respect to any restricted stock unit award (unless and until shares are actually issued in settlement of a vested restricted stock unit award). A restricted stock unit award will generally be granted in consideration for a participant’s services to us or an affiliate, such that the participant will not be required to make any payment to us (other than such services) with respect to the grant or vesting of the restricted stock unit award, or the issuance of any shares pursuant to the restricted stock unit award. If, at the time of grant, our board of directors determines that a participant must pay consideration upon the issuance of shares pursuant to a restricted stock unit award, such consideration may be paid in any form of legal consideration that may be acceptable to our board of directors and permissible under applicable law. A restricted stock unit award may be settled in any form specified by the plan administrator in the award agreement, including, but not limited to, the delivery of shares, cash or a combination of cash and shares as deemed appropriate by the plan administrator. At the time of grant, the plan administrator may determine to impose such restrictions or conditions that delay such delivery to a date following the vesting of the restricted stock unit award. Additionally, dividends or dividend equivalents may be paid or credited in respect of shares covered by a restricted stock unit award, subject to the same restrictions on transferability and forfeitability as the underlying award with respect to which such dividends or dividend equivalents are granted and subject to such other terms and conditions as determined by the plan administrator and specified in the applicable restricted stock unit award agreement. Except as otherwise provided in the applicable award agreement, or other written agreement between us and the recipient, restricted stock unit awards that have not vested will be forfeited once the participant’s continuous service ends for any reason.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Restricted Stock Awards</w:t>
      </w:r>
      <w:r>
        <w:rPr>
          <w:rFonts w:ascii="Arial" w:hAnsi="Arial"/>
          <w:color w:val="000000"/>
          <w:sz w:val="20"/>
        </w:rPr>
        <w:t>. Restricted stock awards will be granted under restricted stock award agreements adopted by the plan administrator. A restricted stock award may be awarded in consideration for cash, check, bank draft or money order, past or future services to us or any of our affiliates or any other form of legal consideration that may be acceptable to our board of directors and permissible under applicable law. The plan administrator will determine the terms and conditions of restricted stock awards, including vesting and forfeiture terms. Dividends or dividend equivalents shall be paid or credited with respect to shares subject to a restricted stock award, subject to the same restrictions on transferability and forfeitability as the underlying award with respect to which such dividends or dividend equivalents are granted and subject to such other terms and conditions, unless determined otherwise by the plan administrator and specified in the applicable restricted stock award agreement.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Stock Appreciation Rights</w:t>
      </w:r>
      <w:r>
        <w:rPr>
          <w:rFonts w:ascii="Arial" w:hAnsi="Arial"/>
          <w:color w:val="000000"/>
          <w:sz w:val="20"/>
        </w:rPr>
        <w:t>. Stock appreciation rights will be granted under stock appreciation right agreements adopted by the plan administrator and will be a right entitling the participant to shares, other property or cash compensation, as determined by the plan administrator and set forth in the applicable award agreement, measured by appreciation in the value of common stock. The terms of separation stock appreciation rights need not be identical. The plan administrator will determine the purchase price or strike price for a stock appreciation right, which generally will not be less than 100% of the fair market value of our common stock on the date of grant. A stock appreciation right granted under the 2026 Plan will vest at the rate specified in the stock appreciation right agreement as will be determined by the plan administrator. Stock appreciation rights may be settled in cash or shares of our common stock (or any combination of our common stock and cash) or in any other form of payment, as determined by our board of directors and specified in the stock appreciation right agreement.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plan administrator will determine the term of stock appreciation rights granted under the 2026 Plan, up to a maximum of 10 years.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199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Other Stock and Cash Awards</w:t>
      </w:r>
      <w:r>
        <w:rPr>
          <w:rFonts w:ascii="Arial" w:hAnsi="Arial"/>
          <w:color w:val="000000"/>
          <w:sz w:val="20"/>
        </w:rPr>
        <w:t>. The plan administrator will be permitted to grant other awards, based in whole or in part by reference to, or otherwise based on, our common stock, either alone or in addition to other awards. The plan administrator will have the sole and complete discretion to determine the persons to whom and the time or times at which other stock awards will be granted, the number of shares under the other stock award (or cash equivalent) and all other terms and conditions of such awards. In addition, the plan administrator will be permitted to grant cash incentive awards.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Changes to Capital Structure</w:t>
      </w:r>
      <w:r>
        <w:rPr>
          <w:rFonts w:ascii="Arial" w:hAnsi="Arial"/>
          <w:color w:val="000000"/>
          <w:sz w:val="20"/>
        </w:rPr>
        <w:t>. In the event there is a specified type of change in our capital structure, such as a stock split, reverse stock split, stock dividend, reorganization, recapitalization, combination or exchange of shares, reclassification of shares, spin-off, or other similar change in capitalization or event, or any dividend or distribution to holders of shares other than an ordinary cash dividend, the plan administrator may equitably adjust (i) the number and class of securities available under the 2026 Plan, including the number of ISOs authorized under the 2026 Plan, (ii) the number and class of securities and exercise price per share of each outstanding option and stock appreciation right, (iii) the number of shares subject to and the repurchase price per share subject to each outstanding restricted stock award (or restricted share arrangement pursuant to each “early exercised” option) and restricted stock unit award, and (iv) the terms of each other outstanding award, in each case granted under the 2026 Plan.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Corporate Transactions</w:t>
      </w:r>
      <w:r>
        <w:rPr>
          <w:rFonts w:ascii="Arial" w:hAnsi="Arial"/>
          <w:color w:val="000000"/>
          <w:sz w:val="20"/>
        </w:rPr>
        <w:t>. In the event of a corporate transaction (as defined below), unless otherwise provided in a participant’s award agreement or other written agreement with us, the plan administrator, in its sole discretion, may provide, with respect to all outstanding awards or on an award-by-award basis, for the awards to become immediately vested and exercisable or non-forfeitable, cause any award to be assumed by the surviving or successor company or canceled in exchange for substitute stock options or stock appreciation rights in a manner consistent with the U.S. Treasury regulations, cause any award to be canceled in exchange for consideration equivalent to that paid to our stockholders. If the surviving or acquiring corporation (or its parent company) does not assume, continue or substitute for such awards, then with respect to any such outstanding awards, the vesting (and exercisability, if applicable) of such awards will be accelerated in full to a date prior to the effective time of the corporate transaction (contingent upon the effectiveness of the corporate transaction), and such awards will terminate if not exercised (if applicable) at or prior to the effective time of the corporate transaction, and any reacquisition or repurchase rights held by us with respect to such awards will lapse (contingent upon the effectiveness of the corporate transaction).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the event an award will terminate if not exercised prior to the effective time of a corporate transaction, the plan administrator may provide, in its sole discretion, that the holder of such award may not exercise such award but instead will receive a payment, in such form as may be determined by our board of directors, equal in value to the excess (if any) of (i) the value of the property the participant would have received upon the exercise of the award, over (ii) any per share exercise price payable by such holder, if applicable. As a condition to the receipt of an award, a participant will be deemed to have agreed that the award will be subject to the terms of any agreement under the 2026 Plan governing a corporate transaction involving us.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Under the 2026 Plan, a “corporate transaction” generally will be the consummation, in a single transaction or in a series of related transactions, of (i) a sale, lease, exclusive license or other disposition of all or substantially all, as determined by our board of directors, of our consolidated assets unless our stockholders immediately before such consolidation, merger or other transaction own, directly or indirectly, a majority of the combined voting power of the outstanding voting securities of the purchaser of the assets; (ii) a sale or other disposition in which any person, other than any person who prior to such transaction or series of related transactions owns more than a majority of our common stock, becomes the beneficial owner of at least 50% of our outstanding securities; (iii) a merger, consolidation or similar transaction unless our stockholders immediately before such merger, consolidation or similar transaction own, directly or indirectly, a majority of the combined voting power of the outstanding voting securities of the corporation or other entity resulting from such merger, consolidation or similar transaction; (iv) individuals who constitute our board of directors on the date the 2026 Plan is approved by our board of directors (referred to as the incumbent board) cease for any reason to constitute at least a majority of our board of directors (for this purpose, any board member whose appointment or election is approved or recommended by a majority of the incumbent board will be considered a member of the incumbent board); or (v) the liquidation, dissolution, or winding up of the Company.</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Transferability</w:t>
      </w:r>
      <w:r>
        <w:rPr>
          <w:rFonts w:ascii="Arial" w:hAnsi="Arial"/>
          <w:color w:val="000000"/>
          <w:sz w:val="20"/>
        </w:rPr>
        <w:t>. Except as expressly provided in the 2026 Plan or the form of award agreement, unless the plan administrator provides otherwise, awards generally will not be transferable. The plan administrator may provide that an award be transferable by will or the laws of descent and distribution or as permitted by applicable law. Subject to approval of the plan administrator or a duly authorized officer, an option may be transferred pursuant to a domestic relations order.</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Clawback</w:t>
      </w:r>
      <w:r>
        <w:rPr>
          <w:rFonts w:ascii="Arial" w:hAnsi="Arial"/>
          <w:color w:val="000000"/>
          <w:sz w:val="20"/>
        </w:rPr>
        <w:t>. All awards granted under the 2026 Plan will be subject to recoupment in accordance with 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and any clawback policy that we otherwise adopt, to the extent applicable and permissible under applicable law. In addition, our board of directors may impose such other clawback, recovery or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recoupment provisions in an award agreement as our board of directors determines necessary or appropriate, including but not limited to a reacquisition right in respect of previously acquired shares of our common stock or other cash or property upon the occurrence of cause.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Amendment or Termination</w:t>
      </w:r>
      <w:r>
        <w:rPr>
          <w:rFonts w:ascii="Arial" w:hAnsi="Arial"/>
          <w:color w:val="000000"/>
          <w:sz w:val="20"/>
        </w:rPr>
        <w:t>. Our board of directors will have the authority to amend, suspend or terminate the 2026 Plan at any time, provided that such action does not materially impair the existing rights of any participant without such participant’s written consent. Certain material amendments will also require the approval of our stockholders. The 2026 Plan will continue until the date immediately prior to the ten-year anniversary of its effective date, unless terminated sooner. However, no ISOs may be granted after the ten-year anniversary of the earlier of (i) the effective date of the Board’s most recent adoption of the 2026 Plan or (ii) the most recent date the Company’s stockholders approve the 2026 Plan.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intend to file a registration statement on Form S-8 to register all of the shares of our common stock reserved for issuance under the 2026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2021 Equity Incentive Plan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Our board of directors adopted and our stockholders initially approved the 2021 Plan, in August 2021, and it was most recently amended in September 2025. No further awards will be made under the 2021 Plan after this offering; however, awards outstanding under the 2021 Plan will continue to be governed by their existing terms.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Share Reserve</w:t>
      </w:r>
      <w:r>
        <w:rPr>
          <w:rFonts w:ascii="Arial" w:hAnsi="Arial"/>
          <w:color w:val="000000"/>
          <w:sz w:val="20"/>
        </w:rPr>
        <w:t>. As of December 31, 2025, we had reserved 953,136 shares of our common stock for issuance under the 2021 Plan. As of December 31, 2025, options to purchase 4,631,713 shares of our common stock, at exercise prices ranging from $3.98 to $32.07 per share, or a weighted-average exercise price of $4.94 per share, were outstanding under the 2021 Plan. Unissued shares subject to awards that expire, are forfeited, or are cancelled, shares reacquired by us and shares withheld in payment of the purchase price or exercise price of an award or in satisfaction of withholding taxes will again become available for issuance under the 2021 Plan or, following consummation of this offering, under the 2026 Plan.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Administration</w:t>
      </w:r>
      <w:r>
        <w:rPr>
          <w:rFonts w:ascii="Arial" w:hAnsi="Arial"/>
          <w:color w:val="000000"/>
          <w:sz w:val="20"/>
        </w:rPr>
        <w:t>. Our board of directors, or a committee thereof, has administered the 2021 Plan since its adoption; however, following this offering, the Compensation Committee of our board of directors will generally administer the 2021 Plan. The administrator has complete discretion to make all decisions relating to the 2021 Plan and outstanding awards.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Eligibility</w:t>
      </w:r>
      <w:r>
        <w:rPr>
          <w:rFonts w:ascii="Arial" w:hAnsi="Arial"/>
          <w:color w:val="000000"/>
          <w:sz w:val="20"/>
        </w:rPr>
        <w:t>. Employees, members of our board of directors and consultants are eligible to participate in the 2021 Plan. However, only employees are eligible to receive ISOs.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Types of Awards</w:t>
      </w:r>
      <w:r>
        <w:rPr>
          <w:rFonts w:ascii="Arial" w:hAnsi="Arial"/>
          <w:color w:val="000000"/>
          <w:sz w:val="20"/>
        </w:rPr>
        <w:t>. The 2021 Plan provides for the following types of awards granted with respect to shares of our common stock:</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ISOs and NSOs to purchase shares of our common stock;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stock appreciation rights;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shares of restricted and/or unrestricted common stock;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restricted stock units;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other stock-based awards or cash incentives consistent with the purpose of the 2021 Plan and our interests.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Options</w:t>
      </w:r>
      <w:r>
        <w:rPr>
          <w:rFonts w:ascii="Arial" w:hAnsi="Arial"/>
          <w:color w:val="000000"/>
          <w:sz w:val="20"/>
        </w:rPr>
        <w:t>. The exercise price for options granted under the 2021 Plan is determined by our board of directors at the time of grant but may not be less than 100% of the fair market value of our common stock on the grant date. If the optionholder owns more than 10% of the combined voting power of all classes of our capital stock, the exercise price of any ISO granted to such person must be at least 110% of the fair market value of our common stock on the grant date. Optionholders may pay the exercise price in cash or cash equivalents or by one, or any combination of, the following forms of payment, as permitted by the administrator in its sole discretion:</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 cash, by either certified or bank check, by wire transfer of immediately available funds or by other instrument acceptable to our board of directors or applicable committee;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 the form of previously acquired shares of our common stock based on the fair market value on the date of exercise;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permitted by our board of directors or applicable committee, by the optionee’s delivery of a promissory note, if our board of directors has expressly authorized the loan of funds to the optionee for the purpose of enabling or assisting the optionholder to effect such exercise; provided, that at least so much of the exercise price as represents the par value of the shares of our commons stock exercised shall be paid in cash if required by state law; </w:t>
      </w:r>
    </w:p>
    <w:p>
      <w:pPr>
        <w:pStyle w:val="TextBody"/>
        <w:bidi w:val="0"/>
        <w:spacing w:before="120" w:after="283"/>
        <w:jc w:val="center"/>
        <w:rPr>
          <w:rFonts w:ascii="Arial" w:hAnsi="Arial"/>
          <w:color w:val="000000"/>
          <w:sz w:val="20"/>
        </w:rPr>
      </w:pPr>
      <w:r>
        <w:rPr>
          <w:rFonts w:ascii="Arial" w:hAnsi="Arial"/>
          <w:color w:val="000000"/>
          <w:sz w:val="20"/>
        </w:rPr>
        <w:t>201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if permitted by our board of directors or applicable committee and this offering has closed, through the delivery (or attestation to the ownership) of shares of our common stock that have been purchased by the optionholder on the open market or that are beneficially owned by the optionholder and are not then subject to restrictions under any agreement; and/or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by such other means as the administrator may accept.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Options vest as determined by the administrator. In general, we have granted options that vest over a four-year period. Options expire at the time determined by the administrator, but in no event more than ten years after they are granted, and generally expire earlier if the optionholder’s service relationship with us terminates. If the optionholder owns more than 10% of the combined voting power of all classes of our capital stock, the expiration date of any ISO granted to such person will be no more than five years from the grant date.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Restricted Shares</w:t>
      </w:r>
      <w:r>
        <w:rPr>
          <w:rFonts w:ascii="Arial" w:hAnsi="Arial"/>
          <w:color w:val="000000"/>
          <w:sz w:val="20"/>
        </w:rPr>
        <w:t>. Restricted shares may be awarded under the 2021 Plan subject to the terms and conditions as determined by the administrator in its sole discretion. Restricted shares vest as determined by the administrator. If the recipient’s service terminates, the Company may require the recipient forfeit the shares still subject to restrictions or determine to repurchase those shares. Upon a grant of restricted shares, the recipient will have the same rights as a stockholder with respect to those shares, until all or a portion are forfeited.</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Restricted Stock Units</w:t>
      </w:r>
      <w:r>
        <w:rPr>
          <w:rFonts w:ascii="Arial" w:hAnsi="Arial"/>
          <w:color w:val="000000"/>
          <w:sz w:val="20"/>
        </w:rPr>
        <w:t>. Restricted stock units may be awarded under the 2021 Plan. No cash consideration shall be required of the recipient in connection with the grant of restricted stock units. Settlement of vested restricted stock units may be made in the form of cash, shares of our common stock or any combination of both, as determined by the administrator. Restricted stock units vest as determined by the administrator. Upon the settlement of restricted stock units in shares, the recipient will have the same rights as a stockholder with respect to those shares.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i/>
          <w:color w:val="000000"/>
          <w:sz w:val="20"/>
        </w:rPr>
        <w:t>Corporate Transactions</w:t>
      </w:r>
      <w:r>
        <w:rPr>
          <w:rFonts w:ascii="Arial" w:hAnsi="Arial"/>
          <w:color w:val="000000"/>
          <w:sz w:val="20"/>
        </w:rPr>
        <w:t>. In the event that we are a party to a merger or consolidation or in the event of a sale of all or substantially all of our stock or assets, or similar corporate transactions, awards granted under the 2021 Plan will be subject to the agreement governing such transaction or, in the absence of such agreement, in the manner determined by the administrator. Such treatment may include, without limitation, one or more of the following with respect to outstanding awards:</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option or stock appreciation right will become vested and immediately exercisable, in whole or in part;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restricted shares or restricted stock units will become non-forfeitable, in whole or in part;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option or stock appreciation right will be assumed by the successor corporation or cancelled in exchange for substitute stock options;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option will be cancelled in exchange for cash and/or other substitute consideration with a value equal to the excess, if any, of the value of the shares subject to the option over any exercise price applicable to the options;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restricted shares or restricted stock units will be cancelled in exchange for restricted stock of or restricted stock units in respect of the capital stock of any successor corporation (or the equivalent in a successor entity that is not a corporation);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restricted shares will be redeemed for cash and/or other substitute consideration with a value equal to the fair market value of an unrestricted share on the date of the corporate transaction or the per share consideration payable to the holders of shares in corporate transaction;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restricted stock unit will be cancelled in exchange for cash and/or other substitute consideration with a value equal to the fair market value of an unrestricted share on the date of the corporate transaction or the per share consideration payable to the holders of shares in corporate transaction; or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such other treatment as is described in an award agreement.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administrator is not obligated to treat all awards in the same manner. The administrator has the discretion, at any time, to provide that an award under the 2021 Plan will vest on an accelerated basis in connection with a corporate transaction or to amend or modify an award so long as such amendment or modification is not inconsistent with the terms of the 2021 Plan or would not result in the impairment of a participant’s rights without the participant’s consent.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Changes in Capitalization</w:t>
      </w:r>
      <w:r>
        <w:rPr>
          <w:rFonts w:ascii="Arial" w:hAnsi="Arial"/>
          <w:color w:val="000000"/>
          <w:sz w:val="20"/>
        </w:rPr>
        <w:t>. In the event of certain specified changes in the capital structure of our common stock, such as a stock split, reverse stock split, stock dividend, reorganization, recapitalization, combination or exchange of shares, reclassification of shares, spinoff or other similar change in capitalization or event, or any dividend or distribution to holders of shares other than an ordinary cash dividend, equitable adjustments to the terms of outstanding awards will be made by the administrator.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Amendments or Termination</w:t>
      </w:r>
      <w:r>
        <w:rPr>
          <w:rFonts w:ascii="Arial" w:hAnsi="Arial"/>
          <w:color w:val="000000"/>
          <w:sz w:val="20"/>
        </w:rPr>
        <w:t>. Our board of directors may at any time alter, amend, suspend or terminate the 2021 Plan, subject to stockholder approval in the case of an amendment if the amendment increases the number of shares available for issuance or otherwise to the extent necessary to comply with applicable law, rule or regulation. The 2021 Plan will terminate automatically ten years after the later of the date when our board of directors adopted the plan.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intend to file a registration statement on Form S-8 to register all of the shares of our common stock reserved for issuance pursuant to outstanding awards granted under the 2021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2026 Employee Stock Purchase Plan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anticipate that our board of directors and stockholders will adopt the ESPP, which will become effective on the date immediately preceding the date on which our common stock is listed (or approved for listing) on Nasdaq. The material terms of the ESPP are summarized below. Under the ESPP, we are authorized to offer eligible employees the ability to purchase shares of our common stock at a discount, subject to various limitations.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ESPP is intended to qualify as an “employee stock purchase plan” under Section 423 of the Code. However, with regard to offers of options for purchase of shares of our common stock under the ESPP to employees outside the United States working for one of our subsidiaries or an affiliates, our board of directors may offer a sub-plan or an option that is not intended to meet the requirements of Section 423 of the Code and that varies from the terms and conditions of the ESPP.</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Authorized Shares.</w:t>
      </w:r>
      <w:r>
        <w:rPr>
          <w:rFonts w:ascii="Times New Roman" w:hAnsi="Times New Roman"/>
          <w:color w:val="000000"/>
          <w:sz w:val="20"/>
        </w:rPr>
        <w:t xml:space="preserve"> </w:t>
      </w:r>
      <w:r>
        <w:rPr>
          <w:rFonts w:ascii="Arial" w:hAnsi="Arial"/>
          <w:color w:val="000000"/>
          <w:sz w:val="20"/>
        </w:rPr>
        <w:t>Initially, 516,400 shares of our common stock are reserved for issuance under the ESPP. The number of shares of our common stock that will be reserved for issuance under the ESPP will automatically increase on January 1 of each year, beginning on January 1, 2027 and continuing through January 1, 2036, in an amount equal to the lesser of (i) 1% of the total number of shares of our capital stock outstanding on December 31 of the immediately preceding year and (ii) 1,032,801 shares of our common stock, unless our board of directors acts prior to the first day of any calendar year to provide that there will be no January 1 increase in the share reserve for such calendar year or that the increase for such calendar year will be a lesser number of shares of our common stock.</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Plan Administration.</w:t>
      </w:r>
      <w:r>
        <w:rPr>
          <w:rFonts w:ascii="Times New Roman" w:hAnsi="Times New Roman"/>
          <w:color w:val="000000"/>
          <w:sz w:val="20"/>
        </w:rPr>
        <w:t xml:space="preserve"> </w:t>
      </w:r>
      <w:r>
        <w:rPr>
          <w:rFonts w:ascii="Arial" w:hAnsi="Arial"/>
          <w:color w:val="000000"/>
          <w:sz w:val="20"/>
        </w:rPr>
        <w:t>Our board of directors, or a duly authorized committee of our board of directors, will administer the ESPP. Our board of directors, or a duly authorized committee of our board of directors, may, in accordance with the terms of the ESPP, delegate administrative authority to our officers or other individuals or groups. Under the ESPP, the ESPP administrator will have discretionary authority to administer and interpret the ESPP and determine the terms and conditions of the offerings of common stock to be made under the ESPP. Interpretations and constructions of the ESPP administrator of any provision of the ESPP or of any rights thereunder will be conclusive and binding on all persons.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 xml:space="preserve">Eligibility. </w:t>
      </w:r>
      <w:r>
        <w:rPr>
          <w:rFonts w:ascii="Arial" w:hAnsi="Arial"/>
          <w:color w:val="000000"/>
          <w:sz w:val="20"/>
        </w:rPr>
        <w:t>Employees eligible to participate in the ESPP for a given offering generally include employees who are employed by us or one of our designated subsidiaries and affiliates, other than (i) any employees who have been employed less than 1 year, unless otherwise determined by the ESPP administrator, and (ii) any employees who do not meet any other eligibility requirements that the ESPP administrator may impose (within the limits permitted by the Code).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Participation.</w:t>
      </w:r>
      <w:r>
        <w:rPr>
          <w:rFonts w:ascii="Times New Roman" w:hAnsi="Times New Roman"/>
          <w:color w:val="000000"/>
          <w:sz w:val="20"/>
        </w:rPr>
        <w:t xml:space="preserve"> </w:t>
      </w:r>
      <w:r>
        <w:rPr>
          <w:rFonts w:ascii="Arial" w:hAnsi="Arial"/>
          <w:color w:val="000000"/>
          <w:sz w:val="20"/>
        </w:rPr>
        <w:t>Employees will enroll under the ESPP by completing an enrollment form permitting the deduction from their compensation of a whole percentage of their compensation during an offering, subject to a minimum of 1% and a maximum of 15% or, to the extent permitted by the ESPP administrator for an offering, an employee may authorize a payroll deduction expressed as a flat dollar amount, subject to such terms, conditions and limits as may be established by the ESPP administrator for such offering. Accumulated deductions will be credited to a notional account and applied to the purchase of shares on the exercise date of the offering.</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However, an employee will not be permitted to participate in an offering if, immediately after the option to purchase stock in the offering were granted, the employee would own (or be deemed to own through attribution) 5% or more of the total combined voting power or value of all classes of our stock, or one of our subsidiaries or our parent company. In addition, a participant may not purchase more than a number of shares of our common stock equal to $25,000 divided by the fair market value of a share of such stock as of the first day of the offering (or such other maximum number of shares of our common stock established by the ESPP administrator in advance of the offering). A participant may not be granted an option that permits the participant’s rights to purchase shares of common stock to accrue at a rate exceeding $25,000 in fair market value of such stock (determined at the time the option is granted) under the ESPP or any other of our employee stock purchase plans and our parent and subsidiary companies during any calendar year.</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 xml:space="preserve">Offerings. </w:t>
      </w:r>
      <w:r>
        <w:rPr>
          <w:rFonts w:ascii="Arial" w:hAnsi="Arial"/>
          <w:color w:val="000000"/>
          <w:sz w:val="20"/>
        </w:rPr>
        <w:t>Under the ESPP, participants are given the option to purchase shares of our common stock during offerings, the duration and timing of which will be determined by the ESPP administrator. However, in no event may an offering be longer than 27 months in length. The ESPP administrator may provide for concurrent or overlapping offerings under the ESPP. An offering under the ESPP may be terminated under certain circumstances.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Common stock will be purchased for the accounts of participants at a price per share determined under the terms of the applicable offering, which will generally be at a discount from the trading price of our common stock on the date of purchase. The option price for an offering will generally be the lower of 85% of the closing trading price per share of our common stock on the first day of the offering or 85% of the closing trading price per share on the purchase date, unless the ESPP administrator specifies a lesser discount in advance of the offering.</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Unless a participant has withdrawn from participation in the ESPP before a purchase date, the participant will be deemed to have exercised the participant’s option in full as of such purchase date. Upon exercise, the participant will purchase the number of whole shares that the participant’s accumulated payroll deductions will buy at the option price, subject to the participation limitations listed above.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 participant may cancel his or her payroll deduction authorization and withdraw from the offering at any time prior to the end of the offering. Upon withdrawal, the participant will receive a refund of the participant’s notional account balance in cash without interest. If a participant withdraws from an offering, the participant may not later re-enroll in the same offering, but the participant may (if eligible) enroll in any later offering under the ESPP. If a participant wants to increase or decrease the rate of payroll withholding, the participant may do so effective for the next offering by submitting a new enrollment form before the offering for which such change is to be effective.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 participant may not transfer any rights under the ESPP other than by will or the laws of descent and distribution. During a participant’s lifetime, options in the ESPP shall be exercisable only by such participant. The ESPP is unfunded, and all funds received by us under the ESPP may be combined with other corporate funds and used for any corporate purpose, unless otherwise required by applicable law.</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 xml:space="preserve">Adjustments. </w:t>
      </w:r>
      <w:r>
        <w:rPr>
          <w:rFonts w:ascii="Arial" w:hAnsi="Arial"/>
          <w:color w:val="000000"/>
          <w:sz w:val="20"/>
        </w:rPr>
        <w:t>In the event of any stock split, reverse stock split, stock dividend, recapitalization, combination or exchange of shares, reclassification of shares, spin-off, or other similar change in capitalization or event, or any dividend or distribution to holders of our common stock other than an ordinary cash dividend, we will proportionately adjust the number and class of shares approved under the ESPP, the option price for an offering and the maximum number of shares which a participant may elect to purchase in any single offering.</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Corporate Transactions</w:t>
      </w:r>
      <w:r>
        <w:rPr>
          <w:rFonts w:ascii="Arial" w:hAnsi="Arial"/>
          <w:color w:val="000000"/>
          <w:sz w:val="20"/>
        </w:rPr>
        <w:t>. In the event of a corporate transaction (as defined above with respect to the 2026 Plan), the ESPP administrator may take any of the following actions, or do any combination thereof: (i) determine that each outstanding option will be assumed or an equivalent option substituted by the acquiring or successor corporation or other entity (or an affiliate thereof); (ii) upon written notice to participants, provide that participants’ accumulated payroll deductions will be used to purchase shares of our common stock on a date determined by the ESPP administrator within ten days prior to the corporate transaction and that all outstanding options will terminate immediately after such purchase; (iii) upon written notice to participants, provide that all outstanding options will be cancelled and accumulated payroll deductions will be returned to participants; (iv) if the applicable corporate transaction provides for cash payments to the holders of our common stock, provide for cash payments to participants in amounts based on the per-share amount of such cash payments to the stockholders; or (v) if we are liquidated or dissolved, provide that options to purchase stock under the ESPP will convert into the right to receive the liquidation proceeds (net of the option price).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i/>
          <w:color w:val="000000"/>
          <w:sz w:val="20"/>
        </w:rPr>
        <w:t>Amendment or Termination</w:t>
      </w:r>
      <w:r>
        <w:rPr>
          <w:rFonts w:ascii="Arial" w:hAnsi="Arial"/>
          <w:color w:val="000000"/>
          <w:sz w:val="20"/>
        </w:rPr>
        <w:t>. The ESPP administrator may amend, suspend or terminate the ESPP at any time. However, if the terms of the ESPP are amended to increase the number of shares approved for the ESPP or in a manner that would require stockholder approval under the rules of Nasdaq, other relevant listing authority or to qualify as an “employee stock purchase plan” under Section 423(b) of the Code, the ESPP administrator may not amend the ESPP without obtaining stockholder approval within 12 months before or after the date such amendment is adopted. The ESPP automatically terminates on the ten-year anniversary of the date the ESPP was approved by the Company’s stockholders.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intend to file a registration statement on Form S-8 to register all of the shares of our common stock reserved for issuance under the ESPP.</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Compensation Clawback Policy</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connection with and effective upon the closing of this offering, we have adopted a clawback policy, or the Clawback Policy, in compliance with the SEC’s and Nasdaq’s final rules. The Clawback Policy will require the repayment of certain erroneously awarded incentive-based compensation paid to any current or former executive officer, including our named executive officers, in connection with a restatement of financial statements if such compensation exceeds the amount that the executive officers would have received based on the restated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Limitations on Liability and Indemnification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Our Certificate of Incorporation, which will become effective immediately prior to the closing of this offering, will provide that, to the fullest extent permitted by law, we will indemnify any officer or director of our company against all damages, claims and liabilities arising out of the fact that the person is or was our officer or director, or served any other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enterprise at our request as an officer or director. Our Certificate of Incorporation will contain provisions that limit the liability of our directors and officers for monetary damages to the fullest extent permitted by law. Amending these provisions will not reduce our indemnification obligations relating to or the exculpation of our officers and directors for actions taken before an amendment.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have entered and expect to continue to enter into agreements to indemnify our directors, executive officers and other employees as determined by our board of directors. With certain exceptions, these agreements provide for indemnification for related expenses including attorneys’ fees, judgments, fines and settlement amounts incurred by any of these individuals in any action or proceeding.</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believe that these Certificate of Incorporation provisions and indemnification agreements are necessary to attract and retain qualified persons as directors and officers. We also maintain customary directors’ and officers’ liability insurance.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limitation of liability and indemnification provisions in our Certificate of Incorporation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Rule 10b5-1 Plans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Our directors, officers and key employees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 director or officer. The director or officer may amend or terminate a Rule 10b5-1 plan, subject to certain requirements. Our directors and executive officers may also buy or sell additional shares outside of a Rule 10b5-1 plan when they are not in possession of material nonpublic information, subject to compliance with the terms of our insider trading policy and any applicable Rule 10b5-1 guidelines. Prior to 180 days after the date of the closing of this offering, subject to early termination and subject to certain limited exceptions, the sale of any shares under such Rule 10b5-1 plan would be subject to the lock-up agreement that the director or executive officer has entered into with the underwriters in connection with this offering.</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6" w:name="certain_relationships_and_related_person"/>
      <w:bookmarkEnd w:id="16"/>
      <w:r>
        <w:rPr>
          <w:rFonts w:ascii="Arial" w:hAnsi="Arial"/>
          <w:b/>
          <w:color w:val="000000"/>
          <w:sz w:val="20"/>
        </w:rPr>
        <w:t>CERTAIN RELATIONSHIPS AND RELATED PERSON TRANSACTIONS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following is a summary of transactions since January 1, 2023 and any currently proposed transactions to which we have been a participant in which the amount involved exceeded or will exceed the lesser of $120,000 or 1% of the average of our total assets as of each of December 31, 2025 and 2024, and in which any of our then directors, executive officers or holders of more than 5% of any class of our capital stock at the time of such transaction, or any members of their immediate family, had or will have a direct or indirect material interest, other than compensation arrangements which are described in the sections of this prospectus titled “</w:t>
      </w:r>
      <w:r>
        <w:rPr>
          <w:rFonts w:ascii="Arial" w:hAnsi="Arial"/>
          <w:i/>
          <w:color w:val="000000"/>
          <w:sz w:val="20"/>
        </w:rPr>
        <w:t>Executive Compensation</w:t>
      </w:r>
      <w:r>
        <w:rPr>
          <w:rFonts w:ascii="Times New Roman" w:hAnsi="Times New Roman"/>
          <w:color w:val="000000"/>
          <w:sz w:val="20"/>
        </w:rPr>
        <w:t xml:space="preserve">” </w:t>
      </w:r>
      <w:r>
        <w:rPr>
          <w:rFonts w:ascii="Arial" w:hAnsi="Arial"/>
          <w:color w:val="000000"/>
          <w:sz w:val="20"/>
        </w:rPr>
        <w:t>and “</w:t>
      </w:r>
      <w:r>
        <w:rPr>
          <w:rFonts w:ascii="Arial" w:hAnsi="Arial"/>
          <w:i/>
          <w:color w:val="000000"/>
          <w:sz w:val="20"/>
        </w:rPr>
        <w:t>Management—Non-Employee Director Compensation</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Series C Preferred Stock Financing</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On October 25, 2023, we entered into the Series C Preferred Stock Purchase Agreement with a number of investors named therein. We subsequently entered into Amendment No. 1 thereto, dated November 28, 2023, Amendment No. 2 thereto, dated January 18, 2024, Amendment No. 3 thereto, dated April 30, 2024, Amendment No. 4 thereto, dated July 17, 2024, and Amendment No. 5 thereto, dated August 6, 2024. In multiple closings held between October 2023 and August 2024, we issued and sold an aggregate of 23,442,000 shares of our Series C convertible preferred stock at a purchase price of $5.00 per share for an aggregate purchase price of approximately $117.2 million, which we refer to as the Series C Preferred Stock Financing.</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On November 22, 2024, we entered into a Series C-1 Preferred Stock Purchase Agreement with an investor named therein, pursuant to which we sold an aggregate of 1,459,598 shares of our Series C-1 convertible preferred stock at a purchase price of $5.1384 per share for an aggregate purchase price of approximately $7.5 million, which we refer to as the Series C-1 Preferred Stock Financing.</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following table summarizes the Series C convertible preferred stock and Series C-1 convertible preferred stock purchased by our directors, executive officers or holders of more than 5% of our capital stock as of the date of the applicable closing, and entities affiliated with certain of our executive officers and directors. The Series C convertible preferred stock and Series C-1 convertible preferred stock will convert into an aggregate of 2,562,679 shares of common stock immediately prior to the completion of this offering, after giving effect to the applicable conversion ratio and the reverse stock splits effected in connection with this offering.</w:t>
      </w:r>
      <w:r>
        <w:rPr>
          <w:rFonts w:ascii="Times New Roman" w:hAnsi="Times New Roman"/>
          <w:color w:val="000000"/>
          <w:sz w:val="20"/>
        </w:rPr>
        <w:t xml:space="preserve"> </w:t>
      </w:r>
    </w:p>
    <w:p>
      <w:pPr>
        <w:pStyle w:val="TextBody"/>
        <w:bidi w:val="0"/>
        <w:jc w:val="left"/>
        <w:rPr/>
      </w:pPr>
      <w:r>
        <w:rPr/>
        <w:t> </w:t>
      </w:r>
    </w:p>
    <w:tbl>
      <w:tblPr>
        <w:tblW w:w="8890" w:type="dxa"/>
        <w:jc w:val="left"/>
        <w:tblInd w:w="0" w:type="dxa"/>
        <w:tblLayout w:type="fixed"/>
        <w:tblCellMar>
          <w:top w:w="28" w:type="dxa"/>
          <w:left w:w="28" w:type="dxa"/>
          <w:bottom w:w="28" w:type="dxa"/>
          <w:right w:w="28" w:type="dxa"/>
        </w:tblCellMar>
      </w:tblPr>
      <w:tblGrid>
        <w:gridCol w:w="4741"/>
        <w:gridCol w:w="146"/>
        <w:gridCol w:w="961"/>
        <w:gridCol w:w="146"/>
        <w:gridCol w:w="146"/>
        <w:gridCol w:w="961"/>
        <w:gridCol w:w="146"/>
        <w:gridCol w:w="146"/>
        <w:gridCol w:w="1066"/>
        <w:gridCol w:w="431"/>
      </w:tblGrid>
      <w:tr>
        <w:trPr/>
        <w:tc>
          <w:tcPr>
            <w:tcW w:w="47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431" w:type="dxa"/>
            <w:tcBorders/>
            <w:shd w:fill="FFFFFF" w:val="clear"/>
            <w:vAlign w:val="center"/>
          </w:tcPr>
          <w:p>
            <w:pPr>
              <w:pStyle w:val="TableContents"/>
              <w:bidi w:val="0"/>
              <w:spacing w:before="0" w:after="283"/>
              <w:jc w:val="left"/>
              <w:rPr>
                <w:sz w:val="4"/>
                <w:szCs w:val="4"/>
              </w:rPr>
            </w:pPr>
            <w:r>
              <w:rPr>
                <w:sz w:val="4"/>
                <w:szCs w:val="4"/>
              </w:rPr>
            </w:r>
          </w:p>
        </w:tc>
      </w:tr>
      <w:tr>
        <w:trPr/>
        <w:tc>
          <w:tcPr>
            <w:tcW w:w="47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Arial" w:hAnsi="Arial"/>
                <w:b/>
                <w:color w:val="000000"/>
                <w:sz w:val="16"/>
              </w:rPr>
              <w:t>Name</w:t>
            </w:r>
            <w:r>
              <w:rPr>
                <w:rFonts w:ascii="Arial" w:hAnsi="Arial"/>
                <w:b/>
                <w:color w:val="000000"/>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Series C</w:t>
              <w:br/>
              <w:t>Preferred</w:t>
              <w:br/>
              <w:t>Stock</w:t>
              <w:br/>
              <w:t>Purchased</w:t>
              <w:br/>
              <w:t>(Shares)</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Series C-1</w:t>
              <w:br/>
              <w:t>Preferred</w:t>
              <w:br/>
              <w:t>Stock</w:t>
              <w:br/>
              <w:t>Purchased</w:t>
              <w:br/>
              <w:t>(Shares)</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Aggregate</w:t>
              <w:br/>
              <w:t>Purchase</w:t>
              <w:br/>
              <w:t>Price ($)</w:t>
            </w:r>
            <w:r>
              <w:rPr>
                <w:rFonts w:ascii="Times New Roman" w:hAnsi="Times New Roman"/>
                <w:color w:val="000000"/>
                <w:sz w:val="16"/>
              </w:rPr>
              <w:t xml:space="preserve"> </w:t>
            </w:r>
          </w:p>
        </w:tc>
        <w:tc>
          <w:tcPr>
            <w:tcW w:w="43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sz w:val="20"/>
              </w:rPr>
            </w:pPr>
            <w:r>
              <w:rPr>
                <w:rFonts w:ascii="Arial" w:hAnsi="Arial"/>
                <w:color w:val="000000"/>
                <w:sz w:val="20"/>
              </w:rPr>
              <w:t>Entities affiliated with SR One Capital Management</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5,300,142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26,500,710</w:t>
            </w:r>
          </w:p>
        </w:tc>
        <w:tc>
          <w:tcPr>
            <w:tcW w:w="43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sz w:val="20"/>
              </w:rPr>
            </w:pPr>
            <w:r>
              <w:rPr>
                <w:rFonts w:ascii="Arial" w:hAnsi="Arial"/>
                <w:color w:val="000000"/>
                <w:sz w:val="20"/>
              </w:rPr>
              <w:t>Entities affiliated with Ascenta Capital</w:t>
            </w:r>
            <w:r>
              <w:rPr>
                <w:rFonts w:ascii="Arial" w:hAnsi="Arial"/>
                <w:color w:val="000000"/>
                <w:sz w:val="13"/>
              </w:rPr>
              <w:t>(3)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3,226,000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16,130,000</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sz w:val="20"/>
              </w:rPr>
            </w:pPr>
            <w:r>
              <w:rPr>
                <w:rFonts w:ascii="Arial" w:hAnsi="Arial"/>
                <w:color w:val="000000"/>
                <w:sz w:val="20"/>
              </w:rPr>
              <w:t>Entities affiliated with FMR LLC</w:t>
            </w:r>
            <w:r>
              <w:rPr>
                <w:rFonts w:ascii="Arial" w:hAnsi="Arial"/>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15,430,000</w:t>
            </w:r>
          </w:p>
        </w:tc>
        <w:tc>
          <w:tcPr>
            <w:tcW w:w="43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OrbiMed Private Investments VIII, LP</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1,341,687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6,708,435</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sz w:val="20"/>
              </w:rPr>
            </w:pPr>
            <w:r>
              <w:rPr>
                <w:rFonts w:ascii="Arial" w:hAnsi="Arial"/>
                <w:color w:val="000000"/>
                <w:sz w:val="20"/>
              </w:rPr>
              <w:t>Entities affiliated with Foresite Capital</w:t>
            </w:r>
            <w:r>
              <w:rPr>
                <w:rFonts w:ascii="Arial" w:hAnsi="Arial"/>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524,400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2,622,000</w:t>
            </w:r>
          </w:p>
        </w:tc>
        <w:tc>
          <w:tcPr>
            <w:tcW w:w="43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sz w:val="20"/>
              </w:rPr>
            </w:pPr>
            <w:r>
              <w:rPr>
                <w:rFonts w:ascii="Arial" w:hAnsi="Arial"/>
                <w:color w:val="000000"/>
                <w:sz w:val="20"/>
              </w:rPr>
              <w:t>Entities affiliated with General Catalyst Group</w:t>
            </w:r>
            <w:r>
              <w:rPr>
                <w:rFonts w:ascii="Arial" w:hAnsi="Arial"/>
                <w:color w:val="000000"/>
                <w:sz w:val="13"/>
              </w:rPr>
              <w:t>(6)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439,614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2,198,070</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sz w:val="20"/>
              </w:rPr>
            </w:pPr>
            <w:r>
              <w:rPr>
                <w:rFonts w:ascii="Arial" w:hAnsi="Arial"/>
                <w:color w:val="000000"/>
                <w:sz w:val="20"/>
              </w:rPr>
              <w:t>Entities affiliated with Hillhouse Investment</w:t>
            </w:r>
            <w:r>
              <w:rPr>
                <w:rFonts w:ascii="Arial" w:hAnsi="Arial"/>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1,500,000</w:t>
            </w:r>
          </w:p>
        </w:tc>
        <w:tc>
          <w:tcPr>
            <w:tcW w:w="43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HBM Healthcare Investments (Cayman) Ltd.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257,121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1,285,605</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Racing Beach Ventures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500,000</w:t>
            </w:r>
          </w:p>
        </w:tc>
        <w:tc>
          <w:tcPr>
            <w:tcW w:w="43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Gary D. Glick, Ph.D.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500,000</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Activant Capital V,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1,459,598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7,500,000</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ind w:left="0" w:right="9792" w:hanging="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pPr>
      <w:r>
        <w:rPr>
          <w:rFonts w:ascii="Arial" w:hAnsi="Arial"/>
          <w:color w:val="000000"/>
          <w:sz w:val="20"/>
        </w:rPr>
        <w:t>Additional details regarding certain of these stockholders and their equity holdings are included in the section of this prospectus titled “</w:t>
      </w:r>
      <w:r>
        <w:rPr>
          <w:rFonts w:ascii="Arial" w:hAnsi="Arial"/>
          <w:i/>
          <w:color w:val="000000"/>
          <w:sz w:val="20"/>
        </w:rPr>
        <w:t>Principal Stockholders</w:t>
      </w:r>
      <w:r>
        <w:rPr>
          <w:rFonts w:ascii="Arial" w:hAnsi="Arial"/>
          <w:color w:val="000000"/>
          <w:sz w:val="20"/>
        </w:rPr>
        <w:t xml:space="preserve">.” </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spacing w:before="0" w:after="0"/>
        <w:jc w:val="left"/>
        <w:rPr>
          <w:rFonts w:ascii="Arial" w:hAnsi="Arial"/>
          <w:color w:val="000000"/>
          <w:sz w:val="20"/>
        </w:rPr>
      </w:pPr>
      <w:r>
        <w:rPr>
          <w:rFonts w:ascii="Arial" w:hAnsi="Arial"/>
          <w:color w:val="000000"/>
          <w:sz w:val="20"/>
        </w:rPr>
        <w:t xml:space="preserve">Consists of (i) 600,142 shares of Series C convertible preferred stock held by SR One Capital Fund I Aggregator, L.P., (ii) 200,000 shares of Series C convertible preferred stock held by SR One Co-Invest IV-A, LLC and (iii) 4,500,000 shares of Series C convertible preferred stock held by AMZL, LP. </w:t>
      </w:r>
    </w:p>
    <w:p>
      <w:pPr>
        <w:pStyle w:val="TextBody"/>
        <w:bidi w:val="0"/>
        <w:spacing w:before="0" w:after="0"/>
        <w:jc w:val="left"/>
        <w:rPr>
          <w:rFonts w:ascii="Arial" w:hAnsi="Arial"/>
          <w:color w:val="000000"/>
          <w:sz w:val="20"/>
        </w:rPr>
      </w:pPr>
      <w:r>
        <w:rPr>
          <w:rFonts w:ascii="Arial" w:hAnsi="Arial"/>
          <w:color w:val="000000"/>
          <w:sz w:val="20"/>
        </w:rPr>
        <w:t>(3)</w:t>
      </w:r>
    </w:p>
    <w:p>
      <w:pPr>
        <w:pStyle w:val="TextBody"/>
        <w:bidi w:val="0"/>
        <w:spacing w:before="0" w:after="0"/>
        <w:jc w:val="left"/>
        <w:rPr>
          <w:rFonts w:ascii="Arial" w:hAnsi="Arial"/>
          <w:color w:val="000000"/>
          <w:sz w:val="20"/>
        </w:rPr>
      </w:pPr>
      <w:r>
        <w:rPr>
          <w:rFonts w:ascii="Arial" w:hAnsi="Arial"/>
          <w:color w:val="000000"/>
          <w:sz w:val="20"/>
        </w:rPr>
        <w:t xml:space="preserve">Consists of (i) 3,000,000 shares of Series C convertible preferred stock held by Ascenta Capital Fund I, L.P. and (ii) 226,000 shares of Series C convertible preferred stock held by Ascenta Capital Project Argos SPV, L.P. A representative of Ascenta Capital previously served on our board of directors. </w:t>
      </w:r>
    </w:p>
    <w:p>
      <w:pPr>
        <w:pStyle w:val="TextBody"/>
        <w:bidi w:val="0"/>
        <w:spacing w:before="0" w:after="0"/>
        <w:jc w:val="left"/>
        <w:rPr>
          <w:rFonts w:ascii="Arial" w:hAnsi="Arial"/>
          <w:color w:val="000000"/>
          <w:sz w:val="20"/>
        </w:rPr>
      </w:pPr>
      <w:r>
        <w:rPr>
          <w:rFonts w:ascii="Arial" w:hAnsi="Arial"/>
          <w:color w:val="000000"/>
          <w:sz w:val="20"/>
        </w:rPr>
        <w:t>(4)</w:t>
      </w:r>
    </w:p>
    <w:p>
      <w:pPr>
        <w:pStyle w:val="TextBody"/>
        <w:bidi w:val="0"/>
        <w:jc w:val="left"/>
        <w:rPr>
          <w:rFonts w:ascii="Arial" w:hAnsi="Arial"/>
          <w:color w:val="000000"/>
          <w:sz w:val="20"/>
        </w:rPr>
      </w:pPr>
      <w:r>
        <w:rPr>
          <w:rFonts w:ascii="Arial" w:hAnsi="Arial"/>
          <w:color w:val="000000"/>
          <w:sz w:val="20"/>
        </w:rPr>
        <w:t xml:space="preserve">Consists of (i) 215,628 shares of Series C convertible preferred stock held by Fidelity Mt. Vernon Street Trust: Fidelity Series Growth Company Fund, (ii) 990,319 shares of Series C convertible preferred stock held by Fidelity Mt. Vernon Street Trust: Fidelity Growth Company Fund, (iii) 1,437,611 shares of Series C convertible preferred stock held by Fidelity Growth Company Commingled Pool and (iv) 442,442 shares of Series C convertible preferred stock held by Fidelity Mt. Vernon Street Trust: Fidelity Growth Company K6 Fund. </w:t>
      </w:r>
    </w:p>
    <w:p>
      <w:pPr>
        <w:pStyle w:val="TextBody"/>
        <w:bidi w:val="0"/>
        <w:spacing w:before="120" w:after="283"/>
        <w:jc w:val="center"/>
        <w:rPr>
          <w:rFonts w:ascii="Arial" w:hAnsi="Arial"/>
          <w:color w:val="000000"/>
          <w:sz w:val="20"/>
        </w:rPr>
      </w:pPr>
      <w:r>
        <w:rPr>
          <w:rFonts w:ascii="Arial" w:hAnsi="Arial"/>
          <w:color w:val="000000"/>
          <w:sz w:val="20"/>
        </w:rPr>
        <w:t>206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(5)</w:t>
      </w:r>
    </w:p>
    <w:p>
      <w:pPr>
        <w:pStyle w:val="TextBody"/>
        <w:bidi w:val="0"/>
        <w:spacing w:before="0" w:after="0"/>
        <w:jc w:val="left"/>
        <w:rPr>
          <w:rFonts w:ascii="Arial" w:hAnsi="Arial"/>
          <w:color w:val="000000"/>
          <w:sz w:val="20"/>
        </w:rPr>
      </w:pPr>
      <w:r>
        <w:rPr>
          <w:rFonts w:ascii="Arial" w:hAnsi="Arial"/>
          <w:color w:val="000000"/>
          <w:sz w:val="20"/>
        </w:rPr>
        <w:t xml:space="preserve">Consists of (i) 397,540 shares of Series C convertible preferred stock held by Foresite Capital Fund V, L.P. and (ii) 126,860 shares of Series C convertible preferred stock held by Foresite Capital Opportunity Fund V, L.P. </w:t>
      </w:r>
    </w:p>
    <w:p>
      <w:pPr>
        <w:pStyle w:val="TextBody"/>
        <w:bidi w:val="0"/>
        <w:spacing w:before="0" w:after="0"/>
        <w:jc w:val="left"/>
        <w:rPr>
          <w:rFonts w:ascii="Arial" w:hAnsi="Arial"/>
          <w:color w:val="000000"/>
          <w:sz w:val="20"/>
        </w:rPr>
      </w:pPr>
      <w:r>
        <w:rPr>
          <w:rFonts w:ascii="Arial" w:hAnsi="Arial"/>
          <w:color w:val="000000"/>
          <w:sz w:val="20"/>
        </w:rPr>
        <w:t>(6)</w:t>
      </w:r>
    </w:p>
    <w:p>
      <w:pPr>
        <w:pStyle w:val="TextBody"/>
        <w:bidi w:val="0"/>
        <w:spacing w:before="0" w:after="0"/>
        <w:jc w:val="left"/>
        <w:rPr>
          <w:rFonts w:ascii="Arial" w:hAnsi="Arial"/>
          <w:color w:val="000000"/>
          <w:sz w:val="20"/>
        </w:rPr>
      </w:pPr>
      <w:r>
        <w:rPr>
          <w:rFonts w:ascii="Arial" w:hAnsi="Arial"/>
          <w:color w:val="000000"/>
          <w:sz w:val="20"/>
        </w:rPr>
        <w:t xml:space="preserve">Consists of (i) 43,961 shares of Series C convertible preferred stock held by General Catalyst Group XI—Endurance, L.P. and (ii) 395,653 shares of Series C convertible preferred stock held by General Catalyst Group XI—Health Assurance, L.P. </w:t>
      </w:r>
    </w:p>
    <w:p>
      <w:pPr>
        <w:pStyle w:val="TextBody"/>
        <w:bidi w:val="0"/>
        <w:spacing w:before="0" w:after="0"/>
        <w:jc w:val="left"/>
        <w:rPr>
          <w:rFonts w:ascii="Arial" w:hAnsi="Arial"/>
          <w:color w:val="000000"/>
          <w:sz w:val="20"/>
        </w:rPr>
      </w:pPr>
      <w:r>
        <w:rPr>
          <w:rFonts w:ascii="Arial" w:hAnsi="Arial"/>
          <w:color w:val="000000"/>
          <w:sz w:val="20"/>
        </w:rPr>
        <w:t>(7)</w:t>
      </w:r>
    </w:p>
    <w:p>
      <w:pPr>
        <w:pStyle w:val="TextBody"/>
        <w:bidi w:val="0"/>
        <w:jc w:val="left"/>
        <w:rPr>
          <w:rFonts w:ascii="Arial" w:hAnsi="Arial"/>
          <w:color w:val="000000"/>
          <w:sz w:val="20"/>
        </w:rPr>
      </w:pPr>
      <w:r>
        <w:rPr>
          <w:rFonts w:ascii="Arial" w:hAnsi="Arial"/>
          <w:color w:val="000000"/>
          <w:sz w:val="20"/>
        </w:rPr>
        <w:t xml:space="preserve">Consists of (i) 120,000 shares of Series C convertible preferred stock held by WXR II Holdings Limited and (ii) 180,000 shares of Series C convertible preferred stock held by GNTR Holdings Limited. </w:t>
      </w:r>
    </w:p>
    <w:p>
      <w:pPr>
        <w:pStyle w:val="TextBody"/>
        <w:bidi w:val="0"/>
        <w:spacing w:before="240" w:after="283"/>
        <w:jc w:val="left"/>
        <w:rPr>
          <w:rFonts w:ascii="Times New Roman" w:hAnsi="Times New Roman"/>
          <w:sz w:val="20"/>
        </w:rPr>
      </w:pPr>
      <w:r>
        <w:rPr>
          <w:rFonts w:ascii="Arial" w:hAnsi="Arial"/>
          <w:b/>
          <w:color w:val="000000"/>
          <w:sz w:val="20"/>
        </w:rPr>
        <w:t>Series D Preferred Stock Financing</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On June 16, 2025, we entered into the Series D Preferred Stock Purchase Agreement with a number of investors named therein. We subsequently entered into Amendment No. 1 thereto, dated June 23, 2025, and Amendment No. 2 thereto, dated August 6, 2025. In multiple closings held between June 16, 2025 and October 2, 2025, we issued and sold (i) an aggregate of 141,950,377 shares of our Series D convertible preferred stock at a purchase price of $1.50497 per share, for an aggregate purchase price of approximately $213.6 million and (ii) Common Stock Warrants to purchase an aggregate of 4,056,164 shares of common stock with an exercise price of $0.10 per share, which we refer to collectively as the Series D Preferred Stock Financing.</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following table summarizes the Series D convertible preferred stock and Common Stock Warrants purchased by our directors, executive officers or holders of more than 5% of our capital stock as of the date of the applicable closing, and entities affiliated with certain of our executive officers and directors. The Series D convertible preferred stock and Common Stock Warrants will convert into an aggregate of 14,608,456 shares of common stock and be exercisable into aggregate of 3,307,791 shares of common stock, respectively, immediately prior to the completion of this offering, after giving effect to the applicable conversion ratio and the reverse stock splits effected in connection with this offering.</w:t>
      </w:r>
      <w:r>
        <w:rPr>
          <w:rFonts w:ascii="Times New Roman" w:hAnsi="Times New Roman"/>
          <w:color w:val="000000"/>
          <w:sz w:val="20"/>
        </w:rPr>
        <w:t xml:space="preserve"> </w:t>
      </w:r>
    </w:p>
    <w:p>
      <w:pPr>
        <w:pStyle w:val="TextBody"/>
        <w:bidi w:val="0"/>
        <w:jc w:val="left"/>
        <w:rPr/>
      </w:pPr>
      <w:r>
        <w:rPr/>
        <w:t> </w:t>
      </w:r>
    </w:p>
    <w:tbl>
      <w:tblPr>
        <w:tblW w:w="8500" w:type="dxa"/>
        <w:jc w:val="left"/>
        <w:tblInd w:w="0" w:type="dxa"/>
        <w:tblLayout w:type="fixed"/>
        <w:tblCellMar>
          <w:top w:w="28" w:type="dxa"/>
          <w:left w:w="28" w:type="dxa"/>
          <w:bottom w:w="28" w:type="dxa"/>
          <w:right w:w="28" w:type="dxa"/>
        </w:tblCellMar>
      </w:tblPr>
      <w:tblGrid>
        <w:gridCol w:w="4426"/>
        <w:gridCol w:w="146"/>
        <w:gridCol w:w="1036"/>
        <w:gridCol w:w="146"/>
        <w:gridCol w:w="146"/>
        <w:gridCol w:w="841"/>
        <w:gridCol w:w="146"/>
        <w:gridCol w:w="146"/>
        <w:gridCol w:w="1036"/>
        <w:gridCol w:w="431"/>
      </w:tblGrid>
      <w:tr>
        <w:trPr/>
        <w:tc>
          <w:tcPr>
            <w:tcW w:w="44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431" w:type="dxa"/>
            <w:tcBorders/>
            <w:shd w:fill="FFFFFF" w:val="clear"/>
            <w:vAlign w:val="center"/>
          </w:tcPr>
          <w:p>
            <w:pPr>
              <w:pStyle w:val="TableContents"/>
              <w:bidi w:val="0"/>
              <w:spacing w:before="0" w:after="283"/>
              <w:jc w:val="left"/>
              <w:rPr>
                <w:sz w:val="4"/>
                <w:szCs w:val="4"/>
              </w:rPr>
            </w:pPr>
            <w:r>
              <w:rPr>
                <w:sz w:val="4"/>
                <w:szCs w:val="4"/>
              </w:rPr>
            </w:r>
          </w:p>
        </w:tc>
      </w:tr>
      <w:tr>
        <w:trPr/>
        <w:tc>
          <w:tcPr>
            <w:tcW w:w="44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Arial" w:hAnsi="Arial"/>
                <w:b/>
                <w:color w:val="000000"/>
                <w:sz w:val="16"/>
              </w:rPr>
              <w:t>Name</w:t>
            </w:r>
            <w:r>
              <w:rPr>
                <w:rFonts w:ascii="Arial" w:hAnsi="Arial"/>
                <w:b/>
                <w:color w:val="000000"/>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Series D</w:t>
              <w:br/>
              <w:t>Preferred</w:t>
              <w:br/>
              <w:t>Stock</w:t>
              <w:br/>
              <w:t>Purchased</w:t>
              <w:br/>
              <w:t>(Shares)</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Common</w:t>
              <w:br/>
              <w:t>Stock</w:t>
              <w:br/>
              <w:t>Warrants</w:t>
              <w:br/>
              <w:t>(Shares)</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Aggregate</w:t>
              <w:br/>
              <w:t>Purchase</w:t>
              <w:br/>
              <w:t>Price ($)</w:t>
            </w:r>
            <w:r>
              <w:rPr>
                <w:rFonts w:ascii="Arial" w:hAnsi="Arial"/>
                <w:b/>
                <w:color w:val="000000"/>
                <w:sz w:val="11"/>
              </w:rPr>
              <w:t>(2)</w:t>
            </w:r>
            <w:r>
              <w:rPr>
                <w:rFonts w:ascii="Times New Roman" w:hAnsi="Times New Roman"/>
                <w:color w:val="000000"/>
                <w:sz w:val="16"/>
              </w:rPr>
              <w:t xml:space="preserve"> </w:t>
            </w:r>
          </w:p>
        </w:tc>
        <w:tc>
          <w:tcPr>
            <w:tcW w:w="43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18"/>
              </w:rPr>
            </w:pPr>
            <w:r>
              <w:rPr>
                <w:rFonts w:ascii="Arial" w:hAnsi="Arial"/>
                <w:color w:val="000000"/>
                <w:sz w:val="18"/>
              </w:rPr>
              <w:t>Jeito II S.L.P.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18,272,789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27,499,999</w:t>
            </w:r>
          </w:p>
        </w:tc>
        <w:tc>
          <w:tcPr>
            <w:tcW w:w="43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42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18"/>
              </w:rPr>
            </w:pPr>
            <w:r>
              <w:rPr>
                <w:rFonts w:ascii="Arial" w:hAnsi="Arial"/>
                <w:color w:val="000000"/>
                <w:sz w:val="18"/>
              </w:rPr>
              <w:t>TPG LSI Rise Orazio, L.P.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18,272,789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423,111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27,499,999</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18"/>
              </w:rPr>
            </w:pPr>
            <w:r>
              <w:rPr>
                <w:rFonts w:ascii="Arial" w:hAnsi="Arial"/>
                <w:color w:val="000000"/>
                <w:sz w:val="18"/>
              </w:rPr>
              <w:t>Dimension Capital II,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16,611,626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24,999,999</w:t>
            </w:r>
          </w:p>
        </w:tc>
        <w:tc>
          <w:tcPr>
            <w:tcW w:w="43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42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18"/>
              </w:rPr>
            </w:pPr>
            <w:r>
              <w:rPr>
                <w:rFonts w:ascii="Arial" w:hAnsi="Arial"/>
                <w:color w:val="000000"/>
                <w:sz w:val="18"/>
              </w:rPr>
              <w:t>Lightspeed Venture Partners XV-B (Ignite), L.P.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16,611,626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512,862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24,999,999</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sz w:val="18"/>
              </w:rPr>
            </w:pPr>
            <w:r>
              <w:rPr>
                <w:rFonts w:ascii="Arial" w:hAnsi="Arial"/>
                <w:color w:val="000000"/>
                <w:sz w:val="18"/>
              </w:rPr>
              <w:t>FMR LLC</w:t>
            </w:r>
            <w:r>
              <w:rPr>
                <w:rFonts w:ascii="Arial" w:hAnsi="Arial"/>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13,289,300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19,999,998</w:t>
            </w:r>
          </w:p>
        </w:tc>
        <w:tc>
          <w:tcPr>
            <w:tcW w:w="43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42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sz w:val="18"/>
              </w:rPr>
            </w:pPr>
            <w:r>
              <w:rPr>
                <w:rFonts w:ascii="Arial" w:hAnsi="Arial"/>
                <w:color w:val="000000"/>
                <w:sz w:val="18"/>
              </w:rPr>
              <w:t>Entities affiliated with SR One Capital Management</w:t>
            </w:r>
            <w:r>
              <w:rPr>
                <w:rFonts w:ascii="Arial" w:hAnsi="Arial"/>
                <w:color w:val="000000"/>
                <w:sz w:val="12"/>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10,917,160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320,047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16,429,998</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18"/>
              </w:rPr>
            </w:pPr>
            <w:r>
              <w:rPr>
                <w:rFonts w:ascii="Arial" w:hAnsi="Arial"/>
                <w:color w:val="000000"/>
                <w:sz w:val="18"/>
              </w:rPr>
              <w:t>OrbiMed Private Investments VIII,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8,638,045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12,999,999</w:t>
            </w:r>
          </w:p>
        </w:tc>
        <w:tc>
          <w:tcPr>
            <w:tcW w:w="43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426"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18"/>
              </w:rPr>
            </w:pPr>
            <w:r>
              <w:rPr>
                <w:rFonts w:ascii="Arial" w:hAnsi="Arial"/>
                <w:color w:val="000000"/>
                <w:sz w:val="18"/>
              </w:rPr>
              <w:t>Gary D. Glick,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166,116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250,000</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ind w:left="0" w:right="9792" w:hanging="0"/>
        <w:jc w:val="left"/>
        <w:rPr>
          <w:rFonts w:ascii="Arial" w:hAnsi="Arial"/>
          <w:color w:val="000000"/>
          <w:sz w:val="20"/>
        </w:rPr>
      </w:pPr>
      <w:r>
        <w:rPr>
          <w:rFonts w:ascii="Arial" w:hAnsi="Arial"/>
          <w:color w:val="000000"/>
          <w:sz w:val="20"/>
        </w:rPr>
        <w:t>(1)</w:t>
      </w:r>
    </w:p>
    <w:p>
      <w:pPr>
        <w:pStyle w:val="TextBody"/>
        <w:bidi w:val="0"/>
        <w:spacing w:before="40" w:after="283"/>
        <w:jc w:val="left"/>
        <w:rPr/>
      </w:pPr>
      <w:r>
        <w:rPr>
          <w:rFonts w:ascii="Arial" w:hAnsi="Arial"/>
          <w:color w:val="000000"/>
          <w:sz w:val="20"/>
        </w:rPr>
        <w:t>Additional details regarding certain of these stockholders and their equity holdings are included in the section of this prospectus titled “</w:t>
      </w:r>
      <w:r>
        <w:rPr>
          <w:rFonts w:ascii="Arial" w:hAnsi="Arial"/>
          <w:i/>
          <w:color w:val="000000"/>
          <w:sz w:val="20"/>
        </w:rPr>
        <w:t>Principal Stockholders</w:t>
      </w:r>
      <w:r>
        <w:rPr>
          <w:rFonts w:ascii="Arial" w:hAnsi="Arial"/>
          <w:color w:val="000000"/>
          <w:sz w:val="20"/>
        </w:rPr>
        <w:t xml:space="preserve">.” </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spacing w:before="0" w:after="0"/>
        <w:jc w:val="left"/>
        <w:rPr>
          <w:rFonts w:ascii="Arial" w:hAnsi="Arial"/>
          <w:color w:val="000000"/>
          <w:sz w:val="20"/>
        </w:rPr>
      </w:pPr>
      <w:r>
        <w:rPr>
          <w:rFonts w:ascii="Arial" w:hAnsi="Arial"/>
          <w:color w:val="000000"/>
          <w:sz w:val="20"/>
        </w:rPr>
        <w:t xml:space="preserve">The aggregate purchase price represents the price paid at the closing and does not include the proceeds from the exercise of the Common Stock Warrants, if any. </w:t>
      </w:r>
    </w:p>
    <w:p>
      <w:pPr>
        <w:pStyle w:val="TextBody"/>
        <w:bidi w:val="0"/>
        <w:spacing w:before="0" w:after="0"/>
        <w:jc w:val="left"/>
        <w:rPr>
          <w:rFonts w:ascii="Arial" w:hAnsi="Arial"/>
          <w:color w:val="000000"/>
          <w:sz w:val="20"/>
        </w:rPr>
      </w:pPr>
      <w:r>
        <w:rPr>
          <w:rFonts w:ascii="Arial" w:hAnsi="Arial"/>
          <w:color w:val="000000"/>
          <w:sz w:val="20"/>
        </w:rPr>
        <w:t>(3)</w:t>
      </w:r>
    </w:p>
    <w:p>
      <w:pPr>
        <w:pStyle w:val="TextBody"/>
        <w:bidi w:val="0"/>
        <w:spacing w:before="0" w:after="0"/>
        <w:jc w:val="left"/>
        <w:rPr>
          <w:rFonts w:ascii="Arial" w:hAnsi="Arial"/>
          <w:color w:val="000000"/>
          <w:sz w:val="20"/>
        </w:rPr>
      </w:pPr>
      <w:r>
        <w:rPr>
          <w:rFonts w:ascii="Arial" w:hAnsi="Arial"/>
          <w:color w:val="000000"/>
          <w:sz w:val="20"/>
        </w:rPr>
        <w:t xml:space="preserve">Consists of (i) 1,501,065 shares of Series D convertible preferred stock and Common Stock Warrants to purchase up to 46,343 shares of common stock held by Fidelity Mt. Vernon Street Trust: Fidelity Series Growth Company Fund, (ii) 2,563,416 shares of Series D convertible preferred stock and Common Stock Warrants to purchase up to 79,142 shares of common stock held by Fidelity Mt. Vernon Street Trust: Fidelity Growth Company Fund, (iii) 7,470,344 shares of Series D convertible preferred stock and Common Stock Warrants to purchase up to 230,637 shares of common stock held by Fidelity Growth Company Commingled Pool and (iv) 1,754,475 shares of Series D convertible preferred stock and Common Stock Warrants to purchase up to 54,167 shares held by Fidelity Mt. Vernon Street Trust: Fidelity Growth Company K6 Fund. </w:t>
      </w:r>
    </w:p>
    <w:p>
      <w:pPr>
        <w:pStyle w:val="TextBody"/>
        <w:bidi w:val="0"/>
        <w:spacing w:before="0" w:after="0"/>
        <w:jc w:val="left"/>
        <w:rPr>
          <w:rFonts w:ascii="Arial" w:hAnsi="Arial"/>
          <w:color w:val="000000"/>
          <w:sz w:val="20"/>
        </w:rPr>
      </w:pPr>
      <w:r>
        <w:rPr>
          <w:rFonts w:ascii="Arial" w:hAnsi="Arial"/>
          <w:color w:val="000000"/>
          <w:sz w:val="20"/>
        </w:rPr>
        <w:t>(4)</w:t>
      </w:r>
    </w:p>
    <w:p>
      <w:pPr>
        <w:pStyle w:val="TextBody"/>
        <w:bidi w:val="0"/>
        <w:jc w:val="left"/>
        <w:rPr>
          <w:rFonts w:ascii="Arial" w:hAnsi="Arial"/>
          <w:color w:val="000000"/>
          <w:sz w:val="20"/>
        </w:rPr>
      </w:pPr>
      <w:r>
        <w:rPr>
          <w:rFonts w:ascii="Arial" w:hAnsi="Arial"/>
          <w:color w:val="000000"/>
          <w:sz w:val="20"/>
        </w:rPr>
        <w:t xml:space="preserve">Consists of (i) 6,644,650 shares of Series D convertible preferred stock and Common Stock Warrants to purchase up to 191,541 shares of common stock held by SR One Capital Fund I Aggregator, LP, or Fund I, (ii) 1,614,650 shares of Series D convertible preferred stock and Common Stock Warrants to purchase up to 49,850 shares of common stock held by SR One Co-Invest IV-A LLC and (iii) 2,657,860 shares of Series D convertible preferred stock and Common Stock Warrants to purchase up to 78,656 shares of common stock held by AMZL, LP. </w:t>
      </w:r>
    </w:p>
    <w:p>
      <w:pPr>
        <w:pStyle w:val="TextBody"/>
        <w:bidi w:val="0"/>
        <w:spacing w:before="120" w:after="283"/>
        <w:jc w:val="center"/>
        <w:rPr>
          <w:rFonts w:ascii="Arial" w:hAnsi="Arial"/>
          <w:color w:val="000000"/>
          <w:sz w:val="20"/>
        </w:rPr>
      </w:pPr>
      <w:r>
        <w:rPr>
          <w:rFonts w:ascii="Arial" w:hAnsi="Arial"/>
          <w:color w:val="000000"/>
          <w:sz w:val="20"/>
        </w:rPr>
        <w:t>207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Investors’ Rights Agreement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On August 30, 2021, in connection with the initial issuance and sale of our Series A convertible preferred stock, we entered into an Investors’ Rights Agreement, or the Rights Agreement, with, among others, the holders of more than 5% of our outstanding capital stock. The Rights Agreement, as amended on November 15, 2021 and November 22, 2021 in connection with the offer and sale of our Series A-1 convertible preferred stock, or the Series A-1 Preferred Financing, and our Series A-2 convertible preferred stock, or the Series A-2 Preferred Financing, respectively, as subsequently amended and restated on May 13, 2022 in connection with the offer and sale of our Series B convertible preferred stock, or the Series B Preferred Financing, and on October 25, 2023 in connection with the Series C Preferred Stock Financing, as further amended on November 22, 2024 in connection with the Series C-1 Preferred Stock Financing and as further amended and restated on June 16, 2025 in connection with the Series D Preferred Stock Financing, is referred to herein as the Third A&amp;R Rights Agreement. Certain holders of more than 5% of our outstanding capital stock are party to the Third A&amp;R Rights Agreement, including those listed in the table under the headings “</w:t>
      </w:r>
      <w:r>
        <w:rPr>
          <w:rFonts w:ascii="Times New Roman" w:hAnsi="Times New Roman"/>
          <w:color w:val="000000"/>
          <w:sz w:val="20"/>
        </w:rPr>
        <w:t>—</w:t>
      </w:r>
      <w:r>
        <w:rPr>
          <w:rFonts w:ascii="Arial" w:hAnsi="Arial"/>
          <w:i/>
          <w:color w:val="000000"/>
          <w:sz w:val="20"/>
        </w:rPr>
        <w:t>Series C Preferred Stock Financing” and “—Series D Preferred Stock Financing</w:t>
      </w:r>
      <w:r>
        <w:rPr>
          <w:rFonts w:ascii="Times New Roman" w:hAnsi="Times New Roman"/>
          <w:color w:val="000000"/>
          <w:sz w:val="20"/>
        </w:rPr>
        <w:t xml:space="preserve">” </w:t>
      </w:r>
      <w:r>
        <w:rPr>
          <w:rFonts w:ascii="Arial" w:hAnsi="Arial"/>
          <w:color w:val="000000"/>
          <w:sz w:val="20"/>
        </w:rPr>
        <w:t>above.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Third A&amp;R Rights Agreement grants certain rights to the holders of our outstanding convertible preferred stock, including certain registration rights with respect to the registrable securities held by them. See the section of this prospectus titled “</w:t>
      </w:r>
      <w:r>
        <w:rPr>
          <w:rFonts w:ascii="Arial" w:hAnsi="Arial"/>
          <w:i/>
          <w:color w:val="000000"/>
          <w:sz w:val="20"/>
        </w:rPr>
        <w:t>Description of Capital Stock—Registration Rights</w:t>
      </w:r>
      <w:r>
        <w:rPr>
          <w:rFonts w:ascii="Times New Roman" w:hAnsi="Times New Roman"/>
          <w:color w:val="000000"/>
          <w:sz w:val="20"/>
        </w:rPr>
        <w:t xml:space="preserve">” </w:t>
      </w:r>
      <w:r>
        <w:rPr>
          <w:rFonts w:ascii="Arial" w:hAnsi="Arial"/>
          <w:color w:val="000000"/>
          <w:sz w:val="20"/>
        </w:rPr>
        <w:t>for additional information.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addition, the Third A&amp;R Rights Agreement imposes certain affirmative obligations on us, including, among other things, our obligation to grant certain investors who hold shares of our convertible preferred stock a right of first offer with respect to future sales of our equity, excluding the shares to be offered and sold in this offering, and grant certain information and inspection rights to such investors. Each of these other obligations will terminate in connection with the closing of this offering.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Voting Agreement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On August 30, 2021, in connection with the Series A Preferred Stock Financing, we entered into a Voting Agreement, or the Voting Agreement, with, among others, the holders of more than 5% of our outstanding capital stock. The Voting Agreement, as amended on November 15, 2021 and November 22, 2021 in connection with the Series A-1 Preferred Stock Financing and Series A-2 Preferred Stock Financing, respectively, as subsequently amended and restated on May 13, 2022 in connection with the Series B Preferred Stock Financing and on October 25, 2023 in connection with the Series C Preferred Stock Financing, as further amended on November 22, 2024 in connection with the Series C-1 Preferred Stock Financing and as further amended and restated on June 16, 2025 in connection with the Series D Preferred Stock Financing, is referred to herein as the Third A&amp;R Voting Agreement. The Third A&amp;R Voting Agreement was amended on July 11, 2025 and August 6, 2025. Certain holders of more than 5% of our outstanding capital stock are party to the Third A&amp;R Voting Agreement, including those listed in the table under the headings “</w:t>
      </w:r>
      <w:r>
        <w:rPr>
          <w:rFonts w:ascii="Times New Roman" w:hAnsi="Times New Roman"/>
          <w:color w:val="000000"/>
          <w:sz w:val="20"/>
        </w:rPr>
        <w:t>—</w:t>
      </w:r>
      <w:r>
        <w:rPr>
          <w:rFonts w:ascii="Arial" w:hAnsi="Arial"/>
          <w:i/>
          <w:color w:val="000000"/>
          <w:sz w:val="20"/>
        </w:rPr>
        <w:t>Series C Preferred Stock Financing” and “—Series D Preferred Stock Financing</w:t>
      </w:r>
      <w:r>
        <w:rPr>
          <w:rFonts w:ascii="Times New Roman" w:hAnsi="Times New Roman"/>
          <w:color w:val="000000"/>
          <w:sz w:val="20"/>
        </w:rPr>
        <w:t xml:space="preserve">” </w:t>
      </w:r>
      <w:r>
        <w:rPr>
          <w:rFonts w:ascii="Arial" w:hAnsi="Arial"/>
          <w:color w:val="000000"/>
          <w:sz w:val="20"/>
        </w:rPr>
        <w:t>above.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Pursuant to the Third A&amp;R Voting Agreement, the parties thereto agreed to vote their shares as needed to (i) maintain the size of our board of directors at twelve members (subsequently updated to thirteen members), (ii) (A) cause OrbiMed’s designee, currently Dr. Gordon, to be elected as a Series A director, (B) cause SR One’s nominee, currently Ms. Carroll, to be elected as a Series A director, (C) cause Dimension Capital’s nominee, currently Nan Li, to be elected as a Series D director, (D) cause Sanofi Venture’s nominee, currently Dr. Hill, to be elected as an independent director, (E) cause Lightspeed Venture Partners XV-B (Ignite), L.P.’s nominee, currently Dr. Chu, to be elected as a preferred director (F) cause Jeito II S.L.P.’s nominee, currently Ms. Pavletic, to be elected as a preferred director, (G) cause TPG LSI Rise Orazio, L.P.’s nominee, currently Dr. Ng, to be elected as a preferred director, (H) cause our Chief Executive Officer, initially Dr. Glick, to be elected, (I) cause one other individual, initially Dr. Odegard, who is designated by a majority of the preferred directors and the Chief Executive Officer to be elected (J) cause one individual independent director, initially Dr. Leiden, who is designated by a majority of the preferred directors and the chief executive officer to be elected, subject to the approval of General Catalyst Group, (K) and (iii) so long as Dr. Glick holds at least 1,863,033 shares of voting stock, if at any time he no longer serves as our Chief Executive Officer, elect a director designated by Dr. Glick. In the event of a sale of the company (as defined in the Third A&amp;R Voting Agreement) that has been approved by our board of directors, the required holders and a majority of the shares of our Series D convertible preferred stock, each party is required to vote in favor of the transaction and/or sell their stock in the transaction, and otherwise execute and deliver all related documentation and refrain from exercising dissenter’s rights or depositing their shares in a voting trust or other arrangement, subject to certain limitations. The rights set forth above will terminate upon the consummation of this offering.</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208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Right of First Refusal and Co-Sale Agreement</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On August 30, 2021, in connection with the Series A Preferred Stock Financing, we entered into a Right of First Refusal and Co-Sale Agreement, or the RoFR Agreement, with, among others, the holders of more than 5% of our outstanding capital stock listed in the table under the heading “</w:t>
      </w:r>
      <w:r>
        <w:rPr>
          <w:rFonts w:ascii="Times New Roman" w:hAnsi="Times New Roman"/>
          <w:color w:val="000000"/>
          <w:sz w:val="20"/>
        </w:rPr>
        <w:t>—</w:t>
      </w:r>
      <w:r>
        <w:rPr>
          <w:rFonts w:ascii="Arial" w:hAnsi="Arial"/>
          <w:i/>
          <w:color w:val="000000"/>
          <w:sz w:val="20"/>
        </w:rPr>
        <w:t>Series A Preferred Stock Financing</w:t>
      </w:r>
      <w:r>
        <w:rPr>
          <w:rFonts w:ascii="Times New Roman" w:hAnsi="Times New Roman"/>
          <w:color w:val="000000"/>
          <w:sz w:val="20"/>
        </w:rPr>
        <w:t xml:space="preserve">” </w:t>
      </w:r>
      <w:r>
        <w:rPr>
          <w:rFonts w:ascii="Arial" w:hAnsi="Arial"/>
          <w:color w:val="000000"/>
          <w:sz w:val="20"/>
        </w:rPr>
        <w:t>above. The RoFR Agreement, as amended on November 15, 2021 and November 22, 2021 in connection with the Series A-1 Preferred Stock Financing and the Series A-2 Preferred Stock Financing, respectively, as subsequently amended and restated on May 13, 2022 in connection with the Series B Preferred Stock Financing and on October 25, 2023 in connection with the Series C Preferred Stock Financing, as further amended on November 22, 2024 in connection with the Series C-1 Preferred Stock Financing and as further amended and restated on June 16, 2025 in connection with the Series D Preferred Stock Financing is referred to herein as the Third A&amp;R RoFR Agreement. Certain holders of more than 5% of our outstanding capital stock are party to the Third A&amp;R RoFR Agreement, including those listed in the table under the heading “</w:t>
      </w:r>
      <w:r>
        <w:rPr>
          <w:rFonts w:ascii="Times New Roman" w:hAnsi="Times New Roman"/>
          <w:color w:val="000000"/>
          <w:sz w:val="20"/>
        </w:rPr>
        <w:t>—</w:t>
      </w:r>
      <w:r>
        <w:rPr>
          <w:rFonts w:ascii="Arial" w:hAnsi="Arial"/>
          <w:i/>
          <w:color w:val="000000"/>
          <w:sz w:val="20"/>
        </w:rPr>
        <w:t>Series D Preferred Stock Financing</w:t>
      </w:r>
      <w:r>
        <w:rPr>
          <w:rFonts w:ascii="Times New Roman" w:hAnsi="Times New Roman"/>
          <w:color w:val="000000"/>
          <w:sz w:val="20"/>
        </w:rPr>
        <w:t xml:space="preserve">” </w:t>
      </w:r>
      <w:r>
        <w:rPr>
          <w:rFonts w:ascii="Arial" w:hAnsi="Arial"/>
          <w:color w:val="000000"/>
          <w:sz w:val="20"/>
        </w:rPr>
        <w:t>above.</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Pursuant to the Third A&amp;R RoFR Agreement, we have a right of first refusal in respect of certain sales of securities by certain holders of our common stock, including holders of more than 5% of our outstanding capital stock. To the extent we do not exercise such right in full, certain holders of our convertible preferred stock are entitled to certain rights of first refusal and co-sale in respect of such sale. The Third A&amp;R RoFR Agreement will terminate in connection with the closing of this offering.</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Concurrent Private Placement</w:t>
      </w:r>
    </w:p>
    <w:p>
      <w:pPr>
        <w:pStyle w:val="TextBody"/>
        <w:bidi w:val="0"/>
        <w:spacing w:before="120" w:after="283"/>
        <w:ind w:left="0" w:right="0" w:firstLine="619"/>
        <w:jc w:val="left"/>
        <w:rPr>
          <w:rFonts w:ascii="Arial" w:hAnsi="Arial"/>
          <w:color w:val="000000"/>
          <w:sz w:val="20"/>
        </w:rPr>
      </w:pPr>
      <w:r>
        <w:rPr>
          <w:rFonts w:ascii="Arial" w:hAnsi="Arial"/>
          <w:color w:val="000000"/>
          <w:sz w:val="20"/>
        </w:rPr>
        <w:t>TPG Orazio II, an affiliate of an existing stockholder and an affiliate of Dr. Ng, a member of our board of directors, is expected to purchase approximately $25.0 million in shares of our common stock in a concurrent private placement exempt from the registration requirements of the Securities Act, at a per share price equal to the initial public offering price. The private placement would close concurrently with, and be contingent and conditioned upon consummation of, this offering, as well as certain other customary closing conditions. However, this offering is not contingent on the consummation of the concurrent private placement. In connection with the concurrent private placement, we expect to enter into a share purchase agreement with TPG Orazio II. Because we have not yet entered into a binding agreement with TPG Orazio II, we could determine to sell more, fewer or no shares in the concurrent private placement to TPG Orazio II, and TPG Orazio II could determine to purchase more, fewer or no shares in the concurrent private placement. The underwriters have agreed to act as placement agents in connection with the concurrent private placement and will receive a placement agent fee equal to 7% of the aggregate gross proceeds actually received in connection with the concurrent private placement.</w:t>
      </w:r>
    </w:p>
    <w:p>
      <w:pPr>
        <w:pStyle w:val="TextBody"/>
        <w:bidi w:val="0"/>
        <w:spacing w:before="240" w:after="283"/>
        <w:jc w:val="left"/>
        <w:rPr>
          <w:rFonts w:ascii="Times New Roman" w:hAnsi="Times New Roman"/>
          <w:sz w:val="20"/>
        </w:rPr>
      </w:pPr>
      <w:r>
        <w:rPr>
          <w:rFonts w:ascii="Arial" w:hAnsi="Arial"/>
          <w:b/>
          <w:color w:val="000000"/>
          <w:sz w:val="20"/>
        </w:rPr>
        <w:t>Management Rights Letters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In connection with the issuance and sale of our convertible preferred stock, we entered into management rights letters with certain purchasers of our convertible preferred stock, including holders of more than 5% of our capital stock and entities with which certain of our directors or officers are affiliated, pursuant to which such entities were granted certain management rights, including preemptive rights, observer rights and the rights to receive board materials, consult with and advise our management on significant business issues, review our operating plans, examine our books and records and inspect our facilities. These management rights letters or the rights provided therein, other than certain confidentiality obligations, will terminate upon completion of this offering.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Employment Arrangements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For information regarding the employment agreements with our named executive officers, see the sections of this prospectus titled “</w:t>
      </w:r>
      <w:r>
        <w:rPr>
          <w:rFonts w:ascii="Arial" w:hAnsi="Arial"/>
          <w:i/>
          <w:color w:val="000000"/>
          <w:sz w:val="20"/>
        </w:rPr>
        <w:t>Executive Compensation—Employment Arrangements</w:t>
      </w:r>
      <w:r>
        <w:rPr>
          <w:rFonts w:ascii="Times New Roman" w:hAnsi="Times New Roman"/>
          <w:color w:val="000000"/>
          <w:sz w:val="20"/>
        </w:rPr>
        <w:t xml:space="preserve">” </w:t>
      </w:r>
      <w:r>
        <w:rPr>
          <w:rFonts w:ascii="Arial" w:hAnsi="Arial"/>
          <w:color w:val="000000"/>
          <w:sz w:val="20"/>
        </w:rPr>
        <w:t>and “</w:t>
      </w:r>
      <w:r>
        <w:rPr>
          <w:rFonts w:ascii="Arial" w:hAnsi="Arial"/>
          <w:i/>
          <w:color w:val="000000"/>
          <w:sz w:val="20"/>
        </w:rPr>
        <w:t>Executive Compensation—Potential Payments Upon Termination or Change in Control</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Equity Grants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have granted options to purchase shares of our common stock to certain of our executive officers and directors. For more information regarding the options granted to our executive officers and directors, see the sections of this prospectus titled “</w:t>
      </w:r>
      <w:r>
        <w:rPr>
          <w:rFonts w:ascii="Arial" w:hAnsi="Arial"/>
          <w:i/>
          <w:color w:val="000000"/>
          <w:sz w:val="20"/>
        </w:rPr>
        <w:t xml:space="preserve">Executive Compensation” </w:t>
      </w:r>
      <w:r>
        <w:rPr>
          <w:rFonts w:ascii="Arial" w:hAnsi="Arial"/>
          <w:color w:val="000000"/>
          <w:sz w:val="20"/>
        </w:rPr>
        <w:t>and</w:t>
      </w:r>
      <w:r>
        <w:rPr>
          <w:rFonts w:ascii="Times New Roman" w:hAnsi="Times New Roman"/>
          <w:color w:val="000000"/>
          <w:sz w:val="20"/>
        </w:rPr>
        <w:t xml:space="preserve"> “</w:t>
      </w:r>
      <w:r>
        <w:rPr>
          <w:rFonts w:ascii="Arial" w:hAnsi="Arial"/>
          <w:i/>
          <w:color w:val="000000"/>
          <w:sz w:val="20"/>
        </w:rPr>
        <w:t>Management—Non-Employee Director Compensation</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Restricted Stock Agreements</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On December 30, 2025, we entered into two Restricted Stock Agreements with one of our directors, Ian F. Smith, or the Restricted Stock Agreements. Pursuant to the Restricted Stock Agreements, Mr. Smith agreed that certain shares received by Mr. Smith upon his exercise of options would be subject to repurchase by us until such shares have vested under the agreement, with 148,897 shares as of the date of this prospectus still subject to vesting. The unvested shares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209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will generally vest in equal monthly installments. In the event Mr. Smith no longer serves on our board of directors or otherwise ceases to provide us services, we will have the right to repurchase any unvested shares of common stock held by Mr. Smith at a price per share equal to the lesser of (i) the price paid by Mr. Smith for the unvested shares and (ii) the fair market value of the unvested shares. If Mr. Smith ceases to provide us services for cause (as defined in the Restricted Stock Agreements) we have the right to repurchase some or all of the vested shares of Common Stock at the same price as described above. Mr. Smith is prohibited from transferring his unvested shares of common stock until the consummation of this offering or other specified corporate transactions. The Restricted Stock Agreements also provide that Mr. Smith is required to vote in favor or otherwise support certain corporate transactions approved by our board of directors.</w:t>
      </w:r>
    </w:p>
    <w:p>
      <w:pPr>
        <w:pStyle w:val="TextBody"/>
        <w:bidi w:val="0"/>
        <w:spacing w:before="240" w:after="283"/>
        <w:jc w:val="left"/>
        <w:rPr>
          <w:rFonts w:ascii="Times New Roman" w:hAnsi="Times New Roman"/>
          <w:sz w:val="20"/>
        </w:rPr>
      </w:pPr>
      <w:r>
        <w:rPr>
          <w:rFonts w:ascii="Arial" w:hAnsi="Arial"/>
          <w:b/>
          <w:color w:val="000000"/>
          <w:sz w:val="20"/>
        </w:rPr>
        <w:t>Indemnification Agreements</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We intend to enter into indemnification agreements with all of our current directors and executive officers and we intend to enter into indemnification agreements with each of our directors and executive officers in connection with this offering. The indemnification agreements to be in effect upon the closing of this offering, and our Bylaws to be in effect immediately prior to the closing of this offering, require us to indemnify our directors and executive officers to the fullest extent permitted by Delaware law. For more information regarding these agreements, see the section of this prospectus titled “</w:t>
      </w:r>
      <w:r>
        <w:rPr>
          <w:rFonts w:ascii="Arial" w:hAnsi="Arial"/>
          <w:i/>
          <w:color w:val="000000"/>
          <w:sz w:val="20"/>
        </w:rPr>
        <w:t>Executive Compensation—Limitations on Liability and Indemnification</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Related Person Transaction Policy</w:t>
      </w:r>
      <w:r>
        <w:rPr>
          <w:rFonts w:ascii="Times New Roman" w:hAnsi="Times New Roman"/>
          <w:color w:val="000000"/>
          <w:sz w:val="20"/>
        </w:rPr>
        <w:t xml:space="preserve"> </w:t>
      </w:r>
    </w:p>
    <w:p>
      <w:pPr>
        <w:pStyle w:val="TextBody"/>
        <w:bidi w:val="0"/>
        <w:spacing w:before="120" w:after="283"/>
        <w:ind w:left="0" w:right="0" w:firstLine="612"/>
        <w:jc w:val="left"/>
        <w:rPr>
          <w:rFonts w:ascii="Arial" w:hAnsi="Arial"/>
          <w:color w:val="000000"/>
          <w:sz w:val="20"/>
        </w:rPr>
      </w:pPr>
      <w:r>
        <w:rPr>
          <w:rFonts w:ascii="Arial" w:hAnsi="Arial"/>
          <w:color w:val="000000"/>
          <w:sz w:val="20"/>
        </w:rPr>
        <w:t>Prior to this offering, we did not have a formal policy regarding approval of transactions with related parties. In connection with this offering, we have adopted a written related person transaction policy that sets forth our procedures for the identification, review, consideration and approval or ratification of related person transactions. The policy will become effective upon the closing of this offering. For purposes of our policy only, a related person transaction is a transaction, arrangement or relationship, or any series of similar transactions, arrangements or relationships in which (i) we are, were or will be a participant, (ii) any related person has, had or will have a direct or indirect material interest and (iii) in which the amount involved exceeded or will exceed, so long as we qualify as a smaller reporting company, the lesser of $120,000 or 1% of the average of our total assets as of the end of the two prior fiscal years, or, once we no longer qualify as a smaller reporting company, $120,000. Transactions involving compensation for services provided to us as an executive officer or director are not covered by this policy. A related person is (A) any officer, director (or nominee to become a director) or beneficial owner of more than 5% of any class of our voting securities, including any of their immediate family members, (B) any entity in which any of the foregoing persons (x) is an employee, officer, director, general partner, or serves in a similar position or (y) has a 5% or greater direct or indirect beneficial ownership interest and (C) any person or entity that directly, or indirectly through one or more intermediaries, controls or is controlled by, or is under common control with, any such entity.</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All of the transactions described above were entered into prior to the adoption of the written related person transaction policy, but all were approved by our board of directors considering similar factors to those described above.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7" w:name="principal_stockholders"/>
      <w:bookmarkEnd w:id="17"/>
      <w:r>
        <w:rPr>
          <w:rFonts w:ascii="Arial" w:hAnsi="Arial"/>
          <w:b/>
          <w:color w:val="000000"/>
          <w:sz w:val="20"/>
        </w:rPr>
        <w:t>PRINCIPAL STOCKHOLDERS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following table sets forth information with respect to the beneficial ownership of our common stock as of March 31, 2026, for:</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each of our named executive officers;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each of our directors;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all of our current directors and executive officers as a group;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each person, or group of affiliated persons, known by us to be the beneficial owner of more than 5% of our outstanding shares of common stock.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determined beneficial ownership in accordance with the rules of the SEC, which generally means that a person has beneficial ownership of a security if he or she possesses sole or shared voting or investment power of that security, including options and warrants that are currently exercisable or are exercisable within 60 days of March 31, 2026. Unless otherwise indicated, to our knowledge, the persons and entities named in the table below have sole voting and sole investment power with respect to all shares that they beneficially own, subject to community property laws where applicable. The information in the table below does not necessarily indicate beneficial ownership for any other purpose, including for purposes of Sections 13(d) and 13(g) of the Securities Act.</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We have based our calculation of the percentage of beneficial ownership prior to this offering and the concurrent private placement on 30,444,036 shares of our common stock outstanding as of March 31, 2026, including 153,311 shares of unvested restricted common stock, after giving effect to (i) the conversion of all outstanding shares of our convertible preferred stock into an aggregate of 24,596,000 shares of our common stock, (ii) the automatic exercise of the Common Stock Warrants, on a net exercise basis, into an aggregate of 3,286,267 shares of our common stock immediately prior to the closing of this offering and (iii) the conversion of our non-voting common stock into 8,359 shares of our common stock. We have based our calculation of the percentage of beneficial ownership after this offering and the concurrent private placement on 45,154,624 shares of our common stock outstanding immediately after the closing of this offering and the concurrent private placement, which further reflects the issuance of 13,240,000 shares of common stock in this offering and the issuance of 1,470,588 shares in the concurrent private placement, assuming that the underwriters will not exercise their option to purchase up to an additional 1,986,000 shares of our common stock.</w:t>
      </w:r>
    </w:p>
    <w:p>
      <w:pPr>
        <w:pStyle w:val="TextBody"/>
        <w:bidi w:val="0"/>
        <w:spacing w:before="120" w:after="283"/>
        <w:jc w:val="center"/>
        <w:rPr>
          <w:rFonts w:ascii="Arial" w:hAnsi="Arial"/>
          <w:color w:val="000000"/>
          <w:sz w:val="20"/>
        </w:rPr>
      </w:pPr>
      <w:r>
        <w:rPr>
          <w:rFonts w:ascii="Arial" w:hAnsi="Arial"/>
          <w:color w:val="000000"/>
          <w:sz w:val="20"/>
        </w:rPr>
        <w:t>211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Unless otherwise indicated, the address of each beneficial owner listed in the table below is c/o Odyssey Therapeutics, Inc., 51 Sleeper Street, Suite 800, Boston, MA 02210.</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1"/>
        <w:gridCol w:w="146"/>
        <w:gridCol w:w="1369"/>
        <w:gridCol w:w="146"/>
        <w:gridCol w:w="650"/>
        <w:gridCol w:w="146"/>
        <w:gridCol w:w="950"/>
        <w:gridCol w:w="146"/>
        <w:gridCol w:w="2717"/>
        <w:gridCol w:w="194"/>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7" w:type="dxa"/>
            <w:tcBorders/>
          </w:tcPr>
          <w:p>
            <w:pPr>
              <w:pStyle w:val="TableContents"/>
              <w:bidi w:val="0"/>
              <w:spacing w:before="0" w:after="283"/>
              <w:jc w:val="left"/>
              <w:rPr>
                <w:sz w:val="4"/>
                <w:szCs w:val="4"/>
              </w:rPr>
            </w:pPr>
            <w:r>
              <w:rPr>
                <w:sz w:val="4"/>
                <w:szCs w:val="4"/>
              </w:rPr>
            </w:r>
          </w:p>
        </w:tc>
        <w:tc>
          <w:tcPr>
            <w:tcW w:w="194" w:type="dxa"/>
            <w:tcBorders/>
          </w:tcPr>
          <w:p>
            <w:pPr>
              <w:pStyle w:val="TableContents"/>
              <w:bidi w:val="0"/>
              <w:spacing w:before="0" w:after="283"/>
              <w:jc w:val="left"/>
              <w:rPr>
                <w:sz w:val="4"/>
                <w:szCs w:val="4"/>
              </w:rPr>
            </w:pPr>
            <w:r>
              <w:rPr>
                <w:sz w:val="4"/>
                <w:szCs w:val="4"/>
              </w:rPr>
            </w:r>
          </w:p>
        </w:tc>
      </w:tr>
      <w:tr>
        <w:trPr/>
        <w:tc>
          <w:tcPr>
            <w:tcW w:w="3741" w:type="dxa"/>
            <w:vMerge w:val="restart"/>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 of Beneficial Owner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Number of Shares</w:t>
            </w:r>
            <w:r>
              <w:rPr>
                <w:rFonts w:ascii="Arial" w:hAnsi="Arial"/>
                <w:color w:val="000000"/>
                <w:sz w:val="16"/>
              </w:rPr>
              <w:br/>
            </w:r>
            <w:r>
              <w:rPr>
                <w:rFonts w:ascii="Arial" w:hAnsi="Arial"/>
                <w:b/>
                <w:color w:val="000000"/>
                <w:sz w:val="16"/>
              </w:rPr>
              <w:t>Beneficially</w:t>
              <w:br/>
              <w:t>Owned Prior to</w:t>
            </w:r>
            <w:r>
              <w:rPr>
                <w:rFonts w:ascii="Arial" w:hAnsi="Arial"/>
                <w:color w:val="000000"/>
                <w:sz w:val="16"/>
              </w:rPr>
              <w:br/>
            </w:r>
            <w:r>
              <w:rPr>
                <w:rFonts w:ascii="Arial" w:hAnsi="Arial"/>
                <w:b/>
                <w:color w:val="000000"/>
                <w:sz w:val="16"/>
              </w:rPr>
              <w:t>Offering</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46"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 of Shares</w:t>
              <w:br/>
              <w:t>Beneficially Owned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17" w:type="dxa"/>
            <w:tcBorders/>
          </w:tcPr>
          <w:p>
            <w:pPr>
              <w:pStyle w:val="TableContents"/>
              <w:bidi w:val="0"/>
              <w:spacing w:before="0" w:after="283"/>
              <w:jc w:val="left"/>
              <w:rPr>
                <w:sz w:val="4"/>
                <w:szCs w:val="4"/>
              </w:rPr>
            </w:pPr>
            <w:r>
              <w:rPr>
                <w:sz w:val="4"/>
                <w:szCs w:val="4"/>
              </w:rPr>
            </w:r>
          </w:p>
        </w:tc>
        <w:tc>
          <w:tcPr>
            <w:tcW w:w="194" w:type="dxa"/>
            <w:tcBorders/>
          </w:tcPr>
          <w:p>
            <w:pPr>
              <w:pStyle w:val="TableContents"/>
              <w:bidi w:val="0"/>
              <w:spacing w:before="0" w:after="283"/>
              <w:jc w:val="left"/>
              <w:rPr>
                <w:sz w:val="4"/>
                <w:szCs w:val="4"/>
              </w:rPr>
            </w:pPr>
            <w:r>
              <w:rPr>
                <w:sz w:val="4"/>
                <w:szCs w:val="4"/>
              </w:rPr>
            </w:r>
          </w:p>
        </w:tc>
      </w:tr>
      <w:tr>
        <w:trPr/>
        <w:tc>
          <w:tcPr>
            <w:tcW w:w="374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369"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5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Prior to this</w:t>
              <w:br/>
              <w:t>Offering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After this</w:t>
              <w:br/>
              <w:t>Offering and Concurrent Private Placement</w:t>
            </w:r>
          </w:p>
        </w:tc>
        <w:tc>
          <w:tcPr>
            <w:tcW w:w="194"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8"/>
              </w:rPr>
            </w:pPr>
            <w:r>
              <w:rPr>
                <w:rFonts w:ascii="Arial" w:hAnsi="Arial"/>
                <w:b/>
                <w:i/>
                <w:color w:val="000000"/>
                <w:sz w:val="18"/>
              </w:rPr>
              <w:t>5% and Greater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shd w:fill="CFF0FC" w:val="clea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Entities affiliated with SR One Capital Management</w:t>
            </w:r>
            <w:r>
              <w:rPr>
                <w:rFonts w:ascii="Arial" w:hAnsi="Arial"/>
                <w:color w:val="000000"/>
                <w:sz w:val="12"/>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3,239,222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10.6%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tcPr>
          <w:p>
            <w:pPr>
              <w:pStyle w:val="TableContents"/>
              <w:bidi w:val="0"/>
              <w:spacing w:before="0" w:after="283"/>
              <w:jc w:val="left"/>
              <w:rPr>
                <w:sz w:val="4"/>
                <w:szCs w:val="4"/>
              </w:rPr>
            </w:pPr>
            <w:r>
              <w:rPr>
                <w:sz w:val="4"/>
                <w:szCs w:val="4"/>
              </w:rPr>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OrbiMed Private Investments VIII, LP</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2,726,114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shd w:fill="CFF0FC" w:val="clea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FMR LLC</w:t>
            </w:r>
            <w:r>
              <w:rPr>
                <w:rFonts w:ascii="Arial" w:hAnsi="Arial"/>
                <w:color w:val="000000"/>
                <w:sz w:val="12"/>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2,519,466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8.3%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tcPr>
          <w:p>
            <w:pPr>
              <w:pStyle w:val="TableContents"/>
              <w:bidi w:val="0"/>
              <w:spacing w:before="0" w:after="283"/>
              <w:jc w:val="left"/>
              <w:rPr>
                <w:sz w:val="4"/>
                <w:szCs w:val="4"/>
              </w:rPr>
            </w:pPr>
            <w:r>
              <w:rPr>
                <w:sz w:val="4"/>
                <w:szCs w:val="4"/>
              </w:rPr>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Jeito II S.L.P.</w:t>
            </w:r>
            <w:r>
              <w:rPr>
                <w:rFonts w:ascii="Arial" w:hAnsi="Arial"/>
                <w:color w:val="000000"/>
                <w:sz w:val="12"/>
              </w:rPr>
              <w:t>(4)</w:t>
            </w: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2,301,119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shd w:fill="CFF0FC" w:val="clea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Entities affiliated with TPG Inc.</w:t>
            </w:r>
            <w:r>
              <w:rPr>
                <w:rFonts w:ascii="Arial" w:hAnsi="Arial"/>
                <w:color w:val="000000"/>
                <w:sz w:val="12"/>
              </w:rPr>
              <w:t>(5)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2,301,119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7.6%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tcPr>
          <w:p>
            <w:pPr>
              <w:pStyle w:val="TableContents"/>
              <w:bidi w:val="0"/>
              <w:spacing w:before="0" w:after="283"/>
              <w:jc w:val="left"/>
              <w:rPr>
                <w:sz w:val="4"/>
                <w:szCs w:val="4"/>
              </w:rPr>
            </w:pPr>
            <w:r>
              <w:rPr>
                <w:sz w:val="4"/>
                <w:szCs w:val="4"/>
              </w:rPr>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Lightspeed Venture Partners XV-B (Ignite), L.P.</w:t>
            </w:r>
            <w:r>
              <w:rPr>
                <w:rFonts w:ascii="Arial" w:hAnsi="Arial"/>
                <w:color w:val="000000"/>
                <w:sz w:val="12"/>
              </w:rPr>
              <w:t>(6)</w:t>
            </w: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2,219,388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shd w:fill="CFF0FC" w:val="clea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Dimension Capital II, L.P. </w:t>
            </w:r>
            <w:r>
              <w:rPr>
                <w:rFonts w:ascii="Arial" w:hAnsi="Arial"/>
                <w:color w:val="000000"/>
                <w:sz w:val="12"/>
              </w:rPr>
              <w:t>(7)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2,222,405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7.3%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tcPr>
          <w:p>
            <w:pPr>
              <w:pStyle w:val="TableContents"/>
              <w:bidi w:val="0"/>
              <w:spacing w:before="0" w:after="283"/>
              <w:jc w:val="left"/>
              <w:rPr>
                <w:sz w:val="4"/>
                <w:szCs w:val="4"/>
              </w:rPr>
            </w:pPr>
            <w:r>
              <w:rPr>
                <w:sz w:val="4"/>
                <w:szCs w:val="4"/>
              </w:rPr>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i/>
                <w:color w:val="000000"/>
                <w:sz w:val="18"/>
              </w:rPr>
            </w:pPr>
            <w:r>
              <w:rPr>
                <w:rFonts w:ascii="Arial" w:hAnsi="Arial"/>
                <w:b/>
                <w:i/>
                <w:color w:val="000000"/>
                <w:sz w:val="18"/>
              </w:rPr>
              <w:t>Named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shd w:fill="CFF0FC" w:val="clea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Gary D. Glick, Ph.D.</w:t>
            </w:r>
            <w:r>
              <w:rPr>
                <w:rFonts w:ascii="Arial" w:hAnsi="Arial"/>
                <w:color w:val="000000"/>
                <w:sz w:val="12"/>
              </w:rPr>
              <w:t>(8)</w:t>
            </w:r>
            <w:r>
              <w:rPr>
                <w:rFonts w:ascii="Arial" w:hAnsi="Arial"/>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1,257,893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4.0%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tcPr>
          <w:p>
            <w:pPr>
              <w:pStyle w:val="TableContents"/>
              <w:bidi w:val="0"/>
              <w:spacing w:before="0" w:after="283"/>
              <w:jc w:val="left"/>
              <w:rPr>
                <w:sz w:val="4"/>
                <w:szCs w:val="4"/>
              </w:rPr>
            </w:pPr>
            <w:r>
              <w:rPr>
                <w:sz w:val="4"/>
                <w:szCs w:val="4"/>
              </w:rPr>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Jason Haas</w:t>
            </w:r>
            <w:r>
              <w:rPr>
                <w:rFonts w:ascii="Arial" w:hAnsi="Arial"/>
                <w:color w:val="000000"/>
                <w:sz w:val="12"/>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132,567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shd w:fill="CFF0FC" w:val="clea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Collin Todd</w:t>
            </w:r>
            <w:r>
              <w:rPr>
                <w:rFonts w:ascii="Arial" w:hAnsi="Arial"/>
                <w:color w:val="000000"/>
                <w:sz w:val="12"/>
              </w:rPr>
              <w:t>(10)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69,474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tcPr>
          <w:p>
            <w:pPr>
              <w:pStyle w:val="TableContents"/>
              <w:bidi w:val="0"/>
              <w:spacing w:before="0" w:after="283"/>
              <w:jc w:val="left"/>
              <w:rPr>
                <w:sz w:val="4"/>
                <w:szCs w:val="4"/>
              </w:rPr>
            </w:pPr>
            <w:r>
              <w:rPr>
                <w:sz w:val="4"/>
                <w:szCs w:val="4"/>
              </w:rPr>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Jeffrey M. Leiden, M.D., Ph.D.</w:t>
            </w:r>
            <w:r>
              <w:rPr>
                <w:rFonts w:ascii="Arial" w:hAnsi="Arial"/>
                <w:color w:val="000000"/>
                <w:sz w:val="12"/>
              </w:rPr>
              <w:t>(11)</w:t>
            </w: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356,262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shd w:fill="CFF0FC" w:val="clea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Shelley Chu, M.D., Ph.D.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ind w:left="0" w:right="72" w:hanging="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72" w:hanging="0"/>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tcPr>
          <w:p>
            <w:pPr>
              <w:pStyle w:val="TableContents"/>
              <w:bidi w:val="0"/>
              <w:spacing w:before="0" w:after="283"/>
              <w:jc w:val="left"/>
              <w:rPr>
                <w:sz w:val="4"/>
                <w:szCs w:val="4"/>
              </w:rPr>
            </w:pPr>
            <w:r>
              <w:rPr>
                <w:sz w:val="4"/>
                <w:szCs w:val="4"/>
              </w:rPr>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Jill Carroll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shd w:fill="CFF0FC" w:val="clea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Carl L. Gordon, Ph.D., CFA</w:t>
            </w:r>
            <w:r>
              <w:rPr>
                <w:rFonts w:ascii="Arial" w:hAnsi="Arial"/>
                <w:color w:val="000000"/>
                <w:sz w:val="12"/>
              </w:rPr>
              <w:t>(12)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2,726,114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9.0%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tcPr>
          <w:p>
            <w:pPr>
              <w:pStyle w:val="TableContents"/>
              <w:bidi w:val="0"/>
              <w:spacing w:before="0" w:after="283"/>
              <w:jc w:val="left"/>
              <w:rPr>
                <w:sz w:val="4"/>
                <w:szCs w:val="4"/>
              </w:rPr>
            </w:pPr>
            <w:r>
              <w:rPr>
                <w:sz w:val="4"/>
                <w:szCs w:val="4"/>
              </w:rPr>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Paulina Hill,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shd w:fill="CFF0FC" w:val="clea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Nan Li</w:t>
            </w:r>
            <w:r>
              <w:rPr>
                <w:rFonts w:ascii="Arial" w:hAnsi="Arial"/>
                <w:color w:val="000000"/>
                <w:sz w:val="12"/>
              </w:rPr>
              <w:t>(13)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2,222,405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7.3%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tcPr>
          <w:p>
            <w:pPr>
              <w:pStyle w:val="TableContents"/>
              <w:bidi w:val="0"/>
              <w:spacing w:before="0" w:after="283"/>
              <w:jc w:val="left"/>
              <w:rPr>
                <w:sz w:val="4"/>
                <w:szCs w:val="4"/>
              </w:rPr>
            </w:pPr>
            <w:r>
              <w:rPr>
                <w:sz w:val="4"/>
                <w:szCs w:val="4"/>
              </w:rPr>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Carolyn Ng,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shd w:fill="CFF0FC" w:val="clea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Valerie Odegard, Ph.D.</w:t>
            </w:r>
            <w:r>
              <w:rPr>
                <w:rFonts w:ascii="Arial" w:hAnsi="Arial"/>
                <w:color w:val="000000"/>
                <w:sz w:val="12"/>
              </w:rPr>
              <w:t>(14)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62,857</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tcPr>
          <w:p>
            <w:pPr>
              <w:pStyle w:val="TableContents"/>
              <w:bidi w:val="0"/>
              <w:spacing w:before="0" w:after="283"/>
              <w:jc w:val="left"/>
              <w:rPr>
                <w:sz w:val="4"/>
                <w:szCs w:val="4"/>
              </w:rPr>
            </w:pPr>
            <w:r>
              <w:rPr>
                <w:sz w:val="4"/>
                <w:szCs w:val="4"/>
              </w:rPr>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Ksenija Pavletic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shd w:fill="CFF0FC" w:val="clea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Ian F. Smith</w:t>
            </w:r>
            <w:r>
              <w:rPr>
                <w:rFonts w:ascii="Arial" w:hAnsi="Arial"/>
                <w:color w:val="000000"/>
                <w:sz w:val="12"/>
              </w:rPr>
              <w:t>(15)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246,100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tcPr>
          <w:p>
            <w:pPr>
              <w:pStyle w:val="TableContents"/>
              <w:bidi w:val="0"/>
              <w:spacing w:before="0" w:after="283"/>
              <w:jc w:val="left"/>
              <w:rPr>
                <w:sz w:val="4"/>
                <w:szCs w:val="4"/>
              </w:rPr>
            </w:pPr>
            <w:r>
              <w:rPr>
                <w:sz w:val="4"/>
                <w:szCs w:val="4"/>
              </w:rPr>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Nia Tatsis,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shd w:fill="CFF0FC" w:val="clea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Timothy P. Walbert</w:t>
            </w:r>
            <w:r>
              <w:rPr>
                <w:rFonts w:ascii="Arial" w:hAnsi="Arial"/>
                <w:color w:val="000000"/>
                <w:sz w:val="12"/>
              </w:rPr>
              <w:t>(16)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87,366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tcPr>
          <w:p>
            <w:pPr>
              <w:pStyle w:val="TableContents"/>
              <w:bidi w:val="0"/>
              <w:spacing w:before="0" w:after="283"/>
              <w:jc w:val="left"/>
              <w:rPr>
                <w:sz w:val="4"/>
                <w:szCs w:val="4"/>
              </w:rPr>
            </w:pPr>
            <w:r>
              <w:rPr>
                <w:sz w:val="4"/>
                <w:szCs w:val="4"/>
              </w:rPr>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All executive officers and directors as a group (18 persons)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7,260,698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ind w:left="0" w:right="72" w:hanging="0"/>
              <w:jc w:val="right"/>
              <w:rPr>
                <w:rFonts w:ascii="Arial" w:hAnsi="Arial"/>
                <w:color w:val="000000"/>
                <w:sz w:val="18"/>
              </w:rPr>
            </w:pPr>
            <w:r>
              <w:rPr>
                <w:rFonts w:ascii="Arial" w:hAnsi="Arial"/>
                <w:color w:val="000000"/>
                <w:sz w:val="18"/>
              </w:rPr>
              <w:t>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1" w:type="dxa"/>
            <w:gridSpan w:val="2"/>
            <w:tcBorders/>
            <w:shd w:fill="CFF0FC" w:val="clear"/>
          </w:tcPr>
          <w:p>
            <w:pPr>
              <w:pStyle w:val="TableContents"/>
              <w:bidi w:val="0"/>
              <w:spacing w:before="0" w:after="283"/>
              <w:jc w:val="left"/>
              <w:rPr>
                <w:sz w:val="4"/>
                <w:szCs w:val="4"/>
              </w:rPr>
            </w:pPr>
            <w:r>
              <w:rPr>
                <w:sz w:val="4"/>
                <w:szCs w:val="4"/>
              </w:rPr>
            </w:r>
          </w:p>
        </w:tc>
      </w:tr>
    </w:tbl>
    <w:p>
      <w:pPr>
        <w:pStyle w:val="TextBody"/>
        <w:pBdr/>
        <w:bidi w:val="0"/>
        <w:ind w:left="0" w:right="0" w:hanging="612"/>
        <w:jc w:val="left"/>
        <w:rPr/>
      </w:pPr>
      <w:r>
        <w:rPr/>
        <w:t> </w:t>
      </w:r>
    </w:p>
    <w:p>
      <w:pPr>
        <w:pStyle w:val="TextBody"/>
        <w:pBdr/>
        <w:bidi w:val="0"/>
        <w:ind w:left="0" w:right="0" w:hanging="612"/>
        <w:jc w:val="left"/>
        <w:rPr>
          <w:rFonts w:ascii="Arial" w:hAnsi="Arial"/>
          <w:color w:val="000000"/>
          <w:sz w:val="20"/>
        </w:rPr>
      </w:pPr>
      <w:r>
        <w:rPr>
          <w:rFonts w:ascii="Arial" w:hAnsi="Arial"/>
          <w:color w:val="000000"/>
          <w:sz w:val="20"/>
        </w:rPr>
        <w:t>* Represents beneficial ownership of less than 1%.</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Consists of (i) (a) 474,048 shares of common stock issuable upon the conversion of shares of Series A convertible preferred stock, (b) 139,366 shares of common stock issuable upon the conversion of shares of Series A-2 convertible preferred stock, (c) 59,692 shares of common stock issuable upon the conversion of shares of Series B convertible preferred stock, (d) 61,762 shares of common stock issuable upon the conversion of shares of Series C convertible preferred stock, (e) 683,817 shares of common stock issuable upon the conversion of shares of Series D convertible preferred stock and (f) Common Stock Warrants to purchase up to 190,413 shares of common stock, exercisable within 60 days of March 31, 2026, held by SR One Capital Fund I Aggregator, LP, or Fund I, (ii) (a) 118,512 shares of common stock issuable upon the conversion of shares of Series A convertible preferred stock and (b) 255,823 shares of common stock issuable upon the conversion of shares of Series B convertible preferred stock held by SR One Co-Invest IV LLC, (iii) (a) 204,658 shares of common stock issuable upon the conversion of shares of Series B convertible preferred stock, (b) 20,582 shares of common stock issuable upon the conversion of shares of Series C convertible preferred stock, (c) 166,168 shares of common stock issuable upon the conversion of shares of Series D convertible preferred stock and (d) Common Stock Warrants to purchase up to 49,556 shares of common stock, exercisable within 60 days of March 31, 2026, held by SR One Co-Invest IV-A LLC, and (iv) (a) 463,106 shares of common stock issuable upon the conversion of shares of Series C convertible preferred stock, (b) 273,527 shares of common stock issuable upon the conversion of shares of Series D convertible preferred stock and (c) Common Stock Warrants to purchase up to 78,192 shares of common stock, exercisable within 60 days of March 31, 2026, held by AMZL, LP. </w:t>
      </w:r>
    </w:p>
    <w:p>
      <w:pPr>
        <w:pStyle w:val="TextBody"/>
        <w:bidi w:val="0"/>
        <w:spacing w:before="120" w:after="283"/>
        <w:ind w:left="619" w:right="0" w:hanging="0"/>
        <w:jc w:val="left"/>
        <w:rPr>
          <w:rFonts w:ascii="Times New Roman" w:hAnsi="Times New Roman"/>
          <w:sz w:val="20"/>
        </w:rPr>
      </w:pPr>
      <w:r>
        <w:rPr>
          <w:rFonts w:ascii="Arial" w:hAnsi="Arial"/>
          <w:color w:val="000000"/>
          <w:sz w:val="20"/>
        </w:rPr>
        <w:t>SR One Capital Partners I, LP, or SR One Capital Partners, is the general partner of Fund I. SR One Co-Invest IV Manager, LLC, or SR One Co-Invest Manager, is the managing member of SR One Co-Invest IV, LLC and SR One Co-Invest IV-A, LLC. SR One Capital SMA Partners, LP is the general partner of AMZL, LP. SR One Capital Management, LLC, or SR One Capital Management, is the general partner of SR One Capital Partners, SR One Capital SMA Partners, LP, and managing member of SR One Co-Invest Manager. Simeon George, M.D., is the Manager of SR One Capital Management. SR One Capital Partners, SR One Capital Management, and Simeon George, M.D. share voting and investment power with respect to the shares directly held by Fund I. SR One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619" w:right="0" w:hanging="0"/>
        <w:jc w:val="left"/>
        <w:rPr>
          <w:rFonts w:ascii="Arial" w:hAnsi="Arial"/>
          <w:color w:val="000000"/>
          <w:sz w:val="20"/>
        </w:rPr>
      </w:pPr>
      <w:r>
        <w:rPr>
          <w:rFonts w:ascii="Arial" w:hAnsi="Arial"/>
          <w:color w:val="000000"/>
          <w:sz w:val="20"/>
        </w:rPr>
        <w:t>Co-Invest Manager, SR One Capital Management, and Simeon George, M.D. share voting and investment power with respect to the shares directly held by SR One Co-Invest IV, LLC and SR One Co-Invest IV-A, LLC. SR One Capital SMA Partners, LP, SR One Capital Management, and Simeon George, M.D. share voting and investment power with response to the shares directly held by AMZL, LP. Each of SR One Capital Partners, SR One Co-Invest Manager, SR One Capital Management, SR One Capital SMA Partners, LP, and Simeon George, M.D., disclaims beneficial ownership of the shares held by Fund I, AMZL, LP, SR One Co-Invest IV, LLC and SR One Co-Invest IV-A, LLC, respectively, except to the extent of its or his pecuniary interest therein, if any. Jill Carroll, a member of our board of directors, is a partner of SR One Capital Management, LP, an entity affiliated with Fund I, AMZL, LP, SR One Co-Invest IV, LLC, and SR One Co-Invest IV-A, LLC, has no voting or dispositive power with respect to any of the above referenced shares and disclaims beneficial ownership of such shares except to the extent of her respective pecuniary interest therein. The principal business address for the foregoing entities and individuals is 929 Main Street, Suite 200, Redwood City, CA 94063.</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Consists of (i) 1,198,469 shares of common stock issuable upon the conversion of shares of Series A convertible preferred stock, (ii) 247,295 shares of common stock issuable upon the conversion of shares of Series B convertible preferred stock, (iii) 138,076 shares of common stock issuable upon the conversion of shares of Series C convertible preferred stock, (iv) 888,962 shares of common stock issuable upon the conversion of shares of Series D convertible preferred stock, and (v) Common Stock Warrants to purchase up to 253,312 shares of common stock, exercisable within 60 days of March 31, 2026. These securities are held of record by OrbiMed Private Investments VIII, LP, or OPI VIII. OrbiMed Capital GP VIII LLC, or GP VIII, is the general partner of OPI VIII and OrbiMed Advisors LLC, or OrbiMed Advisors, is the managing member of GP VIII. By virtue of such relationships, GP VIII and OrbiMed Advisors may be deemed to have voting power and investment power over the securities held by OPI VIII and as a result, may be deemed to have beneficial ownership over such securities. OrbiMed Advisors exercises voting and investment power through a management committee comprised of Carl L. Gordon, Sven H. Borho, and W. Carter Neild, each of whom disclaims beneficial ownership of the shares held by OPI VIII. The principal business address for the foregoing entities and individuals is c/o OrbiMed Advisors LLC, 601 Lexington Avenue 54th Floor, New York, NY 10022.</w:t>
      </w:r>
    </w:p>
    <w:p>
      <w:pPr>
        <w:pStyle w:val="TextBody"/>
        <w:bidi w:val="0"/>
        <w:spacing w:before="0" w:after="0"/>
        <w:jc w:val="left"/>
        <w:rPr>
          <w:rFonts w:ascii="Arial" w:hAnsi="Arial"/>
          <w:color w:val="000000"/>
          <w:sz w:val="20"/>
        </w:rPr>
      </w:pPr>
      <w:r>
        <w:rPr>
          <w:rFonts w:ascii="Arial" w:hAnsi="Arial"/>
          <w:color w:val="000000"/>
          <w:sz w:val="20"/>
        </w:rPr>
        <w:t>3.</w:t>
      </w:r>
    </w:p>
    <w:p>
      <w:pPr>
        <w:pStyle w:val="TextBody"/>
        <w:bidi w:val="0"/>
        <w:spacing w:before="0" w:after="0"/>
        <w:jc w:val="left"/>
        <w:rPr>
          <w:rFonts w:ascii="Arial" w:hAnsi="Arial"/>
          <w:color w:val="000000"/>
          <w:sz w:val="20"/>
        </w:rPr>
      </w:pPr>
      <w:r>
        <w:rPr>
          <w:rFonts w:ascii="Arial" w:hAnsi="Arial"/>
          <w:color w:val="000000"/>
          <w:sz w:val="20"/>
        </w:rPr>
        <w:t>Consists of (i) (a) 50,413 shares of common stock issuable upon the conversion of Series B convertible preferred stock, (b) 22,191 shares of common stock issuable upon the conversion of Series C convertible preferred stock, (c) 154,478 shares of common stock issuable upon the conversion of Series D convertible preferred stock and (d) Common Stock Warrants to purchase up to 46,070 shares of common stock, exercisable within 60 days of March 31, 2026, held by Fidelity Mt. Vernon Street Trust: Fidelity Series Growth Company Fund, (ii) (a) 139,896 shares of common stock issuable upon the conversion of Series B convertible preferred stock, (b) 101,916 shares of common stock issuable upon the conversion of Series C convertible preferred stock, (c) 263,807 shares of common stock issuable upon the conversion of Series D convertible preferred stock and (d) Common Stock Warrants to purchase up to 78,676 shares of common stock, exercisable within 60 days of March 31, 2026, held by Fidelity Mt. Vernon Street Trust: Fidelity Growth Company Fund, (iii) (a) 186,726 shares of common stock issuable upon the conversion of Series B convertible preferred stock, (b) 147,948 shares of common stock issuable upon the conversion of Series C convertible preferred stock, (c) 768,791 shares of common stock issuable upon the conversion of Series D convertible preferred stock and (c) Common Stock Warrants to purchase up to 229,280 shares of common stock, exercisable within 60 days of March 31, 2026, held by Fidelity Growth Company Commingled Pool and (iv) (a) 49,336 shares of common stock issuable upon the conversion of Series B convertible preferred stock, (b) 45,533 shares of common stock issuable upon the conversion of Series C convertible preferred stock, (c) 180,557 shares of common stock issuable upon the conversion of Series D convertible preferred stock and (d) Common Stock Warrants to purchase up to 53,848 shares of common stock, exercisable within 60 days of March 31, 2026, held by Fidelity Mt. Vernon Street Trust: Fidelity Growth Company K6 Fund. The foregoing funds or accounts are managed by direct or indirect subsidiaries of FMR LLC, all of which shares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principal business address for the foregoing entities and individuals is 245 Summer Street, Boston, MA 02210.</w:t>
      </w:r>
    </w:p>
    <w:p>
      <w:pPr>
        <w:pStyle w:val="TextBody"/>
        <w:bidi w:val="0"/>
        <w:spacing w:before="0" w:after="0"/>
        <w:jc w:val="left"/>
        <w:rPr>
          <w:rFonts w:ascii="Arial" w:hAnsi="Arial"/>
          <w:color w:val="000000"/>
          <w:sz w:val="20"/>
        </w:rPr>
      </w:pPr>
      <w:r>
        <w:rPr>
          <w:rFonts w:ascii="Arial" w:hAnsi="Arial"/>
          <w:color w:val="000000"/>
          <w:sz w:val="20"/>
        </w:rPr>
        <w:t>4.</w:t>
      </w:r>
    </w:p>
    <w:p>
      <w:pPr>
        <w:pStyle w:val="TextBody"/>
        <w:bidi w:val="0"/>
        <w:jc w:val="left"/>
        <w:rPr>
          <w:rFonts w:ascii="Arial" w:hAnsi="Arial"/>
          <w:color w:val="000000"/>
          <w:sz w:val="20"/>
        </w:rPr>
      </w:pPr>
      <w:r>
        <w:rPr>
          <w:rFonts w:ascii="Arial" w:hAnsi="Arial"/>
          <w:color w:val="000000"/>
          <w:sz w:val="20"/>
        </w:rPr>
        <w:t xml:space="preserve">Consists of (i) 1,880,497 shares of common stock issuable upon the conversion of shares of Series D convertible preferred stock and (ii) Common Stock Warrants to purchase up to 420,622 shares of common stock, exercisable within 60 days of March 31, 2026, held by Jeito II S.L.P. Rafaèle Tordjman and Sabine Dandiguian each serve as </w:t>
      </w:r>
    </w:p>
    <w:p>
      <w:pPr>
        <w:pStyle w:val="TextBody"/>
        <w:bidi w:val="0"/>
        <w:spacing w:before="120" w:after="283"/>
        <w:jc w:val="center"/>
        <w:rPr>
          <w:rFonts w:ascii="Arial" w:hAnsi="Arial"/>
          <w:color w:val="000000"/>
          <w:sz w:val="20"/>
        </w:rPr>
      </w:pPr>
      <w:r>
        <w:rPr>
          <w:rFonts w:ascii="Arial" w:hAnsi="Arial"/>
          <w:color w:val="000000"/>
          <w:sz w:val="20"/>
        </w:rPr>
        <w:t>213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legal representatives of Jeito Capital, the management company of Jeito II S.L.P, and may be deemed to beneficially own the securities. The principal business address for the foregoing entities and individuals is 632 Broadway, Suite 801, New York, NY 10012.</w:t>
      </w:r>
    </w:p>
    <w:p>
      <w:pPr>
        <w:pStyle w:val="TextBody"/>
        <w:bidi w:val="0"/>
        <w:spacing w:before="0" w:after="0"/>
        <w:jc w:val="left"/>
        <w:rPr>
          <w:rFonts w:ascii="Arial" w:hAnsi="Arial"/>
          <w:color w:val="000000"/>
          <w:sz w:val="20"/>
        </w:rPr>
      </w:pPr>
      <w:r>
        <w:rPr>
          <w:rFonts w:ascii="Arial" w:hAnsi="Arial"/>
          <w:color w:val="000000"/>
          <w:sz w:val="20"/>
        </w:rPr>
        <w:t>5.</w:t>
      </w:r>
    </w:p>
    <w:p>
      <w:pPr>
        <w:pStyle w:val="TextBody"/>
        <w:bidi w:val="0"/>
        <w:spacing w:before="0" w:after="0"/>
        <w:jc w:val="left"/>
        <w:rPr/>
      </w:pPr>
      <w:r>
        <w:rPr>
          <w:rFonts w:ascii="Arial" w:hAnsi="Arial"/>
          <w:color w:val="000000"/>
          <w:sz w:val="20"/>
        </w:rPr>
        <w:t xml:space="preserve">Consists of (i) 1,880,497 shares of common stock issuable upon the conversion of shares of Series D convertible preferred stock and (ii) Common Stock Warrants to purchase up to </w:t>
      </w:r>
      <w:r>
        <w:rPr>
          <w:rFonts w:ascii="Arial" w:hAnsi="Arial"/>
          <w:color w:val="2C3030"/>
          <w:sz w:val="20"/>
        </w:rPr>
        <w:t>420,622</w:t>
      </w:r>
      <w:r>
        <w:rPr>
          <w:color w:val="000000"/>
        </w:rPr>
        <w:t xml:space="preserve"> </w:t>
      </w:r>
      <w:r>
        <w:rPr>
          <w:rFonts w:ascii="Arial" w:hAnsi="Arial"/>
          <w:color w:val="000000"/>
          <w:sz w:val="20"/>
        </w:rPr>
        <w:t>shares of common stock, exercisable within 60 days of March 31, 2026, held by TPG LSI Rise Orazio, L.P., a Delaware limited partnership, whose general partner is TPG LSI SPV GP, LLC, a Delaware limited liability company, whose sole member is TPG LSI GenPar, L.P., a Delaware limited partnership, whose general partner is TPG LSI GenPar Advisors, LLC, a Delaware limited liability company, whose sole member is TPG Operating Group I, L.P., a Delaware limited partnership, whose general partner is TPG Holdings I-A, LLC, a Delaware limited liability company, whose sole member is TPG Operating Group II, L.P., a Delaware limited partnership, whose general partner is TPG Holdings II-A, LLC, a Delaware limited liability company, whose sole member is TPG GPCo, LLC, a Delaware limited liability company, whose sole member is TPG Inc., a Delaware corporation, over whose shares of Class B common stock (which represent a majority of the combined voting power of the common stock) TPG GP A, LLC, a Delaware limited liability company, exercises direct or indirect control. Shares of common stock beneficially owned after this offering and concurrent private placement does not include the shares of common stock that we expect TPG Orazio II will purchase in the concurrent private placement. For additional information on TPG Orazio II's expected participation in the concurrent private placement, see the section titled “</w:t>
      </w:r>
      <w:r>
        <w:rPr>
          <w:rFonts w:ascii="Arial" w:hAnsi="Arial"/>
          <w:i/>
          <w:color w:val="000000"/>
          <w:sz w:val="20"/>
        </w:rPr>
        <w:t>Certain Relationships and Related Person Transactions—Concurrent Private Placement</w:t>
      </w:r>
      <w:r>
        <w:rPr>
          <w:color w:val="000000"/>
        </w:rPr>
        <w:t xml:space="preserve">” </w:t>
      </w:r>
      <w:r>
        <w:rPr>
          <w:rFonts w:ascii="Arial" w:hAnsi="Arial"/>
          <w:color w:val="000000"/>
          <w:sz w:val="20"/>
        </w:rPr>
        <w:t>included elsewhere in this prospectus. TPG GP A, LLC is controlled by entities owned by James G. Coulter and Jon Winkelried. Messrs. Coulter and Winkelried disclaim beneficial ownership of the securities held by TPG LSI Rise Orazio, L.P., except to the extent of their pecuniary interest therein, if any. The principal business address of each of TPG GP A, LLC and Messrs. Coulter and Winkelried is c/o TPG Inc., 301 Commerce Street, Suite 3300, Fort Worth, Texas 76102.</w:t>
      </w:r>
    </w:p>
    <w:p>
      <w:pPr>
        <w:pStyle w:val="TextBody"/>
        <w:bidi w:val="0"/>
        <w:spacing w:before="0" w:after="0"/>
        <w:jc w:val="left"/>
        <w:rPr>
          <w:rFonts w:ascii="Arial" w:hAnsi="Arial"/>
          <w:color w:val="000000"/>
          <w:sz w:val="20"/>
        </w:rPr>
      </w:pPr>
      <w:r>
        <w:rPr>
          <w:rFonts w:ascii="Arial" w:hAnsi="Arial"/>
          <w:color w:val="000000"/>
          <w:sz w:val="20"/>
        </w:rPr>
        <w:t>6.</w:t>
      </w:r>
    </w:p>
    <w:p>
      <w:pPr>
        <w:pStyle w:val="TextBody"/>
        <w:bidi w:val="0"/>
        <w:spacing w:before="0" w:after="0"/>
        <w:jc w:val="left"/>
        <w:rPr>
          <w:rFonts w:ascii="Arial" w:hAnsi="Arial"/>
          <w:color w:val="000000"/>
          <w:sz w:val="20"/>
        </w:rPr>
      </w:pPr>
      <w:r>
        <w:rPr>
          <w:rFonts w:ascii="Arial" w:hAnsi="Arial"/>
          <w:color w:val="000000"/>
          <w:sz w:val="20"/>
        </w:rPr>
        <w:t>Consists of (i) 1,709,543 shares of common stock issuable upon the conversion of shares of Series D convertible preferred stock and (ii) Common Stock Warrants to purchase up to 509,845 shares of common stock, exercisable within 60 days of March 31, 2026, held by Lightspeed Venture Partners XV-B (Ignite), L.P. Lightspeed General Partner XV-B (Ignite), L.P. is the general partner of Lightspeed Venture Partners XV-B (Ignite), L.P. and Lightspeed Ultimate General Partner XV-B (Ignite), L.L.C. is the general partner of Lightspeed General Partner XV-B (Ignite), L.P. None of the directors or members of Lightspeed Ultimate General Partner XV-B (Ignite), L.L.C. who participate in decisions to exercise voting and investment discretion with respect to the shares referred to above individually has voting or investment power with respect to such shares. The address for the entities affiliated with Lightspeed Venture Partners is 2200 Sand Hill Road, Menlo Park, California 94025.</w:t>
      </w:r>
    </w:p>
    <w:p>
      <w:pPr>
        <w:pStyle w:val="TextBody"/>
        <w:bidi w:val="0"/>
        <w:spacing w:before="0" w:after="0"/>
        <w:jc w:val="left"/>
        <w:rPr>
          <w:rFonts w:ascii="Arial" w:hAnsi="Arial"/>
          <w:color w:val="000000"/>
          <w:sz w:val="20"/>
        </w:rPr>
      </w:pPr>
      <w:r>
        <w:rPr>
          <w:rFonts w:ascii="Arial" w:hAnsi="Arial"/>
          <w:color w:val="000000"/>
          <w:sz w:val="20"/>
        </w:rPr>
        <w:t>7.</w:t>
      </w:r>
    </w:p>
    <w:p>
      <w:pPr>
        <w:pStyle w:val="TextBody"/>
        <w:bidi w:val="0"/>
        <w:spacing w:before="0" w:after="0"/>
        <w:jc w:val="left"/>
        <w:rPr>
          <w:rFonts w:ascii="Arial" w:hAnsi="Arial"/>
          <w:color w:val="000000"/>
          <w:sz w:val="20"/>
        </w:rPr>
      </w:pPr>
      <w:r>
        <w:rPr>
          <w:rFonts w:ascii="Arial" w:hAnsi="Arial"/>
          <w:color w:val="000000"/>
          <w:sz w:val="20"/>
        </w:rPr>
        <w:t>Consists of 512,862 shares of common stock and 1,709,543 shares of common stock issuable upon the conversion of shares of Series D convertible preferred stock held by Dimension Capital II, L.P. Dimension Capital II, L.P. is controlled by Dimension Capital II GP, L.P., its general partner, which is itself controlled by Dimension Capital II GP, LLC. Nan Li, Adam Goulburn, and Zavain Dar serve as the members of Dimension Capital II GP, LLC. The principal business address for the foregoing entities and individuals is 632 Broadway, Suite 801, New York, NY 10012.</w:t>
      </w:r>
    </w:p>
    <w:p>
      <w:pPr>
        <w:pStyle w:val="TextBody"/>
        <w:bidi w:val="0"/>
        <w:spacing w:before="0" w:after="0"/>
        <w:jc w:val="left"/>
        <w:rPr>
          <w:rFonts w:ascii="Arial" w:hAnsi="Arial"/>
          <w:color w:val="000000"/>
          <w:sz w:val="20"/>
        </w:rPr>
      </w:pPr>
      <w:r>
        <w:rPr>
          <w:rFonts w:ascii="Arial" w:hAnsi="Arial"/>
          <w:color w:val="000000"/>
          <w:sz w:val="20"/>
        </w:rPr>
        <w:t>8.</w:t>
      </w:r>
    </w:p>
    <w:p>
      <w:pPr>
        <w:pStyle w:val="TextBody"/>
        <w:bidi w:val="0"/>
        <w:spacing w:before="0" w:after="0"/>
        <w:jc w:val="left"/>
        <w:rPr>
          <w:rFonts w:ascii="Arial" w:hAnsi="Arial"/>
          <w:color w:val="000000"/>
          <w:sz w:val="20"/>
        </w:rPr>
      </w:pPr>
      <w:r>
        <w:rPr>
          <w:rFonts w:ascii="Arial" w:hAnsi="Arial"/>
          <w:color w:val="000000"/>
          <w:sz w:val="20"/>
        </w:rPr>
        <w:t>Consists of (i) 388,587 shares of common stock (including shares of unvested restricted common stock), (ii) 10,291 shares of common stock issuable upon the conversion of shares of Series C convertible preferred stock, (iii) 17,095 shares of common stock issuable upon the conversion of shares of Series D convertible preferred stock and (iv) options to purchase 841,920 shares of common stock, exercisable within 60 days of March 31, 2026.</w:t>
      </w:r>
    </w:p>
    <w:p>
      <w:pPr>
        <w:pStyle w:val="TextBody"/>
        <w:bidi w:val="0"/>
        <w:spacing w:before="0" w:after="0"/>
        <w:jc w:val="left"/>
        <w:rPr>
          <w:rFonts w:ascii="Arial" w:hAnsi="Arial"/>
          <w:color w:val="000000"/>
          <w:sz w:val="20"/>
        </w:rPr>
      </w:pPr>
      <w:r>
        <w:rPr>
          <w:rFonts w:ascii="Arial" w:hAnsi="Arial"/>
          <w:color w:val="000000"/>
          <w:sz w:val="20"/>
        </w:rPr>
        <w:t>9.</w:t>
      </w:r>
    </w:p>
    <w:p>
      <w:pPr>
        <w:pStyle w:val="TextBody"/>
        <w:bidi w:val="0"/>
        <w:spacing w:before="0" w:after="0"/>
        <w:jc w:val="left"/>
        <w:rPr>
          <w:rFonts w:ascii="Arial" w:hAnsi="Arial"/>
          <w:color w:val="000000"/>
          <w:sz w:val="20"/>
        </w:rPr>
      </w:pPr>
      <w:r>
        <w:rPr>
          <w:rFonts w:ascii="Arial" w:hAnsi="Arial"/>
          <w:color w:val="000000"/>
          <w:sz w:val="20"/>
        </w:rPr>
        <w:t>Consists of options to purchase 132,567 shares of common stock, exercisable within 60 days of March 31, 2026.</w:t>
      </w:r>
    </w:p>
    <w:p>
      <w:pPr>
        <w:pStyle w:val="TextBody"/>
        <w:bidi w:val="0"/>
        <w:spacing w:before="0" w:after="0"/>
        <w:jc w:val="left"/>
        <w:rPr>
          <w:rFonts w:ascii="Arial" w:hAnsi="Arial"/>
          <w:color w:val="000000"/>
          <w:sz w:val="20"/>
        </w:rPr>
      </w:pPr>
      <w:r>
        <w:rPr>
          <w:rFonts w:ascii="Arial" w:hAnsi="Arial"/>
          <w:color w:val="000000"/>
          <w:sz w:val="20"/>
        </w:rPr>
        <w:t>10.</w:t>
      </w:r>
    </w:p>
    <w:p>
      <w:pPr>
        <w:pStyle w:val="TextBody"/>
        <w:bidi w:val="0"/>
        <w:spacing w:before="0" w:after="0"/>
        <w:jc w:val="left"/>
        <w:rPr>
          <w:rFonts w:ascii="Arial" w:hAnsi="Arial"/>
          <w:color w:val="000000"/>
          <w:sz w:val="20"/>
        </w:rPr>
      </w:pPr>
      <w:r>
        <w:rPr>
          <w:rFonts w:ascii="Arial" w:hAnsi="Arial"/>
          <w:color w:val="000000"/>
          <w:sz w:val="20"/>
        </w:rPr>
        <w:t>Consists of options to purchase 69,474 shares of common stock, exercisable within 60 days of March 31, 2026.</w:t>
      </w:r>
    </w:p>
    <w:p>
      <w:pPr>
        <w:pStyle w:val="TextBody"/>
        <w:bidi w:val="0"/>
        <w:spacing w:before="0" w:after="0"/>
        <w:jc w:val="left"/>
        <w:rPr>
          <w:rFonts w:ascii="Arial" w:hAnsi="Arial"/>
          <w:color w:val="000000"/>
          <w:sz w:val="20"/>
        </w:rPr>
      </w:pPr>
      <w:r>
        <w:rPr>
          <w:rFonts w:ascii="Arial" w:hAnsi="Arial"/>
          <w:color w:val="000000"/>
          <w:sz w:val="20"/>
        </w:rPr>
        <w:t>11.</w:t>
      </w:r>
    </w:p>
    <w:p>
      <w:pPr>
        <w:pStyle w:val="TextBody"/>
        <w:bidi w:val="0"/>
        <w:spacing w:before="0" w:after="0"/>
        <w:jc w:val="left"/>
        <w:rPr>
          <w:rFonts w:ascii="Arial" w:hAnsi="Arial"/>
          <w:color w:val="000000"/>
          <w:sz w:val="20"/>
        </w:rPr>
      </w:pPr>
      <w:r>
        <w:rPr>
          <w:rFonts w:ascii="Arial" w:hAnsi="Arial"/>
          <w:color w:val="000000"/>
          <w:sz w:val="20"/>
        </w:rPr>
        <w:t>Consists of (i) 265,198 shares of common stock, (ii) 8,527 shares of common stock issuable upon the conversion of shares of Series B convertible preferred stock held by Racing Beach Ventures LLC, or Racing Beach, (iii) 10,291 shares of common stock issuable upon the conversion of shares of Series C convertible preferred stock held by Racing Beach, (iv) 9,880 shares of common stock issuable upon the conversion of shares of Series D convertible preferred stock held by Racing Beach, (v) Common Stock Warrants to purchase up to 2,945 shares of common stock, exercisable within 60 days of March 31, 2026, held by Racing Beach and (vi) options to purchase 59,421 shares of common stock, exercisable within 60 days of March 31, 2026. Dr. Leiden is a managing member of Racing Beach and may be deemed to share beneficial ownership of the securities reported herein.</w:t>
      </w:r>
    </w:p>
    <w:p>
      <w:pPr>
        <w:pStyle w:val="TextBody"/>
        <w:bidi w:val="0"/>
        <w:spacing w:before="0" w:after="0"/>
        <w:jc w:val="left"/>
        <w:rPr>
          <w:rFonts w:ascii="Arial" w:hAnsi="Arial"/>
          <w:color w:val="000000"/>
          <w:sz w:val="20"/>
        </w:rPr>
      </w:pPr>
      <w:r>
        <w:rPr>
          <w:rFonts w:ascii="Arial" w:hAnsi="Arial"/>
          <w:color w:val="000000"/>
          <w:sz w:val="20"/>
        </w:rPr>
        <w:t>12.</w:t>
      </w:r>
    </w:p>
    <w:p>
      <w:pPr>
        <w:pStyle w:val="TextBody"/>
        <w:bidi w:val="0"/>
        <w:spacing w:before="0" w:after="0"/>
        <w:jc w:val="left"/>
        <w:rPr>
          <w:rFonts w:ascii="Arial" w:hAnsi="Arial"/>
          <w:color w:val="000000"/>
          <w:sz w:val="20"/>
        </w:rPr>
      </w:pPr>
      <w:r>
        <w:rPr>
          <w:rFonts w:ascii="Arial" w:hAnsi="Arial"/>
          <w:color w:val="000000"/>
          <w:sz w:val="20"/>
        </w:rPr>
        <w:t>See Note 2. Dr. Gordon may be deemed to beneficially own the securities described therein.</w:t>
      </w:r>
    </w:p>
    <w:p>
      <w:pPr>
        <w:pStyle w:val="TextBody"/>
        <w:bidi w:val="0"/>
        <w:spacing w:before="0" w:after="0"/>
        <w:jc w:val="left"/>
        <w:rPr>
          <w:rFonts w:ascii="Arial" w:hAnsi="Arial"/>
          <w:color w:val="000000"/>
          <w:sz w:val="20"/>
        </w:rPr>
      </w:pPr>
      <w:r>
        <w:rPr>
          <w:rFonts w:ascii="Arial" w:hAnsi="Arial"/>
          <w:color w:val="000000"/>
          <w:sz w:val="20"/>
        </w:rPr>
        <w:t>13.</w:t>
      </w:r>
    </w:p>
    <w:p>
      <w:pPr>
        <w:pStyle w:val="TextBody"/>
        <w:bidi w:val="0"/>
        <w:spacing w:before="0" w:after="0"/>
        <w:jc w:val="left"/>
        <w:rPr>
          <w:rFonts w:ascii="Arial" w:hAnsi="Arial"/>
          <w:color w:val="000000"/>
          <w:sz w:val="20"/>
        </w:rPr>
      </w:pPr>
      <w:r>
        <w:rPr>
          <w:rFonts w:ascii="Arial" w:hAnsi="Arial"/>
          <w:color w:val="000000"/>
          <w:sz w:val="20"/>
        </w:rPr>
        <w:t>See Note 7. Mr. Li may be deemed to beneficially own the securities described therein.</w:t>
      </w:r>
    </w:p>
    <w:p>
      <w:pPr>
        <w:pStyle w:val="TextBody"/>
        <w:bidi w:val="0"/>
        <w:spacing w:before="0" w:after="0"/>
        <w:jc w:val="left"/>
        <w:rPr>
          <w:rFonts w:ascii="Arial" w:hAnsi="Arial"/>
          <w:color w:val="000000"/>
          <w:sz w:val="20"/>
        </w:rPr>
      </w:pPr>
      <w:r>
        <w:rPr>
          <w:rFonts w:ascii="Arial" w:hAnsi="Arial"/>
          <w:color w:val="000000"/>
          <w:sz w:val="20"/>
        </w:rPr>
        <w:t>14.</w:t>
      </w:r>
    </w:p>
    <w:p>
      <w:pPr>
        <w:pStyle w:val="TextBody"/>
        <w:bidi w:val="0"/>
        <w:spacing w:before="0" w:after="0"/>
        <w:jc w:val="left"/>
        <w:rPr>
          <w:rFonts w:ascii="Arial" w:hAnsi="Arial"/>
          <w:color w:val="000000"/>
          <w:sz w:val="20"/>
        </w:rPr>
      </w:pPr>
      <w:r>
        <w:rPr>
          <w:rFonts w:ascii="Arial" w:hAnsi="Arial"/>
          <w:color w:val="000000"/>
          <w:sz w:val="20"/>
        </w:rPr>
        <w:t>Consists of options to purchase 62,857 shares of common stock, exercisable within 60 days of March 31, 2026.</w:t>
      </w:r>
    </w:p>
    <w:p>
      <w:pPr>
        <w:pStyle w:val="TextBody"/>
        <w:bidi w:val="0"/>
        <w:spacing w:before="0" w:after="0"/>
        <w:jc w:val="left"/>
        <w:rPr>
          <w:rFonts w:ascii="Arial" w:hAnsi="Arial"/>
          <w:color w:val="000000"/>
          <w:sz w:val="20"/>
        </w:rPr>
      </w:pPr>
      <w:r>
        <w:rPr>
          <w:rFonts w:ascii="Arial" w:hAnsi="Arial"/>
          <w:color w:val="000000"/>
          <w:sz w:val="20"/>
        </w:rPr>
        <w:t>15.</w:t>
      </w:r>
    </w:p>
    <w:p>
      <w:pPr>
        <w:pStyle w:val="TextBody"/>
        <w:bidi w:val="0"/>
        <w:spacing w:before="0" w:after="0"/>
        <w:jc w:val="left"/>
        <w:rPr>
          <w:rFonts w:ascii="Arial" w:hAnsi="Arial"/>
          <w:color w:val="000000"/>
          <w:sz w:val="20"/>
        </w:rPr>
      </w:pPr>
      <w:r>
        <w:rPr>
          <w:rFonts w:ascii="Arial" w:hAnsi="Arial"/>
          <w:color w:val="000000"/>
          <w:sz w:val="20"/>
        </w:rPr>
        <w:t>Consists of 246,100 shares of common stock.</w:t>
      </w:r>
    </w:p>
    <w:p>
      <w:pPr>
        <w:pStyle w:val="TextBody"/>
        <w:bidi w:val="0"/>
        <w:spacing w:before="0" w:after="0"/>
        <w:jc w:val="left"/>
        <w:rPr>
          <w:rFonts w:ascii="Arial" w:hAnsi="Arial"/>
          <w:color w:val="000000"/>
          <w:sz w:val="20"/>
        </w:rPr>
      </w:pPr>
      <w:r>
        <w:rPr>
          <w:rFonts w:ascii="Arial" w:hAnsi="Arial"/>
          <w:color w:val="000000"/>
          <w:sz w:val="20"/>
        </w:rPr>
        <w:t>16.</w:t>
      </w:r>
    </w:p>
    <w:p>
      <w:pPr>
        <w:pStyle w:val="TextBody"/>
        <w:bidi w:val="0"/>
        <w:jc w:val="left"/>
        <w:rPr>
          <w:rFonts w:ascii="Arial" w:hAnsi="Arial"/>
          <w:color w:val="000000"/>
          <w:sz w:val="20"/>
        </w:rPr>
      </w:pPr>
      <w:r>
        <w:rPr>
          <w:rFonts w:ascii="Arial" w:hAnsi="Arial"/>
          <w:color w:val="000000"/>
          <w:sz w:val="20"/>
        </w:rPr>
        <w:t>Consists of options to purchase 87,366 shares of common stock, exercisable within 60 days of March 31, 2026.</w:t>
      </w:r>
    </w:p>
    <w:p>
      <w:pPr>
        <w:pStyle w:val="TextBody"/>
        <w:bidi w:val="0"/>
        <w:spacing w:before="120" w:after="283"/>
        <w:jc w:val="center"/>
        <w:rPr>
          <w:rFonts w:ascii="Arial" w:hAnsi="Arial"/>
          <w:color w:val="000000"/>
          <w:sz w:val="20"/>
        </w:rPr>
      </w:pPr>
      <w:r>
        <w:rPr>
          <w:rFonts w:ascii="Arial" w:hAnsi="Arial"/>
          <w:color w:val="000000"/>
          <w:sz w:val="20"/>
        </w:rPr>
        <w:t>214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8" w:name="description_of_capital_stock"/>
      <w:bookmarkEnd w:id="18"/>
      <w:r>
        <w:rPr>
          <w:rFonts w:ascii="Arial" w:hAnsi="Arial"/>
          <w:b/>
          <w:color w:val="000000"/>
          <w:sz w:val="20"/>
        </w:rPr>
        <w:t>DESCRIPTION OF CAPITAL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olor w:val="000000"/>
          <w:sz w:val="20"/>
        </w:rPr>
        <w:t>General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following description summarizes the most important terms of our capital stock, as they will be in effect upon the closing of this offering. We expect to adopt our Certificate of Incorporation and Bylaws, which will be effective immediately prior to the closing of this offering, and this description summarizes the provisions that will be included in such documents. Because it is only a summary, it does not contain all of the information that may be important to you. For a complete description of the matters set forth in this “</w:t>
      </w:r>
      <w:r>
        <w:rPr>
          <w:rFonts w:ascii="Arial" w:hAnsi="Arial"/>
          <w:i/>
          <w:color w:val="000000"/>
          <w:sz w:val="20"/>
        </w:rPr>
        <w:t>Description of Capital Stock</w:t>
      </w:r>
      <w:r>
        <w:rPr>
          <w:rFonts w:ascii="Arial" w:hAnsi="Arial"/>
          <w:color w:val="000000"/>
          <w:sz w:val="20"/>
        </w:rPr>
        <w:t>,” you should refer to our Certificate of Incorporation and Bylaws, which will be included as exhibits to the registration statement of which this prospectus forms a part, and to the applicable provisions of Delaware law. Immediately following the closing of this offering, our authorized capital stock will consist of 500,000,000 shares of common stock, $0.0001 par value per share, and 50,000,000 shares of undesignated preferred stock, $0.0001 par value per share.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of December 31, 2025, there were 30,284,181 shares of our common stock outstanding, including 166,550 shares of unvested restricted common stock, after giving effect to (i) the conversion of all shares of our convertible preferred stock into an aggregate of 24,596,000 shares of our common stock immediately prior to the closing of this offering, (ii) the automatic exercise of the Common Stock Warrants, on a net exercise basis, into an aggregate of 3,288,305 shares of our common stock immediately prior to the closing of this offering and (iii) the automatic conversion of all outstanding shares of our non-voting common stock into an aggregate of 8,359 shares of our common stock upon the closing of this offering, held by 208 stockholders of record. After giving effect to such conversions, there would have been no shares of non-voting common stock or preferred stock outstanding. Upon consummation of this offering, our board of directors will be authorized, without stockholder approval except as required by the listing standards of Nasdaq Rules, to issue additional shares of our capital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i/>
          <w:color w:val="000000"/>
          <w:sz w:val="20"/>
        </w:rPr>
        <w:t>Dividend Rights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Voting Rights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Holders of our common stock are entitled to one vote for each share held on all matters submitted to a vote of stockholders. We have not provided for cumulative voting for the election of directors in our Certificate of Incorporation. Accordingly, holders of a majority of the voting shares are able to elect all of the directors. In addition, the affirmative vote of holders of 66-2/3% of the voting power of all of the then outstanding capital stock entitled to vote generally in the election of directors, voting as a single class, will be required to take certain actions, including removing directors for cause, amending certain provisions of our Certificate of Incorporation, including the provisions relating to amending our Bylaws, director and board matters and director liability.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No Preemptive or Similar Rights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common stock is not entitled to preemptive rights, and is not subject to conversion, redemption or sinking fund provisions.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Right to Receive Liquidation Distributions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Fully Paid and Non-Assessable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All of the outstanding shares of our common stock are, and the shares of our common stock to be issued pursuant to this offering will be, fully paid and non-assessable.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Preferred Stock</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of December 31, 2025, there were 237,186,132 shares of convertible preferred stock outstanding, consisting of 28,357,989 shares of Series A convertible preferred stock, 7,575,753 shares of Series A-1 convertible preferred stock, 7,799,055 shares of Series A-2 convertible preferred stock, 26,601,360 shares of Series B convertible preferred stock, 23,442,000 shares of Series C convertible preferred stock, 1,459,598 shares of Series C-1 convertible preferred stock and 141,950,377 shares of Series D convertible preferred stock. All of our outstanding shares of convertible preferred stock will be converted into an aggregate of 24,596,000 shares of our common stock immediately prior to the closing of this offering and we will not have any shares of preferred stock outstanding. Immediately prior to the closing of this offering, our current amended and restated certificate of incorporation will be amended and restated to remove all references to such shares of convertible preferred stock.</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Upon consummation of this offering, our board of directors will be authorized, subject to limitations prescribed by Delaware law, to issue preferred stock in one or more series,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in each case without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or other corporate action and might adversely affect the market price of our common stock and the voting and other rights of the holders of our common stock. We have no current plan to issue any shares of preferred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Options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of December 31, 2025, we had outstanding options to purchase an aggregate of 4,631,713 shares of our common stock, with a weighted-average exercise price of $4.94 under the 2021 Plan. Following completion of this offering, 6,232,376 shares of our common stock will initially be reserved for future issuance under the 2026 Plan, which will become effective on the date immediately preceding the date on which our common stock is listed (or approved for listing) on Nasdaq, as well as any future automatic annual increases in the number of shares of our common stock reserved for issuance under the 2026 Plan and any shares underlying outstanding stock awards granted under the 2021 Plan, that expire or are repurchased, forfeited, cancelled or withheld. For additional information regarding terms of our equity incentive plans, see the section of this prospectus titled “</w:t>
      </w:r>
      <w:r>
        <w:rPr>
          <w:rFonts w:ascii="Arial" w:hAnsi="Arial"/>
          <w:i/>
          <w:color w:val="000000"/>
          <w:sz w:val="20"/>
        </w:rPr>
        <w:t>Executive Compensation—Equity Benefit Plans</w:t>
      </w:r>
      <w:r>
        <w:rPr>
          <w:rFonts w:ascii="Arial" w:hAnsi="Arial"/>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Warrants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of December 31, 2025, we had outstanding Common Stock Warrants to purchase an aggregate of 3,307,791 shares of our common stock. The Common Stock Warrants have an exercise price of $0.10 per share and may be exercised, in whole or in part, at any time up to and including the first to occur of the consummation of (i) a Deemed Liquidation Event (as defined in our Certificate of Incorporation) or an initial public offering and (ii) the seventh anniversary of the date of issue. The Common Stock Warrants may be exercised either in cash or net issued. The Common Stock Warrants will be automatically exercised upon the consummation of a Deemed Liquidation Event or an initial public offering, including this offering. In addition, as of December 31, 2025, we had an outstanding BOC Warrant to purchase 16,248 shares of our Series A-2 convertible preferred stock at a price of $6.15 per share. The BOC Warrant may be exercised, in whole or in part, at any time up to and including March 17, 2032. Following the conversion of our outstanding shares of convertible preferred stock into shares of common stock, the BOC Warrant will become exercisable into 1,742 shares of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Registration Rights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i/>
          <w:color w:val="000000"/>
          <w:sz w:val="20"/>
        </w:rPr>
        <w:t>Investors’ Rights Agreement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party to the Third A&amp;R Rights Agreement, which, among other things, grants certain rights to the holders of our outstanding convertible preferred stock, including certain registration rights with respect to the registrable securities held by them, as described in additional detail below.</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of the completion of this offering, after giving effect to the conversion of all outstanding shares of our convertible preferred stock into an aggregate of 24,596,000 shares of our common stock immediately prior to the closing of this offering and the issuance of 1,470,588 shares in the concurrent private placement, there will be an aggregate of 29,743,480 shares of our common stock that are entitled to these demand, piggyback and Form S-3 registration rights pursuant to the Third A&amp;R Rights Agreement. We will pay the registration expenses, other than the underwriting discounts and selling commissions, of the shares registered pursuant to the demand, piggyback and Form S-3 registrations described below.</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Generally, in an underwritten offering, the managing underwriter, if any, has the right, subject to specified conditions, to limit the number of shares the holders may include. The demand, piggyback and Form S-3 registration rights described below will expire no later than five years after the completion of this offering, or with respect to any particular holder, at such time that such holder can sell its shares under Rule 144 under the Securities Act without limitation during any three-month period.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Demand Registration Rights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Pursuant to the terms of the Third A&amp;R Rights Agreement, the parties thereto will be entitled to certain demand registration rights. At any time beginning after the earlier of (i) five years after the date of the Third A&amp;R Rights Agreement and (ii) 180 days after the completion of this offering, the holders of a majority of the registrable securities then outstanding may request that we register all or a portion of their shares by filing a registration statement on Form S-1. Such request for registration must cover at least 40% of the registrable securities then outstanding with an anticipated aggregate offering price of at least $10.0 million, net of applicable selling expenses. If at any time while we are eligible to use a registration statement on Form S-3, holders of at least 25% of the registrable securities then outstanding can make a request that we register their shares on Form S-3 if such holders hold registrable securities in an anticipated aggregate offering amount of at least $5.0 million, net of applicable selling expenses.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will not be required to effect a registration on Form S-1 (i) during the period beginning 60 days prior to our good faith estimate of the planned filing date of a registration initiated by us until 180 days after the effective date of such registration, (ii) after having effected two registrations on Form S-1 or (iii) if the holders propose to dispose shares that can be immediately registered on a registration statement on Form S-3. Similarly, we will not be required to effect a registration statement on Form S-3 (i) during the period beginning 30 days prior to our good faith estimate of the planned filing date of a registration initiated by us until 90 days after the effective date of such registration or (ii) after having effected two registrations on Form S-3 within a 12-month period immediately preceding the request.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Piggyback Registration Rights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After this offering, in the event that we propose to register any of our securities under the Securities Act, either for our own account or for the account of other security holders, certain holders of registrable securities will be entitled to piggyback registration rights pursuant to the Third A&amp;R Rights Agreement allowing such holders to include their shares in such registration, subject to certain marketing and other limitations. As a result, whenever we propose to file a registration statement under the Securities Act, other than with respect to: (i) a demand registration pursuant to the Third A&amp;R Rights Agreement; (ii) the registration of securities relating to the sale or grant of securities to employees to a stock option, stock purchase, equity incentive or similar plan; (iii) the registration of securities relating to a SEC Rule 145 transaction; (iv) the registration of securities on any form that does not include substantially the same information as would be required on a Form S-1 or Form S-3; or (v) the registration of common stock that is issuable upon conversion of debt securities that are also being registered, then holders of these shares are entitled to notice of the registration and have the right to include their shares in the registration, subject to limitations that the underwriters may impose on the number of shares included in the offering.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Election and Removal of Directors; Vacancies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exact number of directors will be fixed from time to time by resolution of our board of directors. Directors will be elected by a plurality of the votes of the shares of our capital stock present in person or represented by proxy at the meeting and entitled to vote on the election of directors.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No director may be removed except for cause, and directors may be removed for cause only by an affirmative vote of the holders of at least 66-2/3% of the voting power of the then-outstanding shares of capital stock entitled to vote at an election of directors, voting as a single class.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Any vacancy occurring on our board of directors and any newly created directorship may be filled only by a majority vote of the remaining directors then in office, even if less than a quorum.</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Staggered Board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Upon the closing of this offering, our board of directors will be divided into three classes serving staggered three-year terms. Class I, Class II and Class III directors will serve until our annual meetings of stockholders in 2027, 2028 and 2029, respectively. At each annual meeting of stockholders, directors will be elected to succeed the class of directors whose terms have expired. This classification of our board of directors could have the effect of increasing the length of time necessary to change the composition of a majority of our board of directors. In general, at least two annual meetings of stockholders will typically be necessary for stockholders to effect a change in a majority of the members of our board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Limitation on Action by Written Consent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Certificate of Incorporation and our Bylaws provide that holders of our common stock will not be able to act by written consent without a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Stockholder Meetings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Certificate of Incorporation and our Bylaws provide that special meetings of our stockholders may be called only by the Chair of our board of directors, our Chief Executive Officer or the board of directors pursuant to a resolution adopted by a majority of the directors. Our Certificate of Incorporation and our Bylaws specifically deny any power of any other person to call a special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Amendment of Certificate of Incorporation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provisions of our Certificate of Incorporation under Articles V through IX may be amended only by the affirmative vote of holders of at least 66-2/3% of the then-outstanding shares of capital stock entitled to vote generally in the election of directors, voting as a single class, and two-thirds of our board of directors. The affirmative vote of holders of at least a majority of the voting power of our outstanding shares of capital stock will generally be required to amend other provisions of our Certificate of Incorporation.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Amendment of Bylaws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provisions of our Bylaws may be amended or repealed, and new bylaws may be adopted by (i) our board of directors, or (ii) our stockholders, with the affirmative vote of the holders of at least 66-2/3% of the voting power of our then-outstanding shares of capital stock entitled to vote generally in the election of directors, voting as a single class. Notwithstanding the foregoing</w:t>
      </w:r>
      <w:r>
        <w:rPr>
          <w:rFonts w:ascii="Arial" w:hAnsi="Arial"/>
          <w:i/>
          <w:color w:val="000000"/>
          <w:sz w:val="20"/>
        </w:rPr>
        <w:t xml:space="preserve">, </w:t>
      </w:r>
      <w:r>
        <w:rPr>
          <w:rFonts w:ascii="Arial" w:hAnsi="Arial"/>
          <w:color w:val="000000"/>
          <w:sz w:val="20"/>
        </w:rPr>
        <w:t>if our board of directors recommends that stockholders approve such adoption, amendment or repeal, such action shall only require the affirmative vote of the holders of a majority of the voting power of our outstanding shares of capital stock entitled to vote generally in the election of directors, voting together as a single class.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Other Limitations on Stockholder Actions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Bylaws impose some procedural requirements on stockholders who wish to bring business before a meeting of our stockholders, including proposed nominations of persons for election to our board of directors.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Under these procedural requirements, in order to bring a proposal before a meeting of stockholders, a stockholder must deliver timely notice of a proposal pertaining to a proper subject for presentation at the meeting to our corporate secretary and provide us additional information regarding the proponents of such proposal and the proposal itself, including: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description of the business or nomination to be brought before the meeting, the text of the proposal or business and the reasons for conducting such business at the meeting;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stockholder’s name and address;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material interest of the stockholder in the proposal;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number of shares beneficially owned by the stockholder, the date or dates such shares were acquired and the investment intent of such acquisition;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agreement, arrangement, or understanding that has been entered into by the stockholder the effect or intent of which is to mitigate loss, manage risk or benefit from changes in the price of any our securities;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any proxy, agreement, arrangement, understanding or relationship pursuant to which the stockholder or an affiliate has or shares a right to vote any shares of any class or series. </w:t>
      </w:r>
    </w:p>
    <w:p>
      <w:pPr>
        <w:pStyle w:val="TextBody"/>
        <w:bidi w:val="0"/>
        <w:spacing w:before="120" w:after="283"/>
        <w:jc w:val="center"/>
        <w:rPr>
          <w:rFonts w:ascii="Arial" w:hAnsi="Arial"/>
          <w:color w:val="000000"/>
          <w:sz w:val="20"/>
        </w:rPr>
      </w:pPr>
      <w:r>
        <w:rPr>
          <w:rFonts w:ascii="Arial" w:hAnsi="Arial"/>
          <w:color w:val="000000"/>
          <w:sz w:val="20"/>
        </w:rPr>
        <w:t>218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To be timely, a stockholder must generally deliver notice:</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 connection with an annual meeting of stockholders, not later than the close of business on the 90th day nor earlier than the opening of business on the 120th day before the anniversary date of the immediately preceding annual meeting of stockholders, but if the date of the annual meeting is more than 30 days before or more than 60 days after the anniversary date of the preceding annual meeting of stockholders or we did not have an annual meeting in the preceding year, a stockholder notice will be timely if received by us not earlier than the opening of business on the 120th day prior to the date of the annual meeting and not later than (i) the close of business on the 90th day prior to such annual meeting, or (ii) if later, the close of business on the 10th day following the day on which we first publicly announce the date of the annual meeting; or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 connection with the election of a director at a special meeting of stockholders, the 10th day following the day on which public disclosure of such special meeting was first made.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order to submit a nomination for our board of directors or bring another proposal before a meeting of stockholders, a stockholder must also submit all information with respect to the nominee or the proposal that would be required to be included in a proxy statement, as well as other information. If a stockholder fails to follow the required procedures, the stockholder’s proposal or nominee will be ineligible and will not be voted on by our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Limitation of Liability of Directors and Officers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Certificate of Incorporation will provide that, to the fullest extent permitted by law, we will indemnify any officer or director of our company against all damages, claims and liabilities arising out of the fact that the person is or was our officer or director, or served any other enterprise at our request as an officer or director.</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our Certificate of Incorporation will contain provisions that limit the liability of our directors and officers for monetary damages to the fullest extent permitted by law. As a result, neither we, nor our stockholders through stockholders’ derivative suits on our behalf, will have the right to recover monetary damages against a director or officer for breach of fiduciary duty as a director or officer, including breaches resulting from grossly negligent behavior, except to the extent required by law.</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Amending the foregoing provisions will not reduce our indemnification obligations relating to, or the exculpation of our officers and directors for, actions taken before an amendment.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Forum Selection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Our Certificate of Incorporation requires, to the fullest extent permitted by law, that derivative actions brought in our name, actions against directors, officers and employees for breach of fiduciary duty, arising pursuant to any provision of the DGCL, Certificate of Incorporation or Bylaws, or governed by the internal affairs doctrine, or actions brought by stockholders that do not constitute internal corporate claims under the DGCL, if such claim relates to our business, the conduct of our affairs, or our rights or powers or our stockholders, directors or officers, may be brought only in the Court of Chancery in the State of Delaware and, if brought outside of Delaware, the stockholder bringing the suit will be deemed to have consented to service of process on such stockholder’s counsel except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10 days following such determination), (ii) which is vested in the exclusive jurisdiction of a court or forum other than the Court of Chancery or (iii) for which the Court of Chancery does not have subject matter jurisdiction.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Anti-Takeover Provisions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Certain provisions of Delaware law, along with our Certificate of Incorporation and our Bylaws, as will take effect immediately prior to the completion of this offering, may have the effect of delaying, deferring, or discouraging (i) acquiring control of our company by means of a proxy contest, tender offer or otherwise; or (ii) removing our incumbent officers and directors. These provisions, as well as our staggered board and ability to issue preferred stock, are expected to discourage coercive takeover practices and inadequate takeover bids. These provisions are also designed, in part, to encourage persons seeking to acquire control of our company to first negotiate with our board of directors. However, these provisions could have the effect of delaying, discouraging or preventing attempts to acquire us, which could deprive our stockholders of opportunities to sell their shares of our common stock at prices higher than prevailing market prices.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Delaware Law</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are governed by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Transfer Agent and Registrar</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Upon the completion of this offering, the transfer agent and registrar for our common stock will be Computershare Trust Company, N.A. The transfer agent and registrar’s address is 150 Royall Street, Canton, MA 02021.</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Listing</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applied to list our common stock on the Nasdaq under the symbol “ODTX.” We believe that upon the completion of this offering, we will meet the standards for listing on Nasdaq, and the closing of this offering is contingent upon such listing.</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9" w:name="shares_eligible_for_future_sale"/>
      <w:bookmarkEnd w:id="19"/>
      <w:r>
        <w:rPr>
          <w:rFonts w:ascii="Arial" w:hAnsi="Arial"/>
          <w:b/>
          <w:color w:val="000000"/>
          <w:sz w:val="20"/>
        </w:rPr>
        <w:t>SHARES ELIGIBLE FOR FUTURE SALE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common stock in the public market, or the availability of such shares for sale in the public market, could adversely affect market prices prevailing from time to time. As described below, only a limited number of shares of our common stock will be available for sale shortly after this offering and the concurrent private placement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Upon the completion of this offering and the concurrent private placement, based on the number of shares of our capital stock outstanding as of December 31, 2025, 44,994,769 shares of our common stock will be outstanding, including 166,550 shares of unvested restricted common stock, after giving effect to (i) the conversion of all outstanding shares of our convertible preferred stock into an aggregate of 24,596,000 shares of our common stock immediately prior to the closing of this offering, (ii) the automatic exercise of the Common Stock Warrants, on a net exercise basis, into an aggregate of 3,288,305 shares of our common stock immediately prior to the closing of this offering and (iii) the conversion of our non-voting stock into an aggregate of 8,359 shares of our common stock upon the closing of this offering, and assuming no exercise of the underwriters’ option to purchase additional shares and no exercise of outstanding options or other securities. Of these outstanding shares, all of the shares of our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shares of our common stock that were outstanding and not sold in this offering, and the shares of common stock to be sold in the concurrent private placement, will be, and shares subject to stock options will, upon issuance, be deemed “restricted securities” as defined in Rule 144 under the Securities Act. Restricted securities may be sold in the public market only if they are registered or if they qualify for an exemption from registration under Rule 144 or Rule 701 under the Securities Act, which rules are summarized below. All of our officers and directors and holders of substantially all of our capital stock and securities exchangeable or exercisable for our capital stock have entered lock-up agreements with the underwriters and/or are subject to market standoff agreements or other agreements with us under which they have agreed, subject to certain customary exceptions, not to sell any of our stock for 180 days following the date of this prospectus.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Lock-Up and Market Standoff Agreements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all of our directors and executive officers, and the holders of substantially all of our capital stock and securities convertible into or exchangeable for our capital stock have entered into lock-up agreements with the underwriters and/or are subject to market standoff agreements or other agreements with us, which prevents them from transferring any of our common stock or any securities convertible into or exercisable or exchangeable for common stock (including certain shares of common stock to be issued in the concurrent private placement) for a period of not less than 180 days from the date of this prospectus without the prior written consent of J.P. Morgan Securities LLC, TD Securities (USA) LLC and Cantor Fitzgerald &amp; Co., subject to certain exceptions. See the section of this prospectus titled “</w:t>
      </w:r>
      <w:r>
        <w:rPr>
          <w:rFonts w:ascii="Arial" w:hAnsi="Arial"/>
          <w:i/>
          <w:color w:val="000000"/>
          <w:sz w:val="20"/>
        </w:rPr>
        <w:t>Underwriting</w:t>
      </w:r>
      <w:r>
        <w:rPr>
          <w:rFonts w:ascii="Times New Roman" w:hAnsi="Times New Roman"/>
          <w:color w:val="000000"/>
          <w:sz w:val="20"/>
        </w:rPr>
        <w:t xml:space="preserve">” </w:t>
      </w:r>
      <w:r>
        <w:rPr>
          <w:rFonts w:ascii="Arial" w:hAnsi="Arial"/>
          <w:color w:val="000000"/>
          <w:sz w:val="20"/>
        </w:rPr>
        <w:t>included elsewhere in this prospectus for more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Rule 144</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general, under Rule 144 under the Securities Act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general, under Rule 144, as currently in effect, persons who have beneficially owned restricted securities for at least six months but who are our affiliates at the time of, or any time during the 90 days preceding, a sale, would be subject to additional restrictions, including a restriction on the volume of securities that may be sold within any three-month period to the greater of the following: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1% of the number of shares of our capital stock then outstanding, which will equal 449,948 shares immediately after this offering and the concurrent private placement, assuming no exercise of the underwriters’ option to purchase additional shares; or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average weekly trading volume of our common stock during the four calendar weeks preceding the filing of a notice on Form 144 with respect to that sale.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An “affiliate” is a person that directly, or indirectly through one or more intermediaries, controls or is controlled by, or is under common control with an issuer. Sales under Rule 144 by our affiliates or persons selling shares of our common stock on behalf of our affiliates are also subject to manner of sale provisions and notice requirements and to the availability of current public information about us.</w:t>
      </w:r>
    </w:p>
    <w:p>
      <w:pPr>
        <w:pStyle w:val="TextBody"/>
        <w:bidi w:val="0"/>
        <w:spacing w:before="240" w:after="283"/>
        <w:jc w:val="left"/>
        <w:rPr>
          <w:rFonts w:ascii="Times New Roman" w:hAnsi="Times New Roman"/>
          <w:sz w:val="20"/>
        </w:rPr>
      </w:pPr>
      <w:r>
        <w:rPr>
          <w:rFonts w:ascii="Arial" w:hAnsi="Arial"/>
          <w:b/>
          <w:color w:val="000000"/>
          <w:sz w:val="20"/>
        </w:rPr>
        <w:t>Rule 701</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Rule 701 under the Securities Act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Registration Statement on Form S-8</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intend to file one or more registration statements on Form S-8 under the Securities Act promptly to register shares of our common stock subject to options outstanding, as well as reserved for future issuance, under our equity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of this prospectus titled “</w:t>
      </w:r>
      <w:r>
        <w:rPr>
          <w:rFonts w:ascii="Arial" w:hAnsi="Arial"/>
          <w:i/>
          <w:color w:val="000000"/>
          <w:sz w:val="20"/>
        </w:rPr>
        <w:t>Executive Compensation—Equity Benefit Plans</w:t>
      </w:r>
      <w:r>
        <w:rPr>
          <w:rFonts w:ascii="Times New Roman" w:hAnsi="Times New Roman"/>
          <w:color w:val="000000"/>
          <w:sz w:val="20"/>
        </w:rPr>
        <w:t xml:space="preserve">” </w:t>
      </w:r>
      <w:r>
        <w:rPr>
          <w:rFonts w:ascii="Arial" w:hAnsi="Arial"/>
          <w:color w:val="000000"/>
          <w:sz w:val="20"/>
        </w:rPr>
        <w:t>for a description of our equity compensation plans.</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Rule 10b5-1 Trading Plans</w:t>
      </w:r>
    </w:p>
    <w:p>
      <w:pPr>
        <w:pStyle w:val="TextBody"/>
        <w:bidi w:val="0"/>
        <w:spacing w:before="120" w:after="283"/>
        <w:ind w:left="0" w:right="0" w:firstLine="619"/>
        <w:jc w:val="left"/>
        <w:rPr>
          <w:rFonts w:ascii="Arial" w:hAnsi="Arial"/>
          <w:color w:val="000000"/>
          <w:sz w:val="20"/>
        </w:rPr>
      </w:pPr>
      <w:r>
        <w:rPr>
          <w:rFonts w:ascii="Arial" w:hAnsi="Arial"/>
          <w:color w:val="000000"/>
          <w:sz w:val="20"/>
        </w:rPr>
        <w:t>Certain of our officers, directors and significant stockholders may adopt written plans, known as Rule 10b5-1 trading plans, in which they will contract with a broker to establish prespecified terms at which the broker may execute purchases or sales of our common stock without further direction from such officer, director or stockholder. The director or officer may amend a Rule 10b5-1 plan in some circumstances and may terminate a plan at any time. Such sales would not commence until the expiration of the applicable lock-up agreements entered into by such officer, director or stockholder in connection with this offering. Our directors and executive officers may also buy or sell additional shares outside of a Rule 10b5-1 plan when they do not possess material nonpublic information, subject to compliance with the terms of our insider trading policy and any applicable Rule 10b5-1 guidelines, following the expiration of the applicable lock-up agreement.</w:t>
      </w:r>
    </w:p>
    <w:p>
      <w:pPr>
        <w:pStyle w:val="TextBody"/>
        <w:bidi w:val="0"/>
        <w:spacing w:before="240" w:after="283"/>
        <w:jc w:val="left"/>
        <w:rPr>
          <w:rFonts w:ascii="Times New Roman" w:hAnsi="Times New Roman"/>
          <w:sz w:val="20"/>
        </w:rPr>
      </w:pPr>
      <w:r>
        <w:rPr>
          <w:rFonts w:ascii="Arial" w:hAnsi="Arial"/>
          <w:b/>
          <w:color w:val="000000"/>
          <w:sz w:val="20"/>
        </w:rPr>
        <w:t>Registration Rights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Upon the closing of this offering, pursuant to our Third A&amp;R Rights Agreement, the holders of approximately 29,743,480 shares of our common stock, or their transferees, will be entitled to certain rights with respect to the registration of the offer and sale of their shares under the Securities Act, subject to the terms of the lock-up and market standoff agreements described under the subsection titled “—</w:t>
      </w:r>
      <w:r>
        <w:rPr>
          <w:rFonts w:ascii="Arial" w:hAnsi="Arial"/>
          <w:i/>
          <w:color w:val="000000"/>
          <w:sz w:val="20"/>
        </w:rPr>
        <w:t>Lock-Up and Market Standoff Agreements</w:t>
      </w:r>
      <w:r>
        <w:rPr>
          <w:rFonts w:ascii="Times New Roman" w:hAnsi="Times New Roman"/>
          <w:color w:val="000000"/>
          <w:sz w:val="20"/>
        </w:rPr>
        <w:t xml:space="preserve">” </w:t>
      </w:r>
      <w:r>
        <w:rPr>
          <w:rFonts w:ascii="Arial" w:hAnsi="Arial"/>
          <w:color w:val="000000"/>
          <w:sz w:val="20"/>
        </w:rPr>
        <w:t>above. Registration of these shares under the Securities Act would result in the shares becoming freely tradable without restriction under the Securities Act immediately upon the effectiveness of the relevant registration statement. Any sales of securities by these stockholders could have a material adverse effect on the trading price of our common stock. See the section of this prospectus titled “</w:t>
      </w:r>
      <w:r>
        <w:rPr>
          <w:rFonts w:ascii="Arial" w:hAnsi="Arial"/>
          <w:i/>
          <w:color w:val="000000"/>
          <w:sz w:val="20"/>
        </w:rPr>
        <w:t>Description of Capital Stock—Registration Rights</w:t>
      </w:r>
      <w:r>
        <w:rPr>
          <w:rFonts w:ascii="Times New Roman" w:hAnsi="Times New Roman"/>
          <w:color w:val="000000"/>
          <w:sz w:val="20"/>
        </w:rPr>
        <w:t xml:space="preserve">” </w:t>
      </w:r>
      <w:r>
        <w:rPr>
          <w:rFonts w:ascii="Arial" w:hAnsi="Arial"/>
          <w:color w:val="000000"/>
          <w:sz w:val="20"/>
        </w:rPr>
        <w:t>for additional information.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0" w:name="material_us_federal_income_tax_consequ"/>
      <w:bookmarkEnd w:id="20"/>
      <w:r>
        <w:rPr>
          <w:rFonts w:ascii="Arial" w:hAnsi="Arial"/>
          <w:b/>
          <w:color w:val="000000"/>
          <w:sz w:val="20"/>
        </w:rPr>
        <w:t>MATERIAL U.S. FEDERAL INCOME TAX CONSEQUENCES TO NON-U.S. HOLDERS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following is a summary of the material U.S. federal income tax consequences to non-U.S. holders (as defined below) of the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any alternative minimum tax, the special tax accounting rules under Section 451(b) of the Code, any estate or gift tax consequences (other than those specifically set forth below) or any tax consequences arising under any state, local or foreign tax laws, or any other U.S. federal tax laws. This discussion is based on the Code, Treasury Regulations promulgated or proposed thereunder, judicial decisions and published rulings and administrative pronouncements of the Internal Revenue Service, or the IRS, all as in effect on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holder in light of such holder’s particular circumstances. This discussion also does not consider any specific facts or circumstances that may be relevant to non-U.S. holders subject to special rules under U.S. federal income tax laws, including: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certain former citizens or long-term residents of the United States;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partnerships or other entities or arrangements treated as partnerships or other pass-through entities (and investors therein);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Arial" w:hAnsi="Arial"/>
          <w:color w:val="000000"/>
          <w:sz w:val="20"/>
        </w:rPr>
        <w:t xml:space="preserve">controlled foreign corporations”;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Arial" w:hAnsi="Arial"/>
          <w:color w:val="000000"/>
          <w:sz w:val="20"/>
        </w:rPr>
        <w:t xml:space="preserve">passive foreign investment companies”;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corporations that accumulate earnings to avoid U.S. federal income tax;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banks, financial institutions, investment funds, insurance companies, brokers, dealers or traders in securities;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tax-exempt organizations, governmental organizations and sovereign wealth funds;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tax-qualified retirement plans;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persons who hold or receive our common stock pursuant to the exercise of any employee stock option or otherwise as compensation;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persons who hold common stock that constitutes “qualified small business stock” under Section 1202 of the Code or “Section 1244 stock” under Section 1244 of the Code;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persons who acquired our common stock in a transaction subject to the gain rollover provisions of the Code (including Section 1045 of the Code);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persons that acquired our common stock pursuant to the exercise of warrants or conversion rights under convertible instruments;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color w:val="000000"/>
        </w:rPr>
      </w:pPr>
      <w:r>
        <w:rPr>
          <w:color w:val="000000"/>
        </w:rPr>
        <w:t>“</w:t>
      </w:r>
      <w:r>
        <w:rPr>
          <w:rFonts w:ascii="Arial" w:hAnsi="Arial"/>
          <w:color w:val="000000"/>
          <w:sz w:val="20"/>
        </w:rPr>
        <w:t xml:space="preserve">qualified foreign pension funds” as defined in Section 897(l)(2) of the Code and entities all of the interests of which are held by qualified foreign pension funds;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persons that own or have owned, actually or constructively (whether or not for USRPHC, as defined below, purposes), more than 5% of our common stock;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persons who have elected to mark securities to market; and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persons holding our common stock as part of a hedging or conversion transaction or straddle, constructive sale, or other risk reduction strategy or integrated investment.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Definition of Non-U.S. Holder</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For purposes of this discussion, a “non-U.S. holder” is any beneficial owner of our common stock that is not a “U.S. person” or a partnership (including any entity or arrangement treated as a partnership) or other pass-through entity for U.S. federal income tax purposes. A U.S. person is any person that, for U.S. federal income tax purposes, is or is treated as any of the following:</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 individual who is a citizen or resident (including a “green card” holder) of the United States;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corporation (including any entity treated as a corporation for U.S. federal income tax purposes) created or organized under the laws of the United States, any state thereof or the District of Columbia;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an estate, the income of which is subject to U.S. federal income tax regardless of its source; or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you are an individual who is not a 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Distributions on Our Common Stock</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we distribute cash or other property on our common stock, such distributions will constitute dividends for U.S. federal income tax purposes to the extent paid from our current or accumulated earnings and profits, as determined under U.S. federal income tax principles. Amounts distributed in excess of our current and accumulated earnings and profits will constitute a return of capital and will first be applied against and reduce a non-U.S. holder’s tax basis in our common stock, but not below zero. Any distribution in excess of the non-U.S. holder’s tax basis in our common stock will be treated as gain realized on the sale or other disposition of our common stock and will be treated as described in the section of this prospectus titled “—</w:t>
      </w:r>
      <w:r>
        <w:rPr>
          <w:rFonts w:ascii="Arial" w:hAnsi="Arial"/>
          <w:i/>
          <w:color w:val="000000"/>
          <w:sz w:val="20"/>
        </w:rPr>
        <w:t>Gain on Disposition of Our Common Stock</w:t>
      </w:r>
      <w:r>
        <w:rPr>
          <w:rFonts w:ascii="Times New Roman" w:hAnsi="Times New Roman"/>
          <w:color w:val="000000"/>
          <w:sz w:val="20"/>
        </w:rPr>
        <w:t xml:space="preserve">” </w:t>
      </w:r>
      <w:r>
        <w:rPr>
          <w:rFonts w:ascii="Arial" w:hAnsi="Arial"/>
          <w:color w:val="000000"/>
          <w:sz w:val="20"/>
        </w:rPr>
        <w:t>below.</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Subject to the discussion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the applicable withholding agent with a valid IRS Form W-8BEN or IRS Form W-8BEN-E (or other applicable successor form) certifying under penalties of perjury such non-U.S. holder’s qualification for the reduced rate.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or fixed base in the United States if required by an applicable tax treaty), the non-U.S. holder will generally be exempt from U.S. federal withholding tax, provided that the non-U.S. holder furnishes a valid IRS Form W-8ECI (or applicable successor form) to the applicable withholding agent.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However, any such effectively connected dividends paid on our common stock generally will be subject to U.S. federal income tax on a net (assuming a U.S. tax return is timely filed, otherwise gross)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certification requirements described above must be provided to the applicable withholding agent prior to the payment of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 Special certification and other requirements apply in the case of certain non-U.S. holders that hold shares of our common stock through intermediaries or are pass-through entities for U.S. federal income tax purposes.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Each non-U.S. holder is urged to consult its own tax advisor about the specific methods for satisfying these requirements. A claim for exemption or reduction in tax withholding will not be valid if the person receiving the applicable form has actual knowledge or reason to know that the statements on the form are false.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Non-U.S. holders that do not provide the required certification on a timely basis, but that qualify for a reduced treaty rate, may obtain a refund of any excess amounts withheld by timely filing an appropriate claim for refund with the IRS. Non-U.S. holders should consult their tax advisors regarding any applicable income tax treaties that may provide for different rules.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Gain on Disposition of Our Common Stock</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Subject to the discussion below regarding backup withholding and FATCA, a non-U.S. holder generally will not be subject to U.S. federal income tax on any gain realized on the sale or other disposition of our common stock, unless:</w:t>
      </w:r>
      <w:r>
        <w:rPr>
          <w:rFonts w:ascii="Times New Roman" w:hAnsi="Times New Roman"/>
          <w:color w:val="000000"/>
          <w:sz w:val="20"/>
        </w:rPr>
        <w:t xml:space="preserve">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the non-U.S. holder is a nonresident alien individual present in the United States for 183 days or more during the taxable year of the disposition, and certain other requirements are met; or </w:t>
      </w:r>
    </w:p>
    <w:p>
      <w:pPr>
        <w:pStyle w:val="TextBody"/>
        <w:bidi w:val="0"/>
        <w:spacing w:before="120" w:after="283"/>
        <w:ind w:left="619" w:right="0" w:hanging="0"/>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our common stock constitutes a “U.S. real property interest” (as defined in the Code) by reason of our status as a U.S. real property holding corporation, or USRPHC, for U.S. federal income tax purposes at any time within the shorter of the five-year period preceding the disposition or the non-U.S. holder’s holding period for our common stock, or the relevant period, and the non-U.S. holder (i) disposes of our shares of common stock during a calendar year when our shares of common stock are not regularly traded on an established securities market or (ii) owned (directly, indirectly, or constructively) more than 5% of our shares of common stock at any time during the relevant period.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Determining whether we are a USRPHC depends on the fair market value of our U.S. real property interests relative to the fair market value of our other trade or business assets and our foreign real property interests. We believe we are not currently and we do not anticipate becoming a USRPHC for U.S. federal income tax purposes, although there can be no assurance we will not in the future become a USRPHC.</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Gains described in the first bullet point above generally will be subject to U.S. federal income tax on a net (assuming a U.S. tax return is timely filed, otherwise gross) income basis at the regular U.S. federal income tax rates in the same manner as if such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to corporate non-U.S. holders.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Non-U.S. holders should consult their tax advisors regarding any applicable income tax treaties that may provide for different rules.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Information Reporting and Backup Withholding</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Backup withholding, currently at a 24% rate,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Prospective investors should consult their own tax advisors regarding the application of the information reporting and backup withholding rules to them, including the availability of and procedure for obtaining an exemption from backup withholding.</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Withholding on Foreign Entities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Foreign Account Tax Compliance Act, or FATCA, as reflected in Sections 1471 through 1474 of the Code, imposes a U.S. federal withholding tax of 30% on certain payments, including dividends paid in respect of our common stock and the gross proceeds of disposition on our common stock, made to (1) a “foreign financial institution” (as defined under FATCA) unless such institution furnishes proper documentation (typically on IRS Form W-8BEN-E) evidencing either (i) an exemption from FATCA withholding, (ii) its compliance (or deemed compliance) with specified due diligence, reporting, withholding and certification obligations under FATCA or (iii) residence in a jurisdiction that has entered into an intergovernmental agreement with the United States relating to FATCA and compliance with the diligence and reporting requirements of the intergovernmental agreement and local implementing rules; or (2) a “non-financial foreign entity” (as defined under FATCA) that does not furnish proper documentation (typically on IRS Form W-8BEN-E) evidencing either (i) an exemption from FATCA or (ii) adequate information regarding substantial United States beneficial owners of such entity (if any). An intergovernmental agreement between the United States and an applicable foreign country may modify these requirements. Under certain circumstances, a non-U.S. holder might be eligible for refunds or credits of such taxes. Withholding under FATCA generally applies to payments of dividends on our shares of common stock and to payments of gross proceeds from a sale or other disposition of our shares of common stock. Withholding agents may, however, rely on proposed Treasury Regulations that would no longer require FATCA withholding on payments of gross proceeds. A withholding agent such as a broker, and not us, will determine whether or not to implement gross proceeds FATCA withholding.</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Prospective investors are encouraged to consult with their own tax advisors regarding the possible implications of FATCA on their investment in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U.S. Federal Estate Tax</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acquisition, ownership and disposition of our common stock.</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EACH PROSPECTIVE INVESTOR SHOULD CONSULT ITS OWN TAX ADVISOR REGARDING THE TAX CONSEQUENCES OF PURCHASING, HOLDING AND DISPOSING OF OUR COMMON STOCK, INCLUDING THE CONSEQUENCES OF ANY PROPOSED CHANGE IN APPLICABLE LAW, AS WELL AS TAX CONSEQUENCES ARISING UNDER ANY U.S. FEDERAL, STATE OR LOCAL OR NON-U.S. INCOME AND NON-INCOME TAX LAWS.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1" w:name="underwriting"/>
      <w:bookmarkEnd w:id="21"/>
      <w:r>
        <w:rPr>
          <w:rFonts w:ascii="Arial" w:hAnsi="Arial"/>
          <w:b/>
          <w:color w:val="000000"/>
          <w:sz w:val="20"/>
        </w:rPr>
        <w:t>UNDERWRITING</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and the underwriters named below have entered into an underwriting agreement with respect to the shares being offered. Subject to certain conditions, each underwriter has severally agreed to purchase the number of shares indicated in the following table. J.P. Morgan Securities LLC, TD Securities (USA) LLC and Cantor Fitzgerald &amp; Co. are the representatives of the underwriters.</w:t>
      </w:r>
      <w:r>
        <w:rPr>
          <w:rFonts w:ascii="Times New Roman" w:hAnsi="Times New Roman"/>
          <w:color w:val="000000"/>
          <w:sz w:val="20"/>
        </w:rPr>
        <w:t xml:space="preserve"> </w:t>
      </w:r>
    </w:p>
    <w:p>
      <w:pPr>
        <w:pStyle w:val="TextBody"/>
        <w:bidi w:val="0"/>
        <w:jc w:val="left"/>
        <w:rPr/>
      </w:pPr>
      <w:r>
        <w:rPr/>
        <w:t> </w:t>
      </w:r>
    </w:p>
    <w:tbl>
      <w:tblPr>
        <w:tblW w:w="4085" w:type="dxa"/>
        <w:jc w:val="left"/>
        <w:tblInd w:w="0" w:type="dxa"/>
        <w:tblLayout w:type="fixed"/>
        <w:tblCellMar>
          <w:top w:w="28" w:type="dxa"/>
          <w:left w:w="28" w:type="dxa"/>
          <w:bottom w:w="28" w:type="dxa"/>
          <w:right w:w="28" w:type="dxa"/>
        </w:tblCellMar>
      </w:tblPr>
      <w:tblGrid>
        <w:gridCol w:w="2521"/>
        <w:gridCol w:w="146"/>
        <w:gridCol w:w="146"/>
        <w:gridCol w:w="108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Underwriters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Number of</w:t>
              <w:br/>
              <w:t>Shares</w:t>
            </w:r>
            <w:r>
              <w:rPr>
                <w:rFonts w:ascii="Times New Roman" w:hAnsi="Times New Roman"/>
                <w:color w:val="000000"/>
                <w:sz w:val="20"/>
              </w:rPr>
              <w:t xml:space="preserve">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J.P. Morgan Securities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TD Securities (USA)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Cantor Fitzgerald &amp; 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Wedbush Securities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Oppenheimer &amp; Co.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4" w:space="0" w:color="000000"/>
            </w:tcBorders>
            <w:tcMar>
              <w:top w:w="0" w:type="dxa"/>
              <w:left w:w="0" w:type="dxa"/>
              <w:right w:w="0" w:type="dxa"/>
            </w:tcMar>
            <w:vAlign w:val="center"/>
          </w:tcPr>
          <w:p>
            <w:pPr>
              <w:pStyle w:val="TableContents"/>
              <w:bidi w:val="0"/>
              <w:spacing w:before="0" w:after="283"/>
              <w:jc w:val="right"/>
              <w:rPr/>
            </w:pPr>
            <w:r>
              <w:rPr/>
              <w:t> </w:t>
            </w:r>
          </w:p>
        </w:tc>
        <w:tc>
          <w:tcPr>
            <w:tcW w:w="108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13,240,000</w:t>
            </w:r>
          </w:p>
        </w:tc>
        <w:tc>
          <w:tcPr>
            <w:tcW w:w="191"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The underwriters are committed to take and pay for all of the shares being offered, if any are taken, other than the shares covered by the option described below unless and until this option is exercised.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underwriters have an option to buy up to an additional 1,986,000 shares of our common stock from us to cover sales by the underwriters of a greater number of shares than the total number set forth in the table above. They may exercise that option for 30 days following the date of this prospectus. If any shares are purchased pursuant to this option, the underwriters will severally purchase shares in approximately the same proportion as set forth in the table above.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following table shows the per share and total underwriting discounts and commissions to be paid to the underwriters by us. Such amounts are shown assuming both no exercise and full exercise of the underwriters’ option to purchase up to an additional 1,986,000 shares of our common stock from us.</w:t>
      </w:r>
      <w:r>
        <w:rPr>
          <w:rFonts w:ascii="Times New Roman" w:hAnsi="Times New Roman"/>
          <w:color w:val="000000"/>
          <w:sz w:val="20"/>
        </w:rPr>
        <w:t xml:space="preserve"> </w:t>
      </w:r>
    </w:p>
    <w:p>
      <w:pPr>
        <w:pStyle w:val="TextBody"/>
        <w:bidi w:val="0"/>
        <w:jc w:val="left"/>
        <w:rPr/>
      </w:pPr>
      <w:r>
        <w:rPr/>
        <w:t> </w:t>
      </w:r>
    </w:p>
    <w:tbl>
      <w:tblPr>
        <w:tblW w:w="4485" w:type="dxa"/>
        <w:jc w:val="left"/>
        <w:tblInd w:w="0" w:type="dxa"/>
        <w:tblLayout w:type="fixed"/>
        <w:tblCellMar>
          <w:top w:w="28" w:type="dxa"/>
          <w:left w:w="28" w:type="dxa"/>
          <w:bottom w:w="28" w:type="dxa"/>
          <w:right w:w="28" w:type="dxa"/>
        </w:tblCellMar>
      </w:tblPr>
      <w:tblGrid>
        <w:gridCol w:w="991"/>
        <w:gridCol w:w="146"/>
        <w:gridCol w:w="744"/>
        <w:gridCol w:w="516"/>
        <w:gridCol w:w="146"/>
        <w:gridCol w:w="146"/>
        <w:gridCol w:w="806"/>
        <w:gridCol w:w="559"/>
        <w:gridCol w:w="43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No Exercise</w:t>
            </w:r>
            <w:r>
              <w:rPr>
                <w:rFonts w:ascii="Times New Roman" w:hAnsi="Times New Roman"/>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Full Exercise</w:t>
            </w:r>
            <w:r>
              <w:rPr>
                <w:rFonts w:ascii="Times New Roman" w:hAnsi="Times New Roman"/>
                <w:color w:val="000000"/>
                <w:sz w:val="20"/>
              </w:rPr>
              <w:t xml:space="preserve"> </w:t>
            </w:r>
          </w:p>
        </w:tc>
        <w:tc>
          <w:tcPr>
            <w:tcW w:w="43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pPr>
            <w:r>
              <w:rPr/>
              <w:t> </w:t>
            </w:r>
          </w:p>
        </w:tc>
      </w:tr>
      <w:tr>
        <w:trPr/>
        <w:tc>
          <w:tcPr>
            <w:tcW w:w="991" w:type="dxa"/>
            <w:tcBorders/>
            <w:shd w:fill="CFF0FC" w:val="clear"/>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99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4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59" w:type="dxa"/>
            <w:tcBorders/>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and our officers, directors and holders of substantially all of our capital stock and securities convertible into or exchangeable for our common stock have agreed with the underwriters and/or are subject to market standoff agreements or other agreements with us under which we or they have agreed, subject to certain exceptions, not to dispose of or hedge any of our or their common stock or securities convertible into or exchangeable for shares of common stock, such securities, collectively, Lock-Up Securities, during the period from the date of this prospectus continuing through the date 180 days after the date of this prospectus, or the Lock-Up Period, except with the prior written consent of J.P. Morgan Securities LLC, TD Securities (USA) LLC and Cantor Fitzgerald &amp; Co. See the section of this prospectus titled “</w:t>
      </w:r>
      <w:r>
        <w:rPr>
          <w:rFonts w:ascii="Arial" w:hAnsi="Arial"/>
          <w:i/>
          <w:color w:val="000000"/>
          <w:sz w:val="20"/>
        </w:rPr>
        <w:t>Shares Eligible for Future Sale</w:t>
      </w:r>
      <w:r>
        <w:rPr>
          <w:rFonts w:ascii="Times New Roman" w:hAnsi="Times New Roman"/>
          <w:color w:val="000000"/>
          <w:sz w:val="20"/>
        </w:rPr>
        <w:t xml:space="preserve">” </w:t>
      </w:r>
      <w:r>
        <w:rPr>
          <w:rFonts w:ascii="Arial" w:hAnsi="Arial"/>
          <w:color w:val="000000"/>
          <w:sz w:val="20"/>
        </w:rPr>
        <w:t>for a discussion of other transfer restrictions.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restrictions described in the immediately preceding paragraph do not, subject in certain cases to various conditions, apply to our officers, directors and holders of substantially all of our capital stock and securities convertible into or exchangeable for our common stock with respect to certain transactions, including: Transfers of Lock-Up Securities (i) as one or more bona fide gifts or charitable contributions, or for bona fide estate planning purposes, (ii) upon death by will, testamentary document or intestate succession, (iii) if the lock-up party is a natural person, to any member of the lock-up party’s immediate family or to any trust for the direct or indirect benefit of such lock-up party or the immediate family of such lock-up party or, if such lock-up party is a trust, to a trust or beneficiary of the trust or the estate of a beneficiary of such trust, (iv) to a corporation, partnership, limited liability company or other entity of which the lock-up party and the immediate family of the lock-up party are the legal and beneficial owner of all of the outstanding equity securities or similar interests, (v) to a nominee or custodian of a person or entity to whom a disposition or transfer would be permissible under clauses (i) through (iv) above, (vi) if the lock-up party is a corporation, partnership, limited liability company, trust or other business entity, (A) to another corporation, partnership, limited liability company, trust or other business entity that is an affiliate (as defined in Rule 405 under the Securities Act) of such lock-up party, (B) to any investment fund or other entity which fund or entity directly or indirectly is controlling, controlled by, managing or managed by or under common control</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with the lock-up party or affiliates of such lock-up party, or (C) as part of a distribution or transfer by the lock-up party to its stockholders, partners, members or other equity holders or to the estate of any such stockholders, partners, members or other equity holders, (vii) by operation of law, such as pursuant to a qualified domestic order, divorce settlement, divorce decree or separation agreement, (viii) to us from a current or former employee or other service provider upon death, disability or termination of services, in each case, of such employee or other service provider, (ix) if the lock-up party is not one of our officers or directors, in connection with a sale, transfer or disposal of, or entry into other transactions (including, without limitation, any swap, hedge or similar agreement or arrangement) relating to, such lock-up party’s shares of common stock acquired (A) from the underwriters in this offering or (B) in open market transactions on or after the closing date of this offering or (x) to us in connection with the vesting, settlement or exercise of restricted stock units, options, warrants or other rights to purchase or receive shares of common stock (including, in each case, by way of “net” or “cashless” exercise), including any transfer to us for the payment of the exercise price,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this prospectus, provided that any securities received upon such vesting, settlement, exercise or conversion shall be subject to the terms of the lock-up or market standoff agreement; provided that certain conditions are met.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addition, the lock-up party may (a) enter into a written plan meeting the requirements of Rule 10b5-1 under the Exchange Act relating to the transfer, sale or other disposition of the lock-up party’s Lock-Up Securities, if then permitted by us, provided that none of the securities subject to such plan may be transferred, sold or otherwise disposed of until after the expiration of the Lock-Up Period (except as would otherwise be permitted under the lock-up agreement)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in the footnotes or text thereof that none of the securities subject to such plan may be transferred, sold or otherwise disposed of pursuant to such plan until after the expiration of the Lock-Up Period, (b) (i) transfer its Lock-Up Securities pursuant to a bona fide third-party tender offer, merger, consolidation or other similar transaction that is approved by our board of directors (or a duly authorized committee thereof) and made available to all holders of our capital stock involving a change of control of us, in one transaction or a series of related transactions, to a person or group of affiliated persons, after such transfer, such person or group of affiliated persons would hold at least a majority of our outstanding voting securities (or the outstanding voting securities of the surviving entity) and (ii) enter into any lock-up, voting or similar agreement pursuant to which the undersigned may agree to transfer, sell, tender or otherwise dispose of Lock-Up Securities in connection with a transaction described in clause (i); provided that in the event that such tender offer, merger, consolidation or other similar transaction is not completed, the lock-up party’s Lock-Up Securities shall remain subject to the provisions of the lock-up agreement, or (c) convert outstanding shares of our convertible preferred stock and non-voting common stock into shares of common stock and exchange warrants to acquire preferred stock for warrants to acquire common stock; provided that any such shares received upon such conversion and exchange shall remain subject to the provisions of the lock-up agreement.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restrictions on transfers or other dispositions by us described above do not apply to us with respect to (i) this offering, (ii) the issuance of shares of common stock, options to purchase common stock, restricted stock units or other stock-based awards pursuant to, or common stock upon exercise of options or settlement of restricted stock units or upon the exercise, vesting or settlement of other stock-based awards issued pursuant to, any employee stock option plan, incentive plan, stock plan, dividend reinvestment plan or other equity compensation arrangements in place as of or prior to the date of this prospectus and described in this prospectus, (iii) the issuance of common stock upon the conversion of convertible preferred stock outstanding on the date of this prospectus and described in this prospectus, (iv) the issuance of common stock pursuant to the conversion or exchange of convertible or exchangeable securities or the exercise of warrants or options, so long as such convertible or exchangeable securities, warrants or options are outstanding on the date of this prospectus and described in this prospectus, (v) filing a registration statement on Form S-8 or a successor form thereto to register common stock issuable pursuant to the terms of any employee equity-based compensation plan, incentive plan, stock plan or dividend reinvestment plan adopted and approved by our board of directors prior to the date of this prospectus and described in this prospectus, (vi) the issuance of shares of common stock, or any securities convertible into or exchangeable for, or that represent the right to receive, shares of common stock, in connection with any joint venture, commercial or collaborative relationship or the acquisition or license by us of the securities, businesses, property or other assets of another person or entity or pursuant to any employment benefit plan assumed by us in connection with any such acquisition and (vii) effect the offering and sale of common stock pursuant to the concurrent private placement. In the case of clause (vi), the aggregate number of shares of our common stock that we may sell or issue or agree to sell or issue may not exceed 7.5% of the total number of shares of our common stock issued and outstanding immediately following this offering. In addition, each recipient of any shares of our common stock issued or sold pursuant to clause (ii), (iii), (vi) or (vii) above must execute and deliver to the representatives an agreement having</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substantially the same terms as those agreements governing the Lock-Up Securities described above prior to, or concurrently with, such issuance or sale.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Prior to the offering, there has been no public market for the shares of our common stock.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applied to list our common stock on the Nasdaq Capital Market under the symbol “ODTX.”</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Purchases to cover a short position and stabilizing transactions, as well as other purchases by the underwriters for their own accounts, may have the effect of preventing or delaying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estimate that our share of the total expenses of the offering and the concurrent private placement, excluding underwriting discounts and commissions and placement agent fees, will be approximately $4.1 million. We have agreed to reimburse the underwriters for certain of their expenses in an amount up to $35,000.</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agreed to indemnify the several underwriters against certain liabilities, including liabilities under the Securities Act and reimburse certain expenses in connection with claims arising thereunder.</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may in the future provide a variety of these services to us and to persons and entities with relationships with us, for which they will receive customary fees and expenses. For example, we have entered into Advisory Services Agreements with each of Wedbush Securities Inc. and Oppenheimer &amp; Co. Inc., pursuant to which we will pay a fee not to exceed 0.175% and 0.07%, respectively, of the gross proceeds from this offering for advisory services rendered. In addition, we have agreed to reimburse Oppenheimer &amp; Co. Inc. for certain of its out-of-pocket expenses. 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TPG LSI Rise Orazio II, L.P., or</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TPG Orazio II, an affiliate of an existing stockholder, is expected to purchase 1,470,588 shares of our common stock in a concurrent private placement exempt from the registration requirements of the Securities Act, at a per share price equal to the initial public offering price. The private placement would close concurrently with, and be contingent and conditioned upon consummation of, this offering, as well as certain other customary closing conditions. However, this offering is not contingent on the consummation of the concurrent private placement. Because we have not yet entered into a binding agreement with TPG Orazio II, we could determine to sell more, fewer or no shares in the concurrent private placement to TPG Orazio II, and TPG Orazio II could determine to purchase more, fewer or no shares in the concurrent private placement. The underwriters have agreed to act as placement agents in connection with the concurrent private placement and will receive a placement agent fee equal to 7% of the aggregate gross proceeds actually received in connection with the concurrent private placement.</w:t>
      </w:r>
    </w:p>
    <w:p>
      <w:pPr>
        <w:pStyle w:val="TextBody"/>
        <w:bidi w:val="0"/>
        <w:spacing w:before="240" w:after="283"/>
        <w:jc w:val="left"/>
        <w:rPr>
          <w:rFonts w:ascii="Times New Roman" w:hAnsi="Times New Roman"/>
          <w:sz w:val="20"/>
        </w:rPr>
      </w:pPr>
      <w:r>
        <w:rPr>
          <w:rFonts w:ascii="Arial" w:hAnsi="Arial"/>
          <w:i/>
          <w:color w:val="000000"/>
          <w:sz w:val="20"/>
        </w:rPr>
        <w:t>European Economic Area</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relation to each Member State of the European Economic Area, each a Relevant Member, no shares have been offered or will be offered pursuant to the offering to the public in that Relevant Member prior to the publication of a prospectus in relation to the shares which has been approved by the competent authority in that Relevant Member or, where appropriate, approved in another Relevant Member and notified to the competent authority in that Relevant Member, all in accordance with the Prospectus Regulation, except that the shares may be offered to the public in that Relevant Member at any time:</w:t>
      </w:r>
      <w:r>
        <w:rPr>
          <w:rFonts w:ascii="Times New Roman" w:hAnsi="Times New Roman"/>
          <w:color w:val="000000"/>
          <w:sz w:val="20"/>
        </w:rPr>
        <w:t xml:space="preserve"> </w:t>
      </w:r>
    </w:p>
    <w:p>
      <w:pPr>
        <w:pStyle w:val="TextBody"/>
        <w:bidi w:val="0"/>
        <w:spacing w:before="120" w:after="283"/>
        <w:ind w:left="619" w:right="0" w:hanging="0"/>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to any legal entity which is a qualified investor as defined under Article 2 of the Prospectus Regulation; </w:t>
      </w:r>
    </w:p>
    <w:p>
      <w:pPr>
        <w:pStyle w:val="TextBody"/>
        <w:bidi w:val="0"/>
        <w:spacing w:before="120" w:after="283"/>
        <w:ind w:left="619" w:right="0" w:hanging="0"/>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to fewer than 150 natural or legal persons (other than qualified investors as defined under Article 2 of the Prospectus Regulation), subject to obtaining the prior consent of the representatives for any such offer; or </w:t>
      </w:r>
    </w:p>
    <w:p>
      <w:pPr>
        <w:pStyle w:val="TextBody"/>
        <w:bidi w:val="0"/>
        <w:spacing w:before="120" w:after="283"/>
        <w:ind w:left="619" w:right="0" w:hanging="0"/>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 xml:space="preserve">in any other circumstances falling within Article 1(4) of the Prospectus Regulation, provided that no such offer of the shares shall require us or any of the representatives to publish a prospectus pursuant to Article 3 of the Prospectus Regulation or supplement a prospectus pursuant to Article 23 of the Prospectus Regulation.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For purposes of this provision, the expression an “offer to the public” in relation to the shares in any Relevant Member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United Kingdom</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No shares have been offered or will be offered pursuant to the Offering to the public in the United Kingdom except that the shares may be offered to the public in the United Kingdom at any time:</w:t>
      </w:r>
      <w:r>
        <w:rPr>
          <w:rFonts w:ascii="Times New Roman" w:hAnsi="Times New Roman"/>
          <w:color w:val="000000"/>
          <w:sz w:val="20"/>
        </w:rPr>
        <w:t xml:space="preserve"> </w:t>
      </w:r>
    </w:p>
    <w:p>
      <w:pPr>
        <w:pStyle w:val="TextBody"/>
        <w:bidi w:val="0"/>
        <w:spacing w:before="120" w:after="283"/>
        <w:ind w:left="619" w:right="0" w:hanging="0"/>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where (i) the offer is conditional on the admission of the shares for trading on the London Stock Exchange plc's main market (in reliance on the exception in paragraph 6(a) of Schedule 1 of the POATR) or (ii) the shares being offered are at the time of the offer already admitted to trading on London Stock Exchange plc's main market (in reliance on the exception in paragraph 6(b) of Schedule 1 of the POATR); </w:t>
      </w:r>
    </w:p>
    <w:p>
      <w:pPr>
        <w:pStyle w:val="TextBody"/>
        <w:bidi w:val="0"/>
        <w:spacing w:before="120" w:after="283"/>
        <w:ind w:left="619" w:right="0" w:hanging="0"/>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to any qualified investor as defined in paragraph 15 of Schedule 1 of the POATR; </w:t>
      </w:r>
    </w:p>
    <w:p>
      <w:pPr>
        <w:pStyle w:val="TextBody"/>
        <w:bidi w:val="0"/>
        <w:spacing w:before="120" w:after="283"/>
        <w:ind w:left="619" w:right="0" w:hanging="0"/>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 xml:space="preserve">to fewer than 150 persons (other than qualified investors as defined in paragraph 15 of Schedule 1 of the POATR), subject to obtaining the prior consent of the Global Coordinator for any such offer; or </w:t>
      </w:r>
    </w:p>
    <w:p>
      <w:pPr>
        <w:pStyle w:val="TextBody"/>
        <w:bidi w:val="0"/>
        <w:spacing w:before="120" w:after="283"/>
        <w:ind w:left="619" w:right="0" w:hanging="0"/>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 xml:space="preserve">in any other circumstances falling within Part 1 of Schedule 1 of the POATR.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For the purposes of this provision, the expression an “offer to the public” in relation to the shares in the United Kingdom means the communication to any person which presents sufficient information on: (a) the shares to be offered; and (b) the terms on which they are to be offered, to enable an investor to decide to buy or subscribe for the shares and the expression “POATR” means the Public Offers and Admissions to Trading Regulations 2024.</w:t>
      </w:r>
    </w:p>
    <w:p>
      <w:pPr>
        <w:pStyle w:val="TextBody"/>
        <w:bidi w:val="0"/>
        <w:spacing w:before="240" w:after="283"/>
        <w:jc w:val="left"/>
        <w:rPr>
          <w:rFonts w:ascii="Times New Roman" w:hAnsi="Times New Roman"/>
          <w:sz w:val="20"/>
        </w:rPr>
      </w:pPr>
      <w:r>
        <w:rPr>
          <w:rFonts w:ascii="Arial" w:hAnsi="Arial"/>
          <w:i/>
          <w:color w:val="000000"/>
          <w:sz w:val="20"/>
        </w:rPr>
        <w:t>Canada</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Pursuant to section 3A.3 of National Instrument 33-105 Underwriting Conflicts (NI 33-105), the underwriters are not required to comply with the disclosure requirements of NI 33-105 regarding underwriter conflicts of interest in connection with this offering.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Hong Kong</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Singapore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Israel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Japan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Australia</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No placement document, prospectus, product disclosure statement or other disclosure document has been lodged with the Australian Securities and Investments Commission (ASIC), in relation to the offering. This offering document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r>
        <w:rPr>
          <w:rFonts w:ascii="Times New Roman" w:hAnsi="Times New Roman"/>
          <w:color w:val="000000"/>
          <w:sz w:val="20"/>
        </w:rPr>
        <w:t xml:space="preserve"> </w:t>
      </w:r>
    </w:p>
    <w:p>
      <w:pPr>
        <w:pStyle w:val="TextBody"/>
        <w:bidi w:val="0"/>
        <w:spacing w:before="240" w:after="283"/>
        <w:jc w:val="left"/>
        <w:rPr>
          <w:rFonts w:ascii="Arial" w:hAnsi="Arial"/>
          <w:i/>
          <w:color w:val="000000"/>
          <w:sz w:val="20"/>
        </w:rPr>
      </w:pPr>
      <w:r>
        <w:rPr>
          <w:rFonts w:ascii="Arial" w:hAnsi="Arial"/>
          <w:i/>
          <w:color w:val="000000"/>
          <w:sz w:val="20"/>
        </w:rPr>
        <w:t>Dubai International Financial Centre (DIFC)</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This offering document relates to an Exempt Offer in accordance with the Offered Securities Rules of the Dubai Financial Services Authority, or the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pStyle w:val="TextBody"/>
        <w:bidi w:val="0"/>
        <w:spacing w:before="120" w:after="283"/>
        <w:jc w:val="center"/>
        <w:rPr>
          <w:rFonts w:ascii="Arial" w:hAnsi="Arial"/>
          <w:color w:val="000000"/>
          <w:sz w:val="20"/>
        </w:rPr>
      </w:pPr>
      <w:r>
        <w:rPr>
          <w:rFonts w:ascii="Arial" w:hAnsi="Arial"/>
          <w:color w:val="000000"/>
          <w:sz w:val="20"/>
        </w:rPr>
        <w:t>232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i/>
          <w:color w:val="000000"/>
          <w:sz w:val="20"/>
        </w:rPr>
        <w:t>Switzerland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This offering document is not intended to constitute an offer or solicitation to purchase or invest in the shares of our common stock. The shares of common stock may not be publicly offered, directly or indirectly, in Switzerland within the meaning of the Swiss Financial Services Act, or FinSA, and no application has or will be made to admit the shares of common stock to trading on any trading venue (exchange or multilateral trading facility) in Switzerland. Neither this offering document nor any other offering or marketing material relating to the shares of common stock constitutes a prospectus pursuant to the FinSA, and neither this offering document nor any other offering or marketing material relating to the shares of common stock may be publicly distributed or otherwise made publicly available in Switzerland.</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Neither this offering document nor any other offering or marketing material relating to the offering, us or the securities have been or will be filed with or approved by any Swiss regulatory authority. In particular, this offering document will not be filed with, and the offer of securities will not be supervised by, the Swiss Financial Market Supervisory Authority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i/>
          <w:color w:val="000000"/>
          <w:sz w:val="20"/>
        </w:rPr>
        <w:t>Brazil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offer and sale of the shares have not been and will not be registered with the Brazilian Securities Commission, or CVM, and, therefore, will not be carried out by any means that would constitute a public offering in Brazil under CVM Resolution No 160, dated July 13, 2022, as amended, or unauthorized distribution under Brazilian laws and regulations. The shares may only be offered to Brazilian professional investors (as defined by applicable CVM regulation), who may only acquire the shares through a non-Brazilian account, with settlement outside Brazil in non-Brazilian currency. The trading of these shares on regulated securities markets in Brazil is prohibited.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bookmarkStart w:id="22" w:name="legal_matters"/>
      <w:bookmarkEnd w:id="22"/>
      <w:r>
        <w:rPr>
          <w:rFonts w:ascii="Arial" w:hAnsi="Arial"/>
          <w:b/>
          <w:color w:val="000000"/>
          <w:sz w:val="20"/>
        </w:rPr>
        <w:t>LEGAL MATTERS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validity of the shares of common stock offered hereby and selected other legal matters in connection with the offering will be passed upon for us by Covington &amp; Burling LLP, Boston, Massachusetts. Cooley LLP, Boston, Massachusetts, will serve as counsel to the underwriters in connection with this offering.</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23" w:name="experts"/>
      <w:bookmarkEnd w:id="23"/>
      <w:r>
        <w:rPr>
          <w:rFonts w:ascii="Arial" w:hAnsi="Arial"/>
          <w:b/>
          <w:color w:val="000000"/>
          <w:sz w:val="20"/>
        </w:rPr>
        <w:t>EXPERTS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financial statements of Odyssey Therapeutics, Inc. as of December 31, 2025 and 2024, and for the years then ended,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24" w:name="where_you_can_find_additional"/>
      <w:bookmarkEnd w:id="24"/>
      <w:r>
        <w:rPr>
          <w:rFonts w:ascii="Arial" w:hAnsi="Arial"/>
          <w:b/>
          <w:color w:val="000000"/>
          <w:sz w:val="20"/>
        </w:rPr>
        <w:t>WHERE YOU CAN FIND ADDITIONAL INFORMATION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 website that contains reports, proxy statements and other information about issuers, like us, that file electronically with the SEC. The address of that website is www.sec.gov.</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at the website of the SEC referred to above. We also maintain a website at https://odysseytx.com; upon closing of this offering, you may access these materials free of charge as soon as reasonably practicable after they are electronically filed with, or furnished to, the SEC. The information on or that can be accessed through our website is not a part of this prospectus and the inclusion of our website address in this prospectus is an inactive textual reference only.</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234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Odyssey Therapeutics, Inc.</w:t>
      </w:r>
    </w:p>
    <w:p>
      <w:pPr>
        <w:pStyle w:val="TextBody"/>
        <w:bidi w:val="0"/>
        <w:spacing w:before="240" w:after="283"/>
        <w:ind w:left="2923" w:right="2894" w:hanging="0"/>
        <w:jc w:val="center"/>
        <w:rPr>
          <w:rFonts w:ascii="Arial" w:hAnsi="Arial"/>
          <w:b/>
          <w:color w:val="000000"/>
          <w:sz w:val="20"/>
        </w:rPr>
      </w:pPr>
      <w:bookmarkStart w:id="25" w:name="index"/>
      <w:bookmarkEnd w:id="25"/>
      <w:r>
        <w:rPr>
          <w:rFonts w:ascii="Arial" w:hAnsi="Arial"/>
          <w:b/>
          <w:color w:val="000000"/>
          <w:sz w:val="20"/>
        </w:rPr>
        <w:t>INDEX TO FINANCIAL STATEMENTS</w:t>
      </w:r>
    </w:p>
    <w:p>
      <w:pPr>
        <w:pStyle w:val="TextBody"/>
        <w:bidi w:val="0"/>
        <w:spacing w:before="240" w:after="240"/>
        <w:jc w:val="both"/>
        <w:rPr>
          <w:rFonts w:ascii="Arial" w:hAnsi="Arial"/>
          <w:b/>
          <w:color w:val="000000"/>
          <w:sz w:val="20"/>
        </w:rPr>
      </w:pPr>
      <w:r>
        <w:rPr>
          <w:rFonts w:ascii="Arial" w:hAnsi="Arial"/>
          <w:b/>
          <w:color w:val="000000"/>
          <w:sz w:val="20"/>
        </w:rPr>
        <w:t>Audited Consolidated Financial Statements as of and for the Years Ended December 31, 2025 and 2024</w:t>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294"/>
        <w:gridCol w:w="911"/>
      </w:tblGrid>
      <w:tr>
        <w:trPr/>
        <w:tc>
          <w:tcPr>
            <w:tcW w:w="929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9294" w:type="dxa"/>
            <w:tcBorders/>
            <w:tcMar>
              <w:top w:w="0" w:type="dxa"/>
              <w:left w:w="0" w:type="dxa"/>
              <w:bottom w:w="0" w:type="dxa"/>
              <w:right w:w="0" w:type="dxa"/>
            </w:tcMar>
            <w:vAlign w:val="center"/>
          </w:tcPr>
          <w:p>
            <w:pPr>
              <w:pStyle w:val="TableContents"/>
              <w:bidi w:val="0"/>
              <w:spacing w:before="0" w:after="283"/>
              <w:jc w:val="left"/>
              <w:rPr/>
            </w:pPr>
            <w:hyperlink w:anchor="report_of_independent">
              <w:r>
                <w:rPr>
                  <w:rStyle w:val="InternetLink"/>
                  <w:rFonts w:ascii="Arial" w:hAnsi="Arial"/>
                  <w:color w:val="0000FF"/>
                  <w:sz w:val="20"/>
                  <w:u w:val="single"/>
                </w:rPr>
                <w:t>Report of Independent Registered Public Accounting Firm</w:t>
              </w:r>
            </w:hyperlink>
          </w:p>
        </w:tc>
        <w:tc>
          <w:tcPr>
            <w:tcW w:w="9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F-2</w:t>
            </w:r>
          </w:p>
        </w:tc>
      </w:tr>
      <w:tr>
        <w:trPr/>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9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Consolidated Financial Statements:</w:t>
            </w:r>
          </w:p>
        </w:tc>
        <w:tc>
          <w:tcPr>
            <w:tcW w:w="9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294" w:type="dxa"/>
            <w:tcBorders/>
            <w:tcMar>
              <w:top w:w="0" w:type="dxa"/>
              <w:left w:w="0" w:type="dxa"/>
              <w:bottom w:w="0" w:type="dxa"/>
              <w:right w:w="0" w:type="dxa"/>
            </w:tcMar>
            <w:vAlign w:val="center"/>
          </w:tcPr>
          <w:p>
            <w:pPr>
              <w:pStyle w:val="TableContents"/>
              <w:bidi w:val="0"/>
              <w:spacing w:before="0" w:after="283"/>
              <w:ind w:left="720" w:right="0" w:firstLine="720"/>
              <w:jc w:val="left"/>
              <w:rPr/>
            </w:pPr>
            <w:hyperlink w:anchor="consolidated_balance_sheets">
              <w:r>
                <w:rPr>
                  <w:rStyle w:val="InternetLink"/>
                  <w:rFonts w:ascii="Arial" w:hAnsi="Arial"/>
                  <w:color w:val="0000FF"/>
                  <w:sz w:val="20"/>
                  <w:u w:val="single"/>
                </w:rPr>
                <w:t>Consolidated Balance Sheets as of December 31, 2025 and 2024</w:t>
              </w:r>
            </w:hyperlink>
          </w:p>
        </w:tc>
        <w:tc>
          <w:tcPr>
            <w:tcW w:w="9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F-3</w:t>
            </w:r>
          </w:p>
        </w:tc>
      </w:tr>
      <w:tr>
        <w:trPr/>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294" w:type="dxa"/>
            <w:tcBorders/>
            <w:tcMar>
              <w:top w:w="0" w:type="dxa"/>
              <w:left w:w="0" w:type="dxa"/>
              <w:bottom w:w="0" w:type="dxa"/>
              <w:right w:w="0" w:type="dxa"/>
            </w:tcMar>
            <w:vAlign w:val="center"/>
          </w:tcPr>
          <w:p>
            <w:pPr>
              <w:pStyle w:val="TableContents"/>
              <w:bidi w:val="0"/>
              <w:spacing w:before="0" w:after="283"/>
              <w:ind w:left="720" w:right="0" w:firstLine="720"/>
              <w:jc w:val="left"/>
              <w:rPr/>
            </w:pPr>
            <w:hyperlink w:anchor="consolidated_statements_operations_compe">
              <w:r>
                <w:rPr>
                  <w:rStyle w:val="InternetLink"/>
                  <w:rFonts w:ascii="Arial" w:hAnsi="Arial"/>
                  <w:color w:val="0000FF"/>
                  <w:sz w:val="20"/>
                  <w:u w:val="single"/>
                </w:rPr>
                <w:t>Consolidated Statements of Operations and Comprehensive Loss for the years ended December 31, 2025 and 2024</w:t>
              </w:r>
            </w:hyperlink>
          </w:p>
        </w:tc>
        <w:tc>
          <w:tcPr>
            <w:tcW w:w="9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F-4</w:t>
            </w:r>
          </w:p>
        </w:tc>
      </w:tr>
      <w:tr>
        <w:trPr/>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294" w:type="dxa"/>
            <w:tcBorders/>
            <w:tcMar>
              <w:top w:w="0" w:type="dxa"/>
              <w:left w:w="0" w:type="dxa"/>
              <w:bottom w:w="0" w:type="dxa"/>
              <w:right w:w="0" w:type="dxa"/>
            </w:tcMar>
            <w:vAlign w:val="center"/>
          </w:tcPr>
          <w:p>
            <w:pPr>
              <w:pStyle w:val="TableContents"/>
              <w:bidi w:val="0"/>
              <w:spacing w:before="0" w:after="283"/>
              <w:ind w:left="720" w:right="0" w:firstLine="720"/>
              <w:jc w:val="left"/>
              <w:rPr/>
            </w:pPr>
            <w:hyperlink w:anchor="equity">
              <w:r>
                <w:rPr>
                  <w:rStyle w:val="InternetLink"/>
                  <w:rFonts w:ascii="Arial" w:hAnsi="Arial"/>
                  <w:color w:val="0000FF"/>
                  <w:sz w:val="20"/>
                  <w:u w:val="single"/>
                </w:rPr>
                <w:t>Consolidated Statements of Convertible Preferred Stock and Stockholders’ Deficit for the years ended December 31, 2025 and 2024</w:t>
              </w:r>
            </w:hyperlink>
          </w:p>
        </w:tc>
        <w:tc>
          <w:tcPr>
            <w:tcW w:w="9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F-5</w:t>
            </w:r>
          </w:p>
        </w:tc>
      </w:tr>
      <w:tr>
        <w:trPr/>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294" w:type="dxa"/>
            <w:tcBorders/>
            <w:tcMar>
              <w:top w:w="0" w:type="dxa"/>
              <w:left w:w="0" w:type="dxa"/>
              <w:bottom w:w="0" w:type="dxa"/>
              <w:right w:w="0" w:type="dxa"/>
            </w:tcMar>
            <w:vAlign w:val="center"/>
          </w:tcPr>
          <w:p>
            <w:pPr>
              <w:pStyle w:val="TableContents"/>
              <w:bidi w:val="0"/>
              <w:spacing w:before="0" w:after="283"/>
              <w:ind w:left="720" w:right="0" w:firstLine="720"/>
              <w:jc w:val="left"/>
              <w:rPr/>
            </w:pPr>
            <w:hyperlink w:anchor="consolidated_statements_of_cash_flows">
              <w:r>
                <w:rPr>
                  <w:rStyle w:val="InternetLink"/>
                  <w:rFonts w:ascii="Arial" w:hAnsi="Arial"/>
                  <w:color w:val="0000FF"/>
                  <w:sz w:val="20"/>
                  <w:u w:val="single"/>
                </w:rPr>
                <w:t>Consolidated Statements of Cash Flows for the years ended December 31, 2025 and 2024</w:t>
              </w:r>
            </w:hyperlink>
          </w:p>
        </w:tc>
        <w:tc>
          <w:tcPr>
            <w:tcW w:w="9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F-6</w:t>
            </w:r>
          </w:p>
        </w:tc>
      </w:tr>
      <w:tr>
        <w:trPr/>
        <w:tc>
          <w:tcPr>
            <w:tcW w:w="9294"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94" w:type="dxa"/>
            <w:tcBorders/>
            <w:tcMar>
              <w:top w:w="0" w:type="dxa"/>
              <w:left w:w="0" w:type="dxa"/>
              <w:bottom w:w="0" w:type="dxa"/>
              <w:right w:w="0" w:type="dxa"/>
            </w:tcMar>
            <w:vAlign w:val="center"/>
          </w:tcPr>
          <w:p>
            <w:pPr>
              <w:pStyle w:val="TableContents"/>
              <w:bidi w:val="0"/>
              <w:spacing w:before="0" w:after="283"/>
              <w:jc w:val="left"/>
              <w:rPr/>
            </w:pPr>
            <w:hyperlink w:anchor="notes_to_consolidated">
              <w:r>
                <w:rPr>
                  <w:rStyle w:val="InternetLink"/>
                  <w:rFonts w:ascii="Arial" w:hAnsi="Arial"/>
                  <w:color w:val="0000FF"/>
                  <w:sz w:val="20"/>
                  <w:u w:val="single"/>
                </w:rPr>
                <w:t>Notes to Consolidated Financial Statements</w:t>
              </w:r>
            </w:hyperlink>
          </w:p>
        </w:tc>
        <w:tc>
          <w:tcPr>
            <w:tcW w:w="91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F-7</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Odyssey Therapeutics, Inc.</w:t>
      </w:r>
    </w:p>
    <w:p>
      <w:pPr>
        <w:pStyle w:val="TextBody"/>
        <w:bidi w:val="0"/>
        <w:jc w:val="center"/>
        <w:rPr>
          <w:rFonts w:ascii="Arial" w:hAnsi="Arial"/>
          <w:b/>
          <w:color w:val="000000"/>
          <w:sz w:val="20"/>
        </w:rPr>
      </w:pPr>
      <w:bookmarkStart w:id="26" w:name="report_of_independent"/>
      <w:bookmarkEnd w:id="26"/>
      <w:r>
        <w:rPr>
          <w:rFonts w:ascii="Arial" w:hAnsi="Arial"/>
          <w:b/>
          <w:color w:val="000000"/>
          <w:sz w:val="20"/>
        </w:rPr>
        <w:t>Report of Independent Registered Public Accounting Firm</w:t>
      </w:r>
    </w:p>
    <w:p>
      <w:pPr>
        <w:pStyle w:val="TextBody"/>
        <w:bidi w:val="0"/>
        <w:spacing w:before="120" w:after="283"/>
        <w:jc w:val="both"/>
        <w:rPr>
          <w:rFonts w:ascii="Arial" w:hAnsi="Arial"/>
          <w:color w:val="000000"/>
          <w:sz w:val="20"/>
        </w:rPr>
      </w:pPr>
      <w:r>
        <w:rPr>
          <w:rFonts w:ascii="Arial" w:hAnsi="Arial"/>
          <w:color w:val="000000"/>
          <w:sz w:val="20"/>
        </w:rPr>
        <w:t>To the stockholders and the Board of Directors of Odyssey Therapeutics, Inc.</w:t>
      </w:r>
    </w:p>
    <w:p>
      <w:pPr>
        <w:pStyle w:val="TextBody"/>
        <w:bidi w:val="0"/>
        <w:spacing w:before="240" w:after="283"/>
        <w:jc w:val="left"/>
        <w:rPr>
          <w:rFonts w:ascii="Arial" w:hAnsi="Arial"/>
          <w:b/>
          <w:color w:val="000000"/>
          <w:sz w:val="20"/>
        </w:rPr>
      </w:pPr>
      <w:r>
        <w:rPr>
          <w:rFonts w:ascii="Arial" w:hAnsi="Arial"/>
          <w:b/>
          <w:color w:val="000000"/>
          <w:sz w:val="20"/>
        </w:rPr>
        <w:t>Opinion on the Financial Statements</w:t>
      </w:r>
    </w:p>
    <w:p>
      <w:pPr>
        <w:pStyle w:val="TextBody"/>
        <w:bidi w:val="0"/>
        <w:spacing w:before="120" w:after="283"/>
        <w:jc w:val="both"/>
        <w:rPr>
          <w:rFonts w:ascii="Arial" w:hAnsi="Arial"/>
          <w:color w:val="000000"/>
          <w:sz w:val="20"/>
        </w:rPr>
      </w:pPr>
      <w:r>
        <w:rPr>
          <w:rFonts w:ascii="Arial" w:hAnsi="Arial"/>
          <w:color w:val="000000"/>
          <w:sz w:val="20"/>
        </w:rPr>
        <w:t>We have audited the accompanying consolidated balance sheets of Odyssey Therapeutics, Inc. and subsidiaries (the "Company") as of December 31, 2025 and 2024, the related consolidated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spacing w:before="240" w:after="283"/>
        <w:jc w:val="left"/>
        <w:rPr>
          <w:rFonts w:ascii="Arial" w:hAnsi="Arial"/>
          <w:b/>
          <w:color w:val="000000"/>
          <w:sz w:val="20"/>
        </w:rPr>
      </w:pPr>
      <w:r>
        <w:rPr>
          <w:rFonts w:ascii="Arial" w:hAnsi="Arial"/>
          <w:b/>
          <w:color w:val="000000"/>
          <w:sz w:val="20"/>
        </w:rPr>
        <w:t>Going Concern</w:t>
      </w:r>
    </w:p>
    <w:p>
      <w:pPr>
        <w:pStyle w:val="TextBody"/>
        <w:bidi w:val="0"/>
        <w:spacing w:before="120" w:after="283"/>
        <w:jc w:val="both"/>
        <w:rPr>
          <w:rFonts w:ascii="Arial" w:hAnsi="Arial"/>
          <w:color w:val="000000"/>
          <w:sz w:val="20"/>
        </w:rPr>
      </w:pPr>
      <w:r>
        <w:rPr>
          <w:rFonts w:ascii="Arial" w:hAnsi="Arial"/>
          <w:color w:val="000000"/>
          <w:sz w:val="20"/>
        </w:rPr>
        <w:t>The accompanying financial statements have been prepared assuming that the Company will continue as a going concern. As discussed in Note 1 to the financial statements, the Company’s recurring losses from operations incurred since inception, expectation of continuing operating losses for the foreseeable future, and the need to raise additional capital to finance its future operations, raise substantial doubt about its ability to continue as a going concern. Management's plans in regard to these matters are also described in Note 1. The financial statements do not include any adjustments that might result from the outcome of this uncertainty.</w:t>
      </w:r>
    </w:p>
    <w:p>
      <w:pPr>
        <w:pStyle w:val="TextBody"/>
        <w:bidi w:val="0"/>
        <w:spacing w:before="240" w:after="283"/>
        <w:jc w:val="left"/>
        <w:rPr>
          <w:rFonts w:ascii="Arial" w:hAnsi="Arial"/>
          <w:b/>
          <w:color w:val="000000"/>
          <w:sz w:val="20"/>
        </w:rPr>
      </w:pPr>
      <w:r>
        <w:rPr>
          <w:rFonts w:ascii="Arial" w:hAnsi="Arial"/>
          <w:b/>
          <w:color w:val="000000"/>
          <w:sz w:val="20"/>
        </w:rPr>
        <w:t>Basis for Opinion</w:t>
      </w:r>
    </w:p>
    <w:p>
      <w:pPr>
        <w:pStyle w:val="TextBody"/>
        <w:bidi w:val="0"/>
        <w:spacing w:before="120" w:after="283"/>
        <w:jc w:val="both"/>
        <w:rPr>
          <w:rFonts w:ascii="Arial" w:hAnsi="Arial"/>
          <w:color w:val="000000"/>
          <w:sz w:val="20"/>
        </w:rPr>
      </w:pPr>
      <w:r>
        <w:rPr>
          <w:rFonts w:ascii="Arial" w:hAnsi="Arial"/>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both"/>
        <w:rPr>
          <w:rFonts w:ascii="Arial" w:hAnsi="Arial"/>
          <w:color w:val="000000"/>
          <w:sz w:val="20"/>
        </w:rPr>
      </w:pPr>
      <w:r>
        <w:rPr>
          <w:rFonts w:ascii="Arial" w:hAnsi="Arial"/>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40" w:after="283"/>
        <w:jc w:val="both"/>
        <w:rPr>
          <w:rFonts w:ascii="Arial" w:hAnsi="Arial"/>
          <w:color w:val="000000"/>
          <w:sz w:val="20"/>
        </w:rPr>
      </w:pPr>
      <w:r>
        <w:rPr>
          <w:rFonts w:ascii="Arial" w:hAnsi="Arial"/>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rFonts w:ascii="Arial" w:hAnsi="Arial"/>
          <w:color w:val="000000"/>
          <w:sz w:val="20"/>
        </w:rPr>
      </w:pPr>
      <w:r>
        <w:rPr>
          <w:rFonts w:ascii="Arial" w:hAnsi="Arial"/>
          <w:color w:val="000000"/>
          <w:sz w:val="20"/>
        </w:rPr>
        <w:t>/s/ Deloitte &amp; Touche LLP</w:t>
      </w:r>
    </w:p>
    <w:p>
      <w:pPr>
        <w:pStyle w:val="TextBody"/>
        <w:bidi w:val="0"/>
        <w:spacing w:before="120" w:after="283"/>
        <w:jc w:val="left"/>
        <w:rPr>
          <w:rFonts w:ascii="Arial" w:hAnsi="Arial"/>
          <w:color w:val="000000"/>
          <w:sz w:val="20"/>
        </w:rPr>
      </w:pPr>
      <w:r>
        <w:rPr>
          <w:rFonts w:ascii="Arial" w:hAnsi="Arial"/>
          <w:color w:val="000000"/>
          <w:sz w:val="20"/>
        </w:rPr>
        <w:t>Boston, Massachusetts</w:t>
      </w:r>
    </w:p>
    <w:p>
      <w:pPr>
        <w:pStyle w:val="TextBody"/>
        <w:bidi w:val="0"/>
        <w:spacing w:before="120" w:after="283"/>
        <w:jc w:val="left"/>
        <w:rPr>
          <w:rFonts w:ascii="Arial" w:hAnsi="Arial"/>
          <w:color w:val="000000"/>
          <w:sz w:val="20"/>
        </w:rPr>
      </w:pPr>
      <w:r>
        <w:rPr>
          <w:rFonts w:ascii="Arial" w:hAnsi="Arial"/>
          <w:color w:val="000000"/>
          <w:sz w:val="20"/>
        </w:rPr>
        <w:t>March 16, 2026 (May 4, 2026, as to the effects of the reverse stock split discussed in Note 19)</w:t>
      </w:r>
    </w:p>
    <w:p>
      <w:pPr>
        <w:pStyle w:val="TextBody"/>
        <w:bidi w:val="0"/>
        <w:spacing w:before="120" w:after="283"/>
        <w:jc w:val="left"/>
        <w:rPr>
          <w:rFonts w:ascii="Arial" w:hAnsi="Arial"/>
          <w:color w:val="000000"/>
          <w:sz w:val="20"/>
        </w:rPr>
      </w:pPr>
      <w:r>
        <w:rPr>
          <w:rFonts w:ascii="Arial" w:hAnsi="Arial"/>
          <w:color w:val="000000"/>
          <w:sz w:val="20"/>
        </w:rPr>
        <w:t>We have served as the Company’s auditor since 2022.</w:t>
      </w:r>
    </w:p>
    <w:p>
      <w:pPr>
        <w:pStyle w:val="TextBody"/>
        <w:bidi w:val="0"/>
        <w:spacing w:before="120" w:after="283"/>
        <w:jc w:val="center"/>
        <w:rPr>
          <w:rFonts w:ascii="Arial" w:hAnsi="Arial"/>
          <w:color w:val="000000"/>
          <w:sz w:val="20"/>
        </w:rPr>
      </w:pPr>
      <w:r>
        <w:rPr>
          <w:rFonts w:ascii="Arial" w:hAnsi="Arial"/>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Odyssey Therapeutics, Inc.</w:t>
      </w:r>
    </w:p>
    <w:p>
      <w:pPr>
        <w:pStyle w:val="TextBody"/>
        <w:bidi w:val="0"/>
        <w:jc w:val="center"/>
        <w:rPr>
          <w:rFonts w:ascii="Arial" w:hAnsi="Arial"/>
          <w:b/>
          <w:color w:val="000000"/>
          <w:sz w:val="20"/>
        </w:rPr>
      </w:pPr>
      <w:bookmarkStart w:id="27" w:name="consolidated_balance_sheets"/>
      <w:bookmarkEnd w:id="27"/>
      <w:r>
        <w:rPr>
          <w:rFonts w:ascii="Arial" w:hAnsi="Arial"/>
          <w:b/>
          <w:color w:val="000000"/>
          <w:sz w:val="20"/>
        </w:rPr>
        <w:t>Consolidated Balance Sheets</w:t>
      </w:r>
    </w:p>
    <w:p>
      <w:pPr>
        <w:pStyle w:val="TextBody"/>
        <w:bidi w:val="0"/>
        <w:jc w:val="center"/>
        <w:rPr>
          <w:rFonts w:ascii="Arial" w:hAnsi="Arial"/>
          <w:b/>
          <w:color w:val="000000"/>
          <w:sz w:val="20"/>
        </w:rPr>
      </w:pPr>
      <w:r>
        <w:rPr>
          <w:rFonts w:ascii="Arial" w:hAnsi="Arial"/>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70,218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135,510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27,367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13,346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197,435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Convertible Preferred Stock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28,415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Contingent consideration and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26,430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65,069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(see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Series A convertible preferred stock, net of issuance costs, $0.0001 par value: 43,749,045 and 45,430,930 shares authorized as of December 31, 2025 and December 31, 2024, respectively; and 43,732,797 and 45,414,682 shares issued and outstanding as of December 31, 2025 and December 31, 2024, respectively, (liquidation preference $84,796 and $224,193 as of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223,869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Series B convertible preferred stock, net of issuance costs, $0.0001 par value: 26,601,360 shares authorized as of December 31, 2025 and December 31, 2024; and 26,601,360 shares issued and outstanding as of December 31, 2025 and December 31, 2024 (liquidation preference $66,100 and $168,010 as of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167,765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Series C convertible preferred stock, net of issuance costs, $0.0001 par value: 24,901,598 and 28,307,327 shares authorized as of December 31, 2025 and December 31, 2024, respectively; and 24,901,598 shares issued and outstanding as of December 31, 2025 and December 31, 2024 (liquidation preference $49,065 and $124,710 as of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123,259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Series D convertible preferred stock, net of issuance costs, $0.0001 par value: 142,016,823 and no shares authorized as of December 31, 2025 and December 31, 2024, respectively; and 141,950,377 and no shares issued and outstanding as of December 31, 2025 and December 31, 2024, respectively (liquidation preference $213,631 and $0 as of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Common stock, $0.0001 par value: 365,081,240 shares and 143,196,098 shares authorized as of December 31, 2025 and December 31, 2024, respectively; 2,472,757 shares and 959,115 shares issued as of December 31, 2025 and December 31, 2024, respectively; 2,306,207 shares and 959,115 shares outstanding as of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(568,139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(419,492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(488,278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(382,527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liabilities, convertible preferred stock,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269,788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197,435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audited consolidated financial statements.</w:t>
      </w:r>
    </w:p>
    <w:p>
      <w:pPr>
        <w:pStyle w:val="TextBody"/>
        <w:bidi w:val="0"/>
        <w:spacing w:before="120" w:after="283"/>
        <w:jc w:val="center"/>
        <w:rPr>
          <w:rFonts w:ascii="Arial" w:hAnsi="Arial"/>
          <w:color w:val="000000"/>
          <w:sz w:val="20"/>
        </w:rPr>
      </w:pPr>
      <w:r>
        <w:rPr>
          <w:rFonts w:ascii="Arial" w:hAnsi="Arial"/>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Odyssey Therapeutics, Inc.</w:t>
      </w:r>
    </w:p>
    <w:p>
      <w:pPr>
        <w:pStyle w:val="TextBody"/>
        <w:bidi w:val="0"/>
        <w:jc w:val="center"/>
        <w:rPr>
          <w:rFonts w:ascii="Arial" w:hAnsi="Arial"/>
          <w:b/>
          <w:color w:val="000000"/>
          <w:sz w:val="20"/>
        </w:rPr>
      </w:pPr>
      <w:bookmarkStart w:id="28" w:name="consolidated_statements_operations_compe"/>
      <w:bookmarkEnd w:id="28"/>
      <w:r>
        <w:rPr>
          <w:rFonts w:ascii="Arial" w:hAnsi="Arial"/>
          <w:b/>
          <w:color w:val="000000"/>
          <w:sz w:val="20"/>
        </w:rPr>
        <w:t>Consolidated Statements of Operations and Comprehensive Loss</w:t>
      </w:r>
    </w:p>
    <w:p>
      <w:pPr>
        <w:pStyle w:val="TextBody"/>
        <w:bidi w:val="0"/>
        <w:jc w:val="center"/>
        <w:rPr>
          <w:rFonts w:ascii="Arial" w:hAnsi="Arial"/>
          <w:b/>
          <w:color w:val="000000"/>
          <w:sz w:val="20"/>
        </w:rPr>
      </w:pPr>
      <w:r>
        <w:rPr>
          <w:rFonts w:ascii="Arial" w:hAnsi="Arial"/>
          <w:b/>
          <w:color w:val="000000"/>
          <w:sz w:val="20"/>
        </w:rPr>
        <w:t>(in thousands, except share and per share data)</w:t>
      </w:r>
    </w:p>
    <w:p>
      <w:pPr>
        <w:pStyle w:val="TextBody"/>
        <w:bidi w:val="0"/>
        <w:jc w:val="left"/>
        <w:rPr/>
      </w:pPr>
      <w:r>
        <w:rPr/>
        <w:t> </w:t>
      </w:r>
    </w:p>
    <w:tbl>
      <w:tblPr>
        <w:tblW w:w="9974" w:type="dxa"/>
        <w:jc w:val="left"/>
        <w:tblInd w:w="0" w:type="dxa"/>
        <w:tblLayout w:type="fixed"/>
        <w:tblCellMar>
          <w:top w:w="28" w:type="dxa"/>
          <w:left w:w="28" w:type="dxa"/>
          <w:bottom w:w="28" w:type="dxa"/>
          <w:right w:w="28" w:type="dxa"/>
        </w:tblCellMar>
      </w:tblPr>
      <w:tblGrid>
        <w:gridCol w:w="6526"/>
        <w:gridCol w:w="146"/>
        <w:gridCol w:w="211"/>
        <w:gridCol w:w="961"/>
        <w:gridCol w:w="166"/>
        <w:gridCol w:w="146"/>
        <w:gridCol w:w="211"/>
        <w:gridCol w:w="856"/>
        <w:gridCol w:w="751"/>
      </w:tblGrid>
      <w:tr>
        <w:trPr/>
        <w:tc>
          <w:tcPr>
            <w:tcW w:w="6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4,472</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112,579</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27,116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Change in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1,798</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141,493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(137,021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8,489</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8,169</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(149,574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(128,852</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(benefit)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(129,321</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Unrealized gain on marketable securities,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(129,804</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attributable to common stockholders (see 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(130,401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(148.21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common stock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3,038,064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879,834</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audited consolidated financial statements.</w:t>
      </w:r>
    </w:p>
    <w:p>
      <w:pPr>
        <w:pStyle w:val="TextBody"/>
        <w:bidi w:val="0"/>
        <w:spacing w:before="120" w:after="283"/>
        <w:jc w:val="center"/>
        <w:rPr>
          <w:rFonts w:ascii="Arial" w:hAnsi="Arial"/>
          <w:color w:val="000000"/>
          <w:sz w:val="20"/>
        </w:rPr>
      </w:pPr>
      <w:r>
        <w:rPr>
          <w:rFonts w:ascii="Arial" w:hAnsi="Arial"/>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Odyssey Therapeutics, Inc.</w:t>
      </w:r>
    </w:p>
    <w:p>
      <w:pPr>
        <w:pStyle w:val="TextBody"/>
        <w:bidi w:val="0"/>
        <w:jc w:val="center"/>
        <w:rPr>
          <w:rFonts w:ascii="Arial" w:hAnsi="Arial"/>
          <w:b/>
          <w:color w:val="000000"/>
          <w:sz w:val="20"/>
        </w:rPr>
      </w:pPr>
      <w:bookmarkStart w:id="29" w:name="equity"/>
      <w:bookmarkEnd w:id="29"/>
      <w:r>
        <w:rPr>
          <w:rFonts w:ascii="Arial" w:hAnsi="Arial"/>
          <w:b/>
          <w:color w:val="000000"/>
          <w:sz w:val="20"/>
        </w:rPr>
        <w:t>Consolidated Statements of Convertible Preferred Stock and Stockholders’ Deficit</w:t>
      </w:r>
    </w:p>
    <w:p>
      <w:pPr>
        <w:pStyle w:val="TextBody"/>
        <w:bidi w:val="0"/>
        <w:jc w:val="center"/>
        <w:rPr>
          <w:rFonts w:ascii="Arial" w:hAnsi="Arial"/>
          <w:b/>
          <w:color w:val="000000"/>
          <w:sz w:val="20"/>
        </w:rPr>
      </w:pPr>
      <w:r>
        <w:rPr>
          <w:rFonts w:ascii="Arial" w:hAnsi="Arial"/>
          <w:b/>
          <w:color w:val="000000"/>
          <w:sz w:val="20"/>
        </w:rPr>
        <w:t>(in thousands, except share and per share data)</w:t>
      </w:r>
    </w:p>
    <w:p>
      <w:pPr>
        <w:pStyle w:val="TextBody"/>
        <w:bidi w:val="0"/>
        <w:jc w:val="center"/>
        <w:rPr/>
      </w:pPr>
      <w:r>
        <w:rPr/>
        <w:t> </w:t>
      </w:r>
    </w:p>
    <w:tbl>
      <w:tblPr>
        <w:tblW w:w="13498" w:type="dxa"/>
        <w:jc w:val="left"/>
        <w:tblInd w:w="0" w:type="dxa"/>
        <w:tblLayout w:type="fixed"/>
        <w:tblCellMar>
          <w:top w:w="28" w:type="dxa"/>
          <w:left w:w="28" w:type="dxa"/>
          <w:bottom w:w="28" w:type="dxa"/>
          <w:right w:w="28" w:type="dxa"/>
        </w:tblCellMar>
      </w:tblPr>
      <w:tblGrid>
        <w:gridCol w:w="901"/>
        <w:gridCol w:w="146"/>
        <w:gridCol w:w="646"/>
        <w:gridCol w:w="151"/>
        <w:gridCol w:w="166"/>
        <w:gridCol w:w="496"/>
        <w:gridCol w:w="151"/>
        <w:gridCol w:w="146"/>
        <w:gridCol w:w="646"/>
        <w:gridCol w:w="146"/>
        <w:gridCol w:w="166"/>
        <w:gridCol w:w="496"/>
        <w:gridCol w:w="146"/>
        <w:gridCol w:w="146"/>
        <w:gridCol w:w="646"/>
        <w:gridCol w:w="146"/>
        <w:gridCol w:w="166"/>
        <w:gridCol w:w="496"/>
        <w:gridCol w:w="146"/>
        <w:gridCol w:w="146"/>
        <w:gridCol w:w="706"/>
        <w:gridCol w:w="146"/>
        <w:gridCol w:w="166"/>
        <w:gridCol w:w="496"/>
        <w:gridCol w:w="146"/>
        <w:gridCol w:w="146"/>
        <w:gridCol w:w="586"/>
        <w:gridCol w:w="146"/>
        <w:gridCol w:w="185"/>
        <w:gridCol w:w="386"/>
        <w:gridCol w:w="146"/>
        <w:gridCol w:w="190"/>
        <w:gridCol w:w="501"/>
        <w:gridCol w:w="146"/>
        <w:gridCol w:w="197"/>
        <w:gridCol w:w="644"/>
        <w:gridCol w:w="151"/>
        <w:gridCol w:w="267"/>
        <w:gridCol w:w="679"/>
        <w:gridCol w:w="151"/>
        <w:gridCol w:w="193"/>
        <w:gridCol w:w="633"/>
        <w:gridCol w:w="196"/>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A convertible</w:t>
              <w:b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B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C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D convertible</w:t>
              <w:br/>
              <w:t>preferred stock</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4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45,414,682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223,869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26,601,360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167,765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24,901,598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123,259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959,115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(419,492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(382,527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Exercises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549,454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3,115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Vesting of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31,956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14,322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Issuance of Series D convertible preferred stock and common stock warrants, net of issuance costs of $1,172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141,950,377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196,031</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16,427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Conversion of preferred stock into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(1,681,885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(7,366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7,373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Exercise of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748,374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Other comprehensive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1,586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(148,647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(148,647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 as of December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43,732,797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216,503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26,601,360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167,765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24,901,598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123,259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141,950,377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196,031</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2,306,207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79,616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(568,139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(488,278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bl>
    <w:p>
      <w:pPr>
        <w:pStyle w:val="TextBody"/>
        <w:bidi w:val="0"/>
        <w:jc w:val="center"/>
        <w:rPr/>
      </w:pPr>
      <w:r>
        <w:rPr/>
        <w:t> </w:t>
      </w:r>
    </w:p>
    <w:tbl>
      <w:tblPr>
        <w:tblW w:w="12947" w:type="dxa"/>
        <w:jc w:val="left"/>
        <w:tblInd w:w="0" w:type="dxa"/>
        <w:tblLayout w:type="fixed"/>
        <w:tblCellMar>
          <w:top w:w="28" w:type="dxa"/>
          <w:left w:w="28" w:type="dxa"/>
          <w:bottom w:w="28" w:type="dxa"/>
          <w:right w:w="28" w:type="dxa"/>
        </w:tblCellMar>
      </w:tblPr>
      <w:tblGrid>
        <w:gridCol w:w="901"/>
        <w:gridCol w:w="146"/>
        <w:gridCol w:w="646"/>
        <w:gridCol w:w="146"/>
        <w:gridCol w:w="166"/>
        <w:gridCol w:w="496"/>
        <w:gridCol w:w="146"/>
        <w:gridCol w:w="146"/>
        <w:gridCol w:w="646"/>
        <w:gridCol w:w="146"/>
        <w:gridCol w:w="166"/>
        <w:gridCol w:w="496"/>
        <w:gridCol w:w="146"/>
        <w:gridCol w:w="146"/>
        <w:gridCol w:w="646"/>
        <w:gridCol w:w="146"/>
        <w:gridCol w:w="166"/>
        <w:gridCol w:w="496"/>
        <w:gridCol w:w="146"/>
        <w:gridCol w:w="146"/>
        <w:gridCol w:w="346"/>
        <w:gridCol w:w="146"/>
        <w:gridCol w:w="185"/>
        <w:gridCol w:w="386"/>
        <w:gridCol w:w="146"/>
        <w:gridCol w:w="146"/>
        <w:gridCol w:w="496"/>
        <w:gridCol w:w="146"/>
        <w:gridCol w:w="185"/>
        <w:gridCol w:w="386"/>
        <w:gridCol w:w="146"/>
        <w:gridCol w:w="190"/>
        <w:gridCol w:w="501"/>
        <w:gridCol w:w="146"/>
        <w:gridCol w:w="197"/>
        <w:gridCol w:w="644"/>
        <w:gridCol w:w="151"/>
        <w:gridCol w:w="267"/>
        <w:gridCol w:w="679"/>
        <w:gridCol w:w="151"/>
        <w:gridCol w:w="193"/>
        <w:gridCol w:w="633"/>
        <w:gridCol w:w="196"/>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A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B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C convertible</w:t>
              <w:b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Series D convertible</w:t>
              <w:br/>
              <w:t>preferred stock</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3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45,414,682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223,869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26,601,360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167,765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19,426,000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96,571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806,043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27,241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(289,091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(262,708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Exercises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510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Vesting of restricted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132,968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8,195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Issuance of Series C convertible preferred stock, net of issuance costs of $73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4,016,000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Issuance of Series C-1 convertible preferred stock, net of issuance costs of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1,459,598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Deemed dividend upon convertible preferred stock down round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Other comprehensive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(129,321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(129,321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 as of December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45,414,682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223,869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26,601,360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167,765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24,901,598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123,259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959,115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(419,492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(1,341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(382,527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bl>
    <w:p>
      <w:pPr>
        <w:pStyle w:val="TextBody"/>
        <w:bidi w:val="0"/>
        <w:jc w:val="center"/>
        <w:rPr/>
      </w:pPr>
      <w:r>
        <w:rPr/>
        <w:t> </w:t>
      </w:r>
    </w:p>
    <w:p>
      <w:pPr>
        <w:pStyle w:val="TextBody"/>
        <w:bidi w:val="0"/>
        <w:ind w:left="0" w:right="0" w:firstLine="216"/>
        <w:jc w:val="center"/>
        <w:rPr>
          <w:rFonts w:ascii="Arial" w:hAnsi="Arial"/>
          <w:color w:val="000000"/>
          <w:sz w:val="20"/>
        </w:rPr>
      </w:pPr>
      <w:r>
        <w:rPr>
          <w:rFonts w:ascii="Arial" w:hAnsi="Arial"/>
          <w:color w:val="000000"/>
          <w:sz w:val="20"/>
        </w:rPr>
        <w:t>The accompanying notes are an integral part of these audited consolidated financial statements.</w:t>
      </w:r>
    </w:p>
    <w:p>
      <w:pPr>
        <w:pStyle w:val="TextBody"/>
        <w:bidi w:val="0"/>
        <w:spacing w:before="120" w:after="283"/>
        <w:jc w:val="center"/>
        <w:rPr>
          <w:rFonts w:ascii="Arial" w:hAnsi="Arial"/>
          <w:color w:val="000000"/>
          <w:sz w:val="20"/>
        </w:rPr>
      </w:pPr>
      <w:r>
        <w:rPr>
          <w:rFonts w:ascii="Arial" w:hAnsi="Arial"/>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Odyssey Therapeutics, Inc.</w:t>
      </w:r>
    </w:p>
    <w:p>
      <w:pPr>
        <w:pStyle w:val="TextBody"/>
        <w:bidi w:val="0"/>
        <w:jc w:val="center"/>
        <w:rPr>
          <w:rFonts w:ascii="Arial" w:hAnsi="Arial"/>
          <w:b/>
          <w:color w:val="000000"/>
          <w:sz w:val="20"/>
        </w:rPr>
      </w:pPr>
      <w:bookmarkStart w:id="30" w:name="consolidated_statements_of_cash_flows"/>
      <w:bookmarkEnd w:id="30"/>
      <w:r>
        <w:rPr>
          <w:rFonts w:ascii="Arial" w:hAnsi="Arial"/>
          <w:b/>
          <w:color w:val="000000"/>
          <w:sz w:val="20"/>
        </w:rPr>
        <w:t>Consolidated Statements of Cash Flows</w:t>
      </w:r>
    </w:p>
    <w:p>
      <w:pPr>
        <w:pStyle w:val="TextBody"/>
        <w:bidi w:val="0"/>
        <w:jc w:val="center"/>
        <w:rPr>
          <w:rFonts w:ascii="Arial" w:hAnsi="Arial"/>
          <w:b/>
          <w:color w:val="000000"/>
          <w:sz w:val="20"/>
        </w:rPr>
      </w:pPr>
      <w:r>
        <w:rPr>
          <w:rFonts w:ascii="Arial" w:hAnsi="Arial"/>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32"/>
        <w:gridCol w:w="146"/>
        <w:gridCol w:w="211"/>
        <w:gridCol w:w="841"/>
        <w:gridCol w:w="166"/>
        <w:gridCol w:w="146"/>
        <w:gridCol w:w="211"/>
        <w:gridCol w:w="841"/>
        <w:gridCol w:w="811"/>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(129,321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Loss from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Right-of-use asset impairment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Accretion of discount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8,686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Non-cash rent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Change in fair value of contingent consideration and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(117,471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150,159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96,784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Proceeds from the issuance of convertible preferred stock and common stock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27,477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Proceeds from the 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Proceeds from the exercise of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Payment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26,979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6,342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56,004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62,346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59,136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 included in other non-current assets,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62,346</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disclosure of non-cash financing and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Deferred offering costs included in accounts payable and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Purchases of property and equipment included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Right-of-use assets obtained in exchange for new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Remeasurement of right-of-use assets and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The accompanying notes are an integral part of these audited consolidated financial statements.</w:t>
      </w:r>
    </w:p>
    <w:p>
      <w:pPr>
        <w:pStyle w:val="TextBody"/>
        <w:bidi w:val="0"/>
        <w:spacing w:before="120" w:after="283"/>
        <w:jc w:val="center"/>
        <w:rPr>
          <w:rFonts w:ascii="Arial" w:hAnsi="Arial"/>
          <w:color w:val="000000"/>
          <w:sz w:val="20"/>
        </w:rPr>
      </w:pPr>
      <w:r>
        <w:rPr>
          <w:rFonts w:ascii="Arial" w:hAnsi="Arial"/>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Odyssey Therapeutics, Inc.</w:t>
      </w:r>
    </w:p>
    <w:p>
      <w:pPr>
        <w:pStyle w:val="TextBody"/>
        <w:bidi w:val="0"/>
        <w:jc w:val="center"/>
        <w:rPr>
          <w:rFonts w:ascii="Arial" w:hAnsi="Arial"/>
          <w:b/>
          <w:color w:val="000000"/>
          <w:sz w:val="20"/>
        </w:rPr>
      </w:pPr>
      <w:bookmarkStart w:id="31" w:name="notes_to_consolidated"/>
      <w:bookmarkEnd w:id="31"/>
      <w:r>
        <w:rPr>
          <w:rFonts w:ascii="Arial" w:hAnsi="Arial"/>
          <w:b/>
          <w:color w:val="000000"/>
          <w:sz w:val="20"/>
        </w:rPr>
        <w:t>Notes to Consolidated Financial Statements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pPr>
      <w:r>
        <w:rPr/>
        <w:t> </w:t>
      </w:r>
    </w:p>
    <w:p>
      <w:pPr>
        <w:pStyle w:val="TextBody"/>
        <w:bidi w:val="0"/>
        <w:spacing w:before="0" w:after="0"/>
        <w:jc w:val="both"/>
        <w:rPr>
          <w:rFonts w:ascii="Arial" w:hAnsi="Arial"/>
          <w:b/>
          <w:color w:val="000000"/>
          <w:sz w:val="20"/>
        </w:rPr>
      </w:pPr>
      <w:r>
        <w:rPr>
          <w:rFonts w:ascii="Arial" w:hAnsi="Arial"/>
          <w:b/>
          <w:color w:val="000000"/>
          <w:sz w:val="20"/>
        </w:rPr>
        <w:t>1.</w:t>
      </w:r>
    </w:p>
    <w:p>
      <w:pPr>
        <w:pStyle w:val="TextBody"/>
        <w:bidi w:val="0"/>
        <w:jc w:val="both"/>
        <w:rPr>
          <w:rFonts w:ascii="Arial" w:hAnsi="Arial"/>
          <w:b/>
          <w:color w:val="000000"/>
          <w:sz w:val="20"/>
        </w:rPr>
      </w:pPr>
      <w:r>
        <w:rPr>
          <w:rFonts w:ascii="Arial" w:hAnsi="Arial"/>
          <w:b/>
          <w:color w:val="000000"/>
          <w:sz w:val="20"/>
        </w:rPr>
        <w:t>Description of Business and Liquidity</w:t>
      </w:r>
    </w:p>
    <w:p>
      <w:pPr>
        <w:pStyle w:val="TextBody"/>
        <w:bidi w:val="0"/>
        <w:spacing w:before="240" w:after="283"/>
        <w:jc w:val="both"/>
        <w:rPr>
          <w:rFonts w:ascii="Arial" w:hAnsi="Arial"/>
          <w:b/>
          <w:i/>
          <w:color w:val="000000"/>
          <w:sz w:val="20"/>
        </w:rPr>
      </w:pPr>
      <w:r>
        <w:rPr>
          <w:rFonts w:ascii="Arial" w:hAnsi="Arial"/>
          <w:b/>
          <w:i/>
          <w:color w:val="000000"/>
          <w:sz w:val="20"/>
        </w:rPr>
        <w:t>Business</w:t>
      </w:r>
    </w:p>
    <w:p>
      <w:pPr>
        <w:pStyle w:val="TextBody"/>
        <w:bidi w:val="0"/>
        <w:spacing w:before="240" w:after="283"/>
        <w:jc w:val="both"/>
        <w:rPr>
          <w:rFonts w:ascii="Arial" w:hAnsi="Arial"/>
          <w:color w:val="000000"/>
          <w:sz w:val="20"/>
        </w:rPr>
      </w:pPr>
      <w:r>
        <w:rPr>
          <w:rFonts w:ascii="Arial" w:hAnsi="Arial"/>
          <w:color w:val="000000"/>
          <w:sz w:val="20"/>
        </w:rPr>
        <w:t>Odyssey Therapeutics, Inc. (the “Company”) is a clinical-stage biopharmaceutical company seeking to transform the standard of care for patients suffering from autoimmune and inflammatory diseases. To accomplish this, the Company is developing medicines that are designed to precisely target disease pathology with an initial emphasis on the innate immune system.</w:t>
      </w:r>
    </w:p>
    <w:p>
      <w:pPr>
        <w:pStyle w:val="TextBody"/>
        <w:bidi w:val="0"/>
        <w:spacing w:before="240" w:after="283"/>
        <w:jc w:val="both"/>
        <w:rPr>
          <w:rFonts w:ascii="Arial" w:hAnsi="Arial"/>
          <w:color w:val="000000"/>
          <w:sz w:val="20"/>
        </w:rPr>
      </w:pPr>
      <w:r>
        <w:rPr>
          <w:rFonts w:ascii="Arial" w:hAnsi="Arial"/>
          <w:color w:val="000000"/>
          <w:sz w:val="20"/>
        </w:rPr>
        <w:t>The Company is subject to risks and uncertainties common to early-stage companies in the biotechnology industry, including, but not limited to, completion of preclinical studies and clinical trials, obtaining regulatory approval for product candidates, development by competitors of new technological innovations, dependence on key personnel, protection of proprietary technology, compliance with government regulations and ability to secure additional capital to fund operations. Product candidates currently under development by the Company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 and reporting capabilities. Even if product development efforts are successful, it is uncertain when, if ever, the Company will realize significant revenue from product sales.</w:t>
      </w:r>
    </w:p>
    <w:p>
      <w:pPr>
        <w:pStyle w:val="TextBody"/>
        <w:bidi w:val="0"/>
        <w:spacing w:before="240" w:after="283"/>
        <w:jc w:val="both"/>
        <w:rPr>
          <w:rFonts w:ascii="Arial" w:hAnsi="Arial"/>
          <w:b/>
          <w:i/>
          <w:color w:val="000000"/>
          <w:sz w:val="20"/>
        </w:rPr>
      </w:pPr>
      <w:r>
        <w:rPr>
          <w:rFonts w:ascii="Arial" w:hAnsi="Arial"/>
          <w:b/>
          <w:i/>
          <w:color w:val="000000"/>
          <w:sz w:val="20"/>
        </w:rPr>
        <w:t>Liquidity and Going Concern</w:t>
      </w:r>
    </w:p>
    <w:p>
      <w:pPr>
        <w:pStyle w:val="TextBody"/>
        <w:bidi w:val="0"/>
        <w:spacing w:before="240" w:after="283"/>
        <w:jc w:val="both"/>
        <w:rPr>
          <w:rFonts w:ascii="Arial" w:hAnsi="Arial"/>
          <w:color w:val="000000"/>
          <w:sz w:val="20"/>
        </w:rPr>
      </w:pPr>
      <w:r>
        <w:rPr>
          <w:rFonts w:ascii="Arial" w:hAnsi="Arial"/>
          <w:color w:val="000000"/>
          <w:sz w:val="20"/>
        </w:rPr>
        <w:t>The accompanying financial statements are prepared in accordance with generally accepted accounting principles applicable to a going concern, which contemplates the realization of assets and the satisfaction of liabilities in the ordinary course of business.</w:t>
      </w:r>
    </w:p>
    <w:p>
      <w:pPr>
        <w:pStyle w:val="TextBody"/>
        <w:bidi w:val="0"/>
        <w:spacing w:before="240" w:after="283"/>
        <w:jc w:val="both"/>
        <w:rPr>
          <w:rFonts w:ascii="Arial" w:hAnsi="Arial"/>
          <w:color w:val="000000"/>
          <w:sz w:val="20"/>
        </w:rPr>
      </w:pPr>
      <w:r>
        <w:rPr>
          <w:rFonts w:ascii="Arial" w:hAnsi="Arial"/>
          <w:color w:val="000000"/>
          <w:sz w:val="20"/>
        </w:rPr>
        <w:t>Since its inception, the Company has devoted substantially all of its resources to business planning, research and development activities, recruiting management and technical staff, raising capital, producing materials for preclinical studies and clinical trials, developing and establishing the Company’s intellectual property portfolio, entering into collaboration agreements, acquiring companies or assets to further the Company’s development programs and building infrastructure to support such activities. The Company has financed its operations primarily through the sale of shares of convertible preferred stock and the proceeds from research collaborations and license agreements.</w:t>
      </w:r>
    </w:p>
    <w:p>
      <w:pPr>
        <w:pStyle w:val="TextBody"/>
        <w:bidi w:val="0"/>
        <w:spacing w:before="240" w:after="283"/>
        <w:jc w:val="both"/>
        <w:rPr>
          <w:rFonts w:ascii="Arial" w:hAnsi="Arial"/>
          <w:color w:val="000000"/>
          <w:sz w:val="20"/>
        </w:rPr>
      </w:pPr>
      <w:r>
        <w:rPr>
          <w:rFonts w:ascii="Arial" w:hAnsi="Arial"/>
          <w:color w:val="000000"/>
          <w:sz w:val="20"/>
        </w:rPr>
        <w:t>The Company has incurred losses each year since inception and expects that operating losses and negative cash flows will continue for the foreseeable future as the Company continues to develop its product candidates. As the Company continues to develop its product candidates, it will require significant additional research and development efforts, including extensive preclinical and clinical testing and regulatory approval prior to commercialization. It may never achieve profitability or commercialization, and unless and until it does, it will continue to need to raise additional capital to fund its operations. Management believes that the Company’s cash, cash equivalents, and marketable securities of $216.6 million as of December 31, 2025, are not sufficient to maintain its current and planned operations for at least the next twelve months following the issuance date of these consolidated financial statements. Accordingly, Management has concluded that these conditions, in the aggregate, raise substantial doubt about the Company’s ability to continue as a going concern.</w:t>
      </w:r>
    </w:p>
    <w:p>
      <w:pPr>
        <w:pStyle w:val="TextBody"/>
        <w:bidi w:val="0"/>
        <w:spacing w:before="240" w:after="283"/>
        <w:jc w:val="both"/>
        <w:rPr>
          <w:rFonts w:ascii="Arial" w:hAnsi="Arial"/>
          <w:color w:val="000000"/>
          <w:sz w:val="20"/>
        </w:rPr>
      </w:pPr>
      <w:r>
        <w:rPr>
          <w:rFonts w:ascii="Arial" w:hAnsi="Arial"/>
          <w:color w:val="000000"/>
          <w:sz w:val="20"/>
        </w:rPr>
        <w:t>In response to these conditions, the Company is seeking to complete an initial public offering of common stock. In the event the Company does not complete the initial public offering, the Company plans to seek additional funding through private equity financings or other capital sources including collaboration agreements and licensing arrangements. The Company may not be able to obtain financing on acceptable terms, or at all. If the Company is unable to obtain adequate financing through an initial public offering or private equity financings, management will evaluate alternatives, which may include a delay, reduction or elimination of research and development programs or a reduction of headcount, which could adversely affect future business prospects, and the ability to continue operations. As a result, the Company has concluded that management’s plans do not alleviate substantial doubt about the Company’s ability to continue as a going concern.</w:t>
      </w:r>
    </w:p>
    <w:p>
      <w:pPr>
        <w:pStyle w:val="TextBody"/>
        <w:bidi w:val="0"/>
        <w:spacing w:before="120" w:after="283"/>
        <w:jc w:val="center"/>
        <w:rPr>
          <w:rFonts w:ascii="Arial" w:hAnsi="Arial"/>
          <w:color w:val="000000"/>
          <w:sz w:val="20"/>
        </w:rPr>
      </w:pPr>
      <w:r>
        <w:rPr>
          <w:rFonts w:ascii="Arial" w:hAnsi="Arial"/>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bidi w:val="0"/>
        <w:spacing w:before="240" w:after="283"/>
        <w:jc w:val="left"/>
        <w:rPr>
          <w:rFonts w:ascii="Arial" w:hAnsi="Arial"/>
          <w:b/>
          <w:color w:val="000000"/>
          <w:sz w:val="20"/>
        </w:rPr>
      </w:pPr>
      <w:r>
        <w:rPr>
          <w:rFonts w:ascii="Arial" w:hAnsi="Arial"/>
          <w:b/>
          <w:color w:val="000000"/>
          <w:sz w:val="20"/>
        </w:rPr>
        <w:t>2.</w:t>
      </w:r>
    </w:p>
    <w:p>
      <w:pPr>
        <w:pStyle w:val="TextBody"/>
        <w:bidi w:val="0"/>
        <w:spacing w:before="240" w:after="283"/>
        <w:jc w:val="left"/>
        <w:rPr>
          <w:rFonts w:ascii="Arial" w:hAnsi="Arial"/>
          <w:b/>
          <w:color w:val="000000"/>
          <w:sz w:val="20"/>
        </w:rPr>
      </w:pPr>
      <w:r>
        <w:rPr>
          <w:rFonts w:ascii="Arial" w:hAnsi="Arial"/>
          <w:b/>
          <w:color w:val="000000"/>
          <w:sz w:val="20"/>
        </w:rPr>
        <w:t>Basis of Presentation and Summary of Significant Accounting Policies</w:t>
      </w:r>
    </w:p>
    <w:p>
      <w:pPr>
        <w:pStyle w:val="Heading2"/>
        <w:bidi w:val="0"/>
        <w:spacing w:before="240" w:after="283"/>
        <w:jc w:val="both"/>
        <w:rPr>
          <w:rFonts w:ascii="Arial" w:hAnsi="Arial"/>
          <w:i/>
          <w:color w:val="000000"/>
          <w:sz w:val="20"/>
        </w:rPr>
      </w:pPr>
      <w:r>
        <w:rPr>
          <w:rFonts w:ascii="Arial" w:hAnsi="Arial"/>
          <w:i/>
          <w:color w:val="000000"/>
          <w:sz w:val="20"/>
        </w:rPr>
        <w:t>Basis of Presentation and Consolidation</w:t>
      </w:r>
    </w:p>
    <w:p>
      <w:pPr>
        <w:pStyle w:val="TextBody"/>
        <w:bidi w:val="0"/>
        <w:spacing w:before="240" w:after="283"/>
        <w:jc w:val="both"/>
        <w:rPr>
          <w:rFonts w:ascii="Arial" w:hAnsi="Arial"/>
          <w:color w:val="000000"/>
          <w:sz w:val="20"/>
        </w:rPr>
      </w:pPr>
      <w:r>
        <w:rPr>
          <w:rFonts w:ascii="Arial" w:hAnsi="Arial"/>
          <w:color w:val="000000"/>
          <w:sz w:val="20"/>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 These consolidated financial statements include the accounts of Odyssey Therapeutics, Inc. and its wholly owned subsidiaries. All intercompany transactions and balances have been eliminated in consolidation.</w:t>
      </w:r>
    </w:p>
    <w:p>
      <w:pPr>
        <w:pStyle w:val="Heading2"/>
        <w:bidi w:val="0"/>
        <w:spacing w:before="240" w:after="283"/>
        <w:jc w:val="both"/>
        <w:rPr>
          <w:rFonts w:ascii="Arial" w:hAnsi="Arial"/>
          <w:i/>
          <w:color w:val="000000"/>
          <w:sz w:val="20"/>
        </w:rPr>
      </w:pPr>
      <w:r>
        <w:rPr>
          <w:rFonts w:ascii="Arial" w:hAnsi="Arial"/>
          <w:i/>
          <w:color w:val="000000"/>
          <w:sz w:val="20"/>
        </w:rPr>
        <w:t>Use of Estimates</w:t>
      </w:r>
    </w:p>
    <w:p>
      <w:pPr>
        <w:pStyle w:val="TextBody"/>
        <w:bidi w:val="0"/>
        <w:spacing w:before="240" w:after="283"/>
        <w:jc w:val="both"/>
        <w:rPr>
          <w:rFonts w:ascii="Arial" w:hAnsi="Arial"/>
          <w:color w:val="000000"/>
          <w:sz w:val="20"/>
        </w:rPr>
      </w:pPr>
      <w:r>
        <w:rPr>
          <w:rFonts w:ascii="Arial" w:hAnsi="Arial"/>
          <w:color w:val="000000"/>
          <w:sz w:val="20"/>
        </w:rPr>
        <w:t>The preparation of consolidated financial statements in conformity with GAAP requires management to make estimates and assumptions that affect the reported amounts of assets and liabilities and related disclosures of contingent liabilities as of the date of the consolidated financial statements as well as the reported amounts of expenses during the reporting period. Actual results could differ from those estimates. Estimates are based on several factors including the facts and circumstances available at the time the estimates are made, historical experience, risk of loss, general economic conditions and trends, and the assessment of the probable future outcome. The estimates reflected in the Company’s consolidated financial statements include, but are not limited to, certain judgments regarding the fair value of the Company’s common stock, accrued expenses, research and development expenses, contingent liabilities, goodwill, intangible asset valuation and warrant liabilities. Estimates and assumptions are reviewed periodically and the effects of changes, if any, are reflected in the consolidated statements of operations and comprehensive loss in the period that they are determined.</w:t>
      </w:r>
    </w:p>
    <w:p>
      <w:pPr>
        <w:pStyle w:val="Heading2"/>
        <w:bidi w:val="0"/>
        <w:spacing w:before="240" w:after="283"/>
        <w:jc w:val="both"/>
        <w:rPr>
          <w:rFonts w:ascii="Arial" w:hAnsi="Arial"/>
          <w:i/>
          <w:color w:val="000000"/>
          <w:sz w:val="20"/>
        </w:rPr>
      </w:pPr>
      <w:r>
        <w:rPr>
          <w:rFonts w:ascii="Arial" w:hAnsi="Arial"/>
          <w:i/>
          <w:color w:val="000000"/>
          <w:sz w:val="20"/>
        </w:rPr>
        <w:t>Foreign Currency</w:t>
      </w:r>
    </w:p>
    <w:p>
      <w:pPr>
        <w:pStyle w:val="TextBody"/>
        <w:bidi w:val="0"/>
        <w:spacing w:before="240" w:after="283"/>
        <w:jc w:val="both"/>
        <w:rPr>
          <w:rFonts w:ascii="Arial" w:hAnsi="Arial"/>
          <w:color w:val="000000"/>
          <w:sz w:val="20"/>
        </w:rPr>
      </w:pPr>
      <w:r>
        <w:rPr>
          <w:rFonts w:ascii="Arial" w:hAnsi="Arial"/>
          <w:color w:val="000000"/>
          <w:sz w:val="20"/>
        </w:rPr>
        <w:t>The financial statements of the Company’s foreign subsidiaries are measured using the local currencies as the functional currencies. Assets and liabilities are translated from their functional currencies to their U.S. dollar equivalents at balance sheet date exchange rates and revenue and expenses are translated from functional currencies to U.S. dollar equivalents at average exchange rates in effect during the year. Any gain or loss from these translations is included in accumulated other comprehensive income (loss). Foreign currency transaction gains and losses are included in other income (expense), net in the consolidated statements of operations and comprehensive loss.</w:t>
      </w:r>
    </w:p>
    <w:p>
      <w:pPr>
        <w:pStyle w:val="Heading2"/>
        <w:bidi w:val="0"/>
        <w:spacing w:before="240" w:after="283"/>
        <w:jc w:val="both"/>
        <w:rPr>
          <w:rFonts w:ascii="Arial" w:hAnsi="Arial"/>
          <w:i/>
          <w:color w:val="000000"/>
          <w:sz w:val="20"/>
        </w:rPr>
      </w:pPr>
      <w:r>
        <w:rPr>
          <w:rFonts w:ascii="Arial" w:hAnsi="Arial"/>
          <w:i/>
          <w:color w:val="000000"/>
          <w:sz w:val="20"/>
        </w:rPr>
        <w:t>Segment Information</w:t>
      </w:r>
    </w:p>
    <w:p>
      <w:pPr>
        <w:pStyle w:val="Heading2"/>
        <w:bidi w:val="0"/>
        <w:spacing w:before="240" w:after="283"/>
        <w:jc w:val="both"/>
        <w:rPr>
          <w:rFonts w:ascii="Arial" w:hAnsi="Arial"/>
          <w:b w:val="false"/>
          <w:color w:val="000000"/>
          <w:sz w:val="20"/>
        </w:rPr>
      </w:pPr>
      <w:r>
        <w:rPr>
          <w:rFonts w:ascii="Arial" w:hAnsi="Arial"/>
          <w:b w:val="false"/>
          <w:color w:val="000000"/>
          <w:sz w:val="20"/>
        </w:rPr>
        <w:t>The Company considered its organizational structure and the information regularly reviewed and evaluated by the Company’s chief operating decision maker (“CODM”) when deciding how to allocate resources and assess performance. The Company has determined that its CODM is its Chief Executive Officer (“CEO”). The CODM reviews the financial information on a consolidated basis for purposes of evaluating financial performance and allocating resources. Based on this factor, the Company determined that it operates and manages its business as a single operating segment.</w:t>
      </w:r>
    </w:p>
    <w:p>
      <w:pPr>
        <w:pStyle w:val="Heading2"/>
        <w:bidi w:val="0"/>
        <w:spacing w:before="240" w:after="283"/>
        <w:jc w:val="both"/>
        <w:rPr>
          <w:rFonts w:ascii="Arial" w:hAnsi="Arial"/>
          <w:i/>
          <w:color w:val="000000"/>
          <w:sz w:val="20"/>
        </w:rPr>
      </w:pPr>
      <w:r>
        <w:rPr>
          <w:rFonts w:ascii="Arial" w:hAnsi="Arial"/>
          <w:i/>
          <w:color w:val="000000"/>
          <w:sz w:val="20"/>
        </w:rPr>
        <w:t>Fair Value of Financial Instruments</w:t>
      </w:r>
    </w:p>
    <w:p>
      <w:pPr>
        <w:pStyle w:val="TextBody"/>
        <w:bidi w:val="0"/>
        <w:spacing w:before="240" w:after="283"/>
        <w:jc w:val="both"/>
        <w:rPr>
          <w:rFonts w:ascii="Times New Roman" w:hAnsi="Times New Roman"/>
          <w:sz w:val="20"/>
        </w:rPr>
      </w:pPr>
      <w:r>
        <w:rPr>
          <w:rFonts w:ascii="Arial" w:hAnsi="Arial"/>
          <w:color w:val="000000"/>
          <w:sz w:val="20"/>
        </w:rPr>
        <w:t xml:space="preserve">ASC Topic 820, </w:t>
      </w:r>
      <w:r>
        <w:rPr>
          <w:rFonts w:ascii="Arial" w:hAnsi="Arial"/>
          <w:i/>
          <w:color w:val="000000"/>
          <w:sz w:val="20"/>
        </w:rPr>
        <w:t>Fair Value Measurement</w:t>
      </w:r>
      <w:r>
        <w:rPr>
          <w:rFonts w:ascii="Times New Roman" w:hAnsi="Times New Roman"/>
          <w:color w:val="000000"/>
          <w:sz w:val="20"/>
        </w:rPr>
        <w:t xml:space="preserve"> </w:t>
      </w:r>
      <w:r>
        <w:rPr>
          <w:rFonts w:ascii="Arial" w:hAnsi="Arial"/>
          <w:color w:val="000000"/>
          <w:sz w:val="20"/>
        </w:rPr>
        <w:t>(“ASC 820”) identifies fair value as the exchange price, or exit price, representing the amount that would be received to sell an asset or paid to transfer a liability in an orderly transaction between market participants, or in the absence of a principal market, the most advantageous market for the investment or liability. As a basis for considering market participant assumptions in fair value measurements, ASC 820 establishes a three-tier fair value hierarchy that gives the highest priority to unadjusted quoted prices in active markets for identical assets or liabilities (Level 1) and the lowest priority to unobservable inputs (Level 3). The three levels of the fair value hierarchy are as follows:</w:t>
      </w:r>
    </w:p>
    <w:p>
      <w:pPr>
        <w:pStyle w:val="TextBody"/>
        <w:bidi w:val="0"/>
        <w:spacing w:before="240" w:after="283"/>
        <w:ind w:left="360" w:right="0" w:hanging="0"/>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Level 1 inputs are quoted prices (unadjusted) in active markets for identical assets or liabilities.</w:t>
      </w:r>
    </w:p>
    <w:p>
      <w:pPr>
        <w:pStyle w:val="TextBody"/>
        <w:bidi w:val="0"/>
        <w:spacing w:before="120" w:after="283"/>
        <w:jc w:val="center"/>
        <w:rPr>
          <w:rFonts w:ascii="Arial" w:hAnsi="Arial"/>
          <w:color w:val="000000"/>
          <w:sz w:val="20"/>
        </w:rPr>
      </w:pPr>
      <w:r>
        <w:rPr>
          <w:rFonts w:ascii="Arial" w:hAnsi="Arial"/>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ind w:left="360" w:right="0" w:hanging="0"/>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Level 2 inputs are inputs other than quoted prices included within Level 1 that are observable for the asset or liability, either directly or indirectly.</w:t>
      </w:r>
    </w:p>
    <w:p>
      <w:pPr>
        <w:pStyle w:val="TextBody"/>
        <w:bidi w:val="0"/>
        <w:spacing w:before="240" w:after="283"/>
        <w:ind w:left="360" w:right="0" w:hanging="0"/>
        <w:jc w:val="both"/>
        <w:rPr>
          <w:color w:val="000000"/>
        </w:rPr>
      </w:pPr>
      <w:r>
        <w:rPr>
          <w:color w:val="000000"/>
        </w:rPr>
        <w:t>•</w:t>
      </w:r>
    </w:p>
    <w:p>
      <w:pPr>
        <w:pStyle w:val="TextBody"/>
        <w:bidi w:val="0"/>
        <w:spacing w:before="240" w:after="283"/>
        <w:jc w:val="both"/>
        <w:rPr>
          <w:rFonts w:ascii="Arial" w:hAnsi="Arial"/>
          <w:color w:val="000000"/>
          <w:sz w:val="20"/>
        </w:rPr>
      </w:pPr>
      <w:r>
        <w:rPr>
          <w:rFonts w:ascii="Arial" w:hAnsi="Arial"/>
          <w:color w:val="000000"/>
          <w:sz w:val="20"/>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pStyle w:val="TextBody"/>
        <w:bidi w:val="0"/>
        <w:spacing w:before="240" w:after="283"/>
        <w:jc w:val="both"/>
        <w:rPr>
          <w:rFonts w:ascii="Arial" w:hAnsi="Arial"/>
          <w:color w:val="000000"/>
          <w:sz w:val="20"/>
        </w:rPr>
      </w:pPr>
      <w:r>
        <w:rPr>
          <w:rFonts w:ascii="Arial" w:hAnsi="Arial"/>
          <w:color w:val="000000"/>
          <w:sz w:val="20"/>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pStyle w:val="Heading2"/>
        <w:bidi w:val="0"/>
        <w:spacing w:before="240" w:after="283"/>
        <w:jc w:val="both"/>
        <w:rPr>
          <w:rFonts w:ascii="Arial" w:hAnsi="Arial"/>
          <w:i/>
          <w:color w:val="000000"/>
          <w:sz w:val="20"/>
        </w:rPr>
      </w:pPr>
      <w:r>
        <w:rPr>
          <w:rFonts w:ascii="Arial" w:hAnsi="Arial"/>
          <w:i/>
          <w:color w:val="000000"/>
          <w:sz w:val="20"/>
        </w:rPr>
        <w:t>Cash and Cash Equivalents</w:t>
      </w:r>
    </w:p>
    <w:p>
      <w:pPr>
        <w:pStyle w:val="TextBody"/>
        <w:bidi w:val="0"/>
        <w:spacing w:before="240" w:after="283"/>
        <w:jc w:val="both"/>
        <w:rPr>
          <w:rFonts w:ascii="Times New Roman" w:hAnsi="Times New Roman"/>
          <w:sz w:val="20"/>
        </w:rPr>
      </w:pPr>
      <w:r>
        <w:rPr>
          <w:rFonts w:ascii="Arial" w:hAnsi="Arial"/>
          <w:color w:val="000000"/>
          <w:sz w:val="20"/>
        </w:rPr>
        <w:t>The Company considers all highly liquid investments that are readily convertible into cash with original maturities of three months or less at the date of purchase to be cash equivalents. The Company maintains its cash in bank deposit accounts which, at times, may exceed the federal insurance limit. The Company invests excess cash primarily in overnight cash sweeps, money market funds, U.S. Treasury bills and U.S. Treasury notes, which are highly liquid and have strong credit ratings. These investments are subject to minimal credit and market risks.</w:t>
      </w:r>
      <w:r>
        <w:rPr>
          <w:rFonts w:ascii="Times New Roman" w:hAnsi="Times New Roman"/>
          <w:color w:val="000000"/>
          <w:sz w:val="20"/>
        </w:rPr>
        <w:t xml:space="preserve"> </w:t>
      </w:r>
    </w:p>
    <w:p>
      <w:pPr>
        <w:pStyle w:val="Heading2"/>
        <w:bidi w:val="0"/>
        <w:spacing w:before="240" w:after="283"/>
        <w:jc w:val="both"/>
        <w:rPr>
          <w:rFonts w:ascii="Times New Roman" w:hAnsi="Times New Roman"/>
          <w:sz w:val="20"/>
        </w:rPr>
      </w:pPr>
      <w:r>
        <w:rPr>
          <w:rFonts w:ascii="Arial" w:hAnsi="Arial"/>
          <w:i/>
          <w:color w:val="000000"/>
          <w:sz w:val="20"/>
        </w:rPr>
        <w:t>Marketable Securities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Company’s investment strategy is focused on capital preservation. The Company invests in instruments that meet the credit quality standards outlined in the Company’s investment policy. Short-term marketable securities consist of investments in debt securities with original maturities greater than three months and remaining maturities of less than one year from the balance sheet date. The Company classifies all of its marketable securities as available-for-sale. Accordingly, these investments are recorded at fair value. Fair value is determined based on quoted market prices. Accretion of discounts and amortization of premiums are recorded within interest income on the consolidated statements of operations and comprehensive loss. Realized gains and losses are recorded within other income (expense), net on the consolidated statements of operations and comprehensive loss. Unrealized gains and losses are included in other comprehensive (loss) income on the consolidated statements of operations and comprehensive loss.</w:t>
      </w:r>
    </w:p>
    <w:p>
      <w:pPr>
        <w:pStyle w:val="TextBody"/>
        <w:bidi w:val="0"/>
        <w:spacing w:before="240" w:after="283"/>
        <w:jc w:val="both"/>
        <w:rPr>
          <w:rFonts w:ascii="Times New Roman" w:hAnsi="Times New Roman"/>
          <w:sz w:val="20"/>
        </w:rPr>
      </w:pPr>
      <w:r>
        <w:rPr>
          <w:rFonts w:ascii="Arial" w:hAnsi="Arial"/>
          <w:color w:val="000000"/>
          <w:sz w:val="20"/>
        </w:rPr>
        <w:t xml:space="preserve">The Company assesses its available-for-sale debt securities under the available-for-sale debt security impairment model in ASC Topic 326, </w:t>
      </w:r>
      <w:r>
        <w:rPr>
          <w:rFonts w:ascii="Arial" w:hAnsi="Arial"/>
          <w:i/>
          <w:color w:val="000000"/>
          <w:sz w:val="20"/>
        </w:rPr>
        <w:t>Financial Instruments - Credit Losses</w:t>
      </w:r>
      <w:r>
        <w:rPr>
          <w:rFonts w:ascii="Arial" w:hAnsi="Arial"/>
          <w:color w:val="000000"/>
          <w:sz w:val="20"/>
        </w:rPr>
        <w:t>, as of each reporting date in order to determine if a portion of any decline in fair value below carrying value recognized on its available-for-sale debt securities is the result of a credit loss. The Company records credit losses in the consolidated statements of operations and comprehensive loss as a component of other income (expense), net which is limited to the difference between the fair value and the amortized cost of the security. To date, the Company has not recorded any credit losses on its available-for-sale debt securities.</w:t>
      </w:r>
    </w:p>
    <w:p>
      <w:pPr>
        <w:pStyle w:val="Heading2"/>
        <w:bidi w:val="0"/>
        <w:spacing w:before="240" w:after="283"/>
        <w:jc w:val="both"/>
        <w:rPr>
          <w:rFonts w:ascii="Arial" w:hAnsi="Arial"/>
          <w:i/>
          <w:color w:val="000000"/>
          <w:sz w:val="20"/>
        </w:rPr>
      </w:pPr>
      <w:r>
        <w:rPr>
          <w:rFonts w:ascii="Arial" w:hAnsi="Arial"/>
          <w:i/>
          <w:color w:val="000000"/>
          <w:sz w:val="20"/>
        </w:rPr>
        <w:t>Restricted Cash</w:t>
      </w:r>
    </w:p>
    <w:p>
      <w:pPr>
        <w:pStyle w:val="TextBody"/>
        <w:bidi w:val="0"/>
        <w:spacing w:before="240" w:after="283"/>
        <w:jc w:val="both"/>
        <w:rPr>
          <w:rFonts w:ascii="Arial" w:hAnsi="Arial"/>
          <w:color w:val="000000"/>
          <w:sz w:val="20"/>
        </w:rPr>
      </w:pPr>
      <w:r>
        <w:rPr>
          <w:rFonts w:ascii="Arial" w:hAnsi="Arial"/>
          <w:color w:val="000000"/>
          <w:sz w:val="20"/>
        </w:rPr>
        <w:t>The Company classifies all cash of which use is limited by contractual provisions as restricted cash. Restricted cash of $3.2 million is recorded in other non-current assets in the consolidated balance sheets as of December 31, 2025 and 2024 and includes amounts held as a security deposit for letters of credit issued by banks in favor of the Company in connection with leased facilities and credit card collateral.</w:t>
      </w:r>
    </w:p>
    <w:p>
      <w:pPr>
        <w:pStyle w:val="Heading2"/>
        <w:bidi w:val="0"/>
        <w:spacing w:before="240" w:after="283"/>
        <w:jc w:val="both"/>
        <w:rPr>
          <w:rFonts w:ascii="Arial" w:hAnsi="Arial"/>
          <w:i/>
          <w:color w:val="000000"/>
          <w:sz w:val="20"/>
        </w:rPr>
      </w:pPr>
      <w:r>
        <w:rPr>
          <w:rFonts w:ascii="Arial" w:hAnsi="Arial"/>
          <w:i/>
          <w:color w:val="000000"/>
          <w:sz w:val="20"/>
        </w:rPr>
        <w:t>Property and Equipment, net</w:t>
      </w:r>
    </w:p>
    <w:p>
      <w:pPr>
        <w:pStyle w:val="TextBody"/>
        <w:bidi w:val="0"/>
        <w:spacing w:before="240" w:after="283"/>
        <w:jc w:val="both"/>
        <w:rPr>
          <w:rFonts w:ascii="Times New Roman" w:hAnsi="Times New Roman"/>
          <w:sz w:val="20"/>
        </w:rPr>
      </w:pPr>
      <w:r>
        <w:rPr>
          <w:rFonts w:ascii="Arial" w:hAnsi="Arial"/>
          <w:color w:val="000000"/>
          <w:sz w:val="20"/>
        </w:rPr>
        <w:t>Property and equipment, net is stated at cost, less accumulated depreciation and amortization and consist of laboratory equipment, furniture and office equipment, computer equipment and leasehold improvements. The Company capitalizes property and equipment that is acquired for research and development activities and that has an alternate future use. Expenditures for maintenance and repairs are recorded to expense as incurred. Leasehold improvements are depreciated over the lesser of their useful life or the term of the lease. Upon the sale or retirement of assets, the cost and related accumulated depreciation are removed from the consolidated balance sheets and the resulting gain or loss is reflected in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consolidated statements of operations and comprehensive loss. Depreciation is calculated over the estimated useful lives of the assets using the straight-line method as follows:</w:t>
      </w:r>
    </w:p>
    <w:p>
      <w:pPr>
        <w:pStyle w:val="TextBody"/>
        <w:bidi w:val="0"/>
        <w:jc w:val="both"/>
        <w:rPr/>
      </w:pPr>
      <w:r>
        <w:rPr/>
        <w:t> </w:t>
      </w:r>
    </w:p>
    <w:tbl>
      <w:tblPr>
        <w:tblW w:w="6328" w:type="dxa"/>
        <w:jc w:val="left"/>
        <w:tblInd w:w="0" w:type="dxa"/>
        <w:tblLayout w:type="fixed"/>
        <w:tblCellMar>
          <w:top w:w="28" w:type="dxa"/>
          <w:left w:w="28" w:type="dxa"/>
          <w:bottom w:w="28" w:type="dxa"/>
          <w:right w:w="28" w:type="dxa"/>
        </w:tblCellMar>
      </w:tblPr>
      <w:tblGrid>
        <w:gridCol w:w="2986"/>
        <w:gridCol w:w="146"/>
        <w:gridCol w:w="3196"/>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Computer hardware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 years</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fixtures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 years</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 years</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Shorter of useful life or life of lease</w:t>
            </w:r>
          </w:p>
        </w:tc>
      </w:tr>
    </w:tbl>
    <w:p>
      <w:pPr>
        <w:pStyle w:val="TextBody"/>
        <w:bidi w:val="0"/>
        <w:jc w:val="both"/>
        <w:rPr/>
      </w:pPr>
      <w:r>
        <w:rPr/>
        <w:t> </w:t>
      </w:r>
    </w:p>
    <w:p>
      <w:pPr>
        <w:pStyle w:val="Heading2"/>
        <w:bidi w:val="0"/>
        <w:jc w:val="both"/>
        <w:rPr>
          <w:rFonts w:ascii="Arial" w:hAnsi="Arial"/>
          <w:i/>
          <w:color w:val="000000"/>
          <w:sz w:val="20"/>
        </w:rPr>
      </w:pPr>
      <w:r>
        <w:rPr>
          <w:rFonts w:ascii="Arial" w:hAnsi="Arial"/>
          <w:i/>
          <w:color w:val="000000"/>
          <w:sz w:val="20"/>
        </w:rPr>
        <w:t>Revenue Recognition</w:t>
      </w:r>
    </w:p>
    <w:p>
      <w:pPr>
        <w:pStyle w:val="TextBody"/>
        <w:bidi w:val="0"/>
        <w:spacing w:before="240" w:after="283"/>
        <w:jc w:val="both"/>
        <w:rPr>
          <w:rFonts w:ascii="Times New Roman" w:hAnsi="Times New Roman"/>
          <w:sz w:val="20"/>
        </w:rPr>
      </w:pPr>
      <w:r>
        <w:rPr>
          <w:rFonts w:ascii="Arial" w:hAnsi="Arial"/>
          <w:color w:val="000000"/>
          <w:sz w:val="20"/>
        </w:rPr>
        <w:t xml:space="preserve">The Company recognizes revenue in accordance with ASC Topic 606, </w:t>
      </w:r>
      <w:r>
        <w:rPr>
          <w:rFonts w:ascii="Arial" w:hAnsi="Arial"/>
          <w:i/>
          <w:color w:val="000000"/>
          <w:sz w:val="20"/>
        </w:rPr>
        <w:t>Revenue from Contracts with Customers</w:t>
      </w:r>
      <w:r>
        <w:rPr>
          <w:rFonts w:ascii="Times New Roman" w:hAnsi="Times New Roman"/>
          <w:color w:val="000000"/>
          <w:sz w:val="20"/>
        </w:rPr>
        <w:t xml:space="preserve"> </w:t>
      </w:r>
      <w:r>
        <w:rPr>
          <w:rFonts w:ascii="Arial" w:hAnsi="Arial"/>
          <w:color w:val="000000"/>
          <w:sz w:val="20"/>
        </w:rPr>
        <w:t>(“ASC 606”). Under ASC 606, an entity recognizes revenue when its customer obtains control of promised goods or services, in an amount that reflects the consideration that the entity expects to receive in exchange for those goods or services. In applying ASC 606, the Company performs the following five steps: (i) identify the contract(s) with a customer; (ii) identify the promises and performance obligations in the contract; (iii) 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it will collect the consideration to which it is entitled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As part of the assessment, the Company must develop assumptions that require judgment to determine the standalone selling price for each performance obligation identified in the contract. The Company uses key assumptions to determine the standalone selling price, which may include reimbursement rates for personnel costs, development timelines and probabilities of regulatory success. The Company does not assess whether a contract has a significant financing component if the expectation at contract inception is that the period between payment by the customer and the transfer of promised goods or services to the customer will be one year or less.</w:t>
      </w:r>
    </w:p>
    <w:p>
      <w:pPr>
        <w:pStyle w:val="TextBody"/>
        <w:bidi w:val="0"/>
        <w:spacing w:before="240" w:after="283"/>
        <w:jc w:val="both"/>
        <w:rPr>
          <w:rFonts w:ascii="Times New Roman" w:hAnsi="Times New Roman"/>
          <w:sz w:val="20"/>
        </w:rPr>
      </w:pPr>
      <w:r>
        <w:rPr>
          <w:rFonts w:ascii="Arial" w:hAnsi="Arial"/>
          <w:color w:val="000000"/>
          <w:sz w:val="20"/>
        </w:rPr>
        <w:t>Arrangements that include upfront payments may require deferral of revenue recognition to a future period until obligations under these arrangements are fulfilled. Event-based milestone payments represent variable consideration and the Company uses the “most likely amount” method to estimate this variable consideration. If there is a high degree of uncertainty associated with the variable consideration, it is constrained until the uncertainty is resolved. Revenue will be recognized from sales-based royalty payments when or as the sales occur. The Company will re-evaluate the transaction price in each reporting period as uncertain events are resolved and other changes in circumstances occur.</w:t>
      </w:r>
      <w:r>
        <w:rPr>
          <w:rFonts w:ascii="Times New Roman" w:hAnsi="Times New Roman"/>
          <w:color w:val="000000"/>
          <w:sz w:val="20"/>
        </w:rPr>
        <w:t xml:space="preserve"> </w:t>
      </w:r>
    </w:p>
    <w:p>
      <w:pPr>
        <w:pStyle w:val="Heading2"/>
        <w:bidi w:val="0"/>
        <w:spacing w:before="240" w:after="283"/>
        <w:jc w:val="both"/>
        <w:rPr>
          <w:rFonts w:ascii="Arial" w:hAnsi="Arial"/>
          <w:i/>
          <w:color w:val="000000"/>
          <w:sz w:val="20"/>
        </w:rPr>
      </w:pPr>
      <w:r>
        <w:rPr>
          <w:rFonts w:ascii="Arial" w:hAnsi="Arial"/>
          <w:i/>
          <w:color w:val="000000"/>
          <w:sz w:val="20"/>
        </w:rPr>
        <w:t>Acquisitions</w:t>
      </w:r>
    </w:p>
    <w:p>
      <w:pPr>
        <w:pStyle w:val="Heading2"/>
        <w:bidi w:val="0"/>
        <w:spacing w:before="240" w:after="283"/>
        <w:jc w:val="both"/>
        <w:rPr>
          <w:rFonts w:ascii="Times New Roman" w:hAnsi="Times New Roman"/>
          <w:sz w:val="20"/>
        </w:rPr>
      </w:pPr>
      <w:r>
        <w:rPr>
          <w:rFonts w:ascii="Arial" w:hAnsi="Arial"/>
          <w:b w:val="false"/>
          <w:color w:val="000000"/>
          <w:sz w:val="20"/>
        </w:rPr>
        <w:t xml:space="preserve">The Company evaluates each of its acquisitions under the accounting framework in ASC Topic 805, </w:t>
      </w:r>
      <w:r>
        <w:rPr>
          <w:rFonts w:ascii="Arial" w:hAnsi="Arial"/>
          <w:b w:val="false"/>
          <w:i/>
          <w:color w:val="000000"/>
          <w:sz w:val="20"/>
        </w:rPr>
        <w:t>Business Combinations</w:t>
      </w:r>
      <w:r>
        <w:rPr>
          <w:rFonts w:ascii="Times New Roman" w:hAnsi="Times New Roman"/>
          <w:color w:val="000000"/>
          <w:sz w:val="20"/>
        </w:rPr>
        <w:t xml:space="preserve"> </w:t>
      </w:r>
      <w:r>
        <w:rPr>
          <w:rFonts w:ascii="Arial" w:hAnsi="Arial"/>
          <w:b w:val="false"/>
          <w:color w:val="000000"/>
          <w:sz w:val="20"/>
        </w:rPr>
        <w:t>(“ASC 805”), to determine whether the transaction is a business combination or an asset acquisition. In determining whether an acquisition should be accounted for as a business combination or an asset acquisition, the Company first performs a screen test. The acquisition is not deemed to be a business combination and is instead accounted for as an asset acquisition if substantially all of the fair value of the gross assets acquired is concentrated in a single identifiable asset or a group of similar identifiable assets. If the transaction is not deemed to be an asset acquisition, the Company then further evaluates whether the acquisition includes, at a minimum, an input and a substantive process that together significantly contributes to the ability to create outputs. If so, the Company concludes that the acquisition is a business combination.</w:t>
      </w:r>
    </w:p>
    <w:p>
      <w:pPr>
        <w:pStyle w:val="Heading2"/>
        <w:bidi w:val="0"/>
        <w:spacing w:before="240" w:after="283"/>
        <w:jc w:val="both"/>
        <w:rPr>
          <w:rFonts w:ascii="Arial" w:hAnsi="Arial"/>
          <w:b w:val="false"/>
          <w:color w:val="000000"/>
          <w:sz w:val="20"/>
        </w:rPr>
      </w:pPr>
      <w:r>
        <w:rPr>
          <w:rFonts w:ascii="Arial" w:hAnsi="Arial"/>
          <w:b w:val="false"/>
          <w:color w:val="000000"/>
          <w:sz w:val="20"/>
        </w:rPr>
        <w:t>The Company accounts for business combinations using the acquisition method of accounting. Application of this method of accounting requires that (i) identifiable assets acquired (including identifiable intangible assets) and liabilities assumed generally be measured and recognized at fair value as of the acquisition date and (ii) the excess of the purchase price over the net fair value of identifiable assets acquired and liabilities assumed be recognized as goodwill, which is not amortized for accounting purposes but is subject to testing for impairment at least annually. Determining the fair value of assets acquired and liabilities assumed in a business combination requires management to use significant judgment and estimates.</w:t>
      </w:r>
    </w:p>
    <w:p>
      <w:pPr>
        <w:pStyle w:val="TextBody"/>
        <w:bidi w:val="0"/>
        <w:spacing w:before="120" w:after="283"/>
        <w:jc w:val="center"/>
        <w:rPr>
          <w:rFonts w:ascii="Arial" w:hAnsi="Arial"/>
          <w:color w:val="000000"/>
          <w:sz w:val="20"/>
        </w:rPr>
      </w:pPr>
      <w:r>
        <w:rPr>
          <w:rFonts w:ascii="Arial" w:hAnsi="Arial"/>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240" w:after="283"/>
        <w:jc w:val="both"/>
        <w:rPr>
          <w:rFonts w:ascii="Arial" w:hAnsi="Arial"/>
          <w:b w:val="false"/>
          <w:color w:val="000000"/>
          <w:sz w:val="20"/>
        </w:rPr>
      </w:pPr>
      <w:r>
        <w:rPr>
          <w:rFonts w:ascii="Arial" w:hAnsi="Arial"/>
          <w:b w:val="false"/>
          <w:color w:val="000000"/>
          <w:sz w:val="20"/>
        </w:rPr>
        <w:t>For asset acquisitions, the transactions are accounted for under ASC 805, and no goodwill is recognized. Rather, the Company recognizes the identifiable assets acquired (excluding goodwill) and the liabilities assumed and recognizes a gain or loss for the difference between (a) the sum of the fair values of consideration paid (including any contingent consideration) and (b) the fair value of the identifiable assets and liabilities. Acquired in-process research and development (“IPR&amp;D”) with no alternative future use is charged to research and development expense on the acquisition date.</w:t>
      </w:r>
    </w:p>
    <w:p>
      <w:pPr>
        <w:pStyle w:val="Heading2"/>
        <w:bidi w:val="0"/>
        <w:spacing w:before="240" w:after="283"/>
        <w:jc w:val="both"/>
        <w:rPr>
          <w:rFonts w:ascii="Arial" w:hAnsi="Arial"/>
          <w:b w:val="false"/>
          <w:color w:val="000000"/>
          <w:sz w:val="20"/>
        </w:rPr>
      </w:pPr>
      <w:r>
        <w:rPr>
          <w:rFonts w:ascii="Arial" w:hAnsi="Arial"/>
          <w:b w:val="false"/>
          <w:color w:val="000000"/>
          <w:sz w:val="20"/>
        </w:rPr>
        <w:t>Acquisition-related expenses incurred by the Company in business combinations are not included as a component of consideration transferred but are accounted for as an expense in the period in which the costs are incurred. There were no acquisitions during the years ended December 31, 2025 and 2024.</w:t>
      </w:r>
    </w:p>
    <w:p>
      <w:pPr>
        <w:pStyle w:val="Heading2"/>
        <w:bidi w:val="0"/>
        <w:spacing w:before="240" w:after="283"/>
        <w:jc w:val="both"/>
        <w:rPr>
          <w:rFonts w:ascii="Arial" w:hAnsi="Arial"/>
          <w:i/>
          <w:color w:val="000000"/>
          <w:sz w:val="20"/>
        </w:rPr>
      </w:pPr>
      <w:r>
        <w:rPr>
          <w:rFonts w:ascii="Arial" w:hAnsi="Arial"/>
          <w:i/>
          <w:color w:val="000000"/>
          <w:sz w:val="20"/>
        </w:rPr>
        <w:t>Impairment of Long-Lived Assets</w:t>
      </w:r>
    </w:p>
    <w:p>
      <w:pPr>
        <w:pStyle w:val="TextBody"/>
        <w:bidi w:val="0"/>
        <w:spacing w:before="240" w:after="283"/>
        <w:jc w:val="both"/>
        <w:rPr>
          <w:rFonts w:ascii="Arial" w:hAnsi="Arial"/>
          <w:color w:val="000000"/>
          <w:sz w:val="20"/>
        </w:rPr>
      </w:pPr>
      <w:r>
        <w:rPr>
          <w:rFonts w:ascii="Arial" w:hAnsi="Arial"/>
          <w:color w:val="000000"/>
          <w:sz w:val="20"/>
        </w:rPr>
        <w:t>The Company reviews its property and equipment, right-of-use assets, and intangible assets whenever events or changes in circumstances indicate that the carrying value of certain assets might not be recoverable and recognizes an impairment loss when it is probable that an asset’s realizable value is less than the carrying value. Indicators of potential impairment include significant changes in planned research and development activities, significant adverse clinical, regulatory, or operational developments, significant negative industry or economic trends, and significant changes or planned changes in the expected use of the assets. The Company recognized an impairment charge of $5.4 million to its right-of-use assets for the year ended December 31, 2025 (See Note 9). No impairment charge was recognized for the year ended December 31, 2024.</w:t>
      </w:r>
    </w:p>
    <w:p>
      <w:pPr>
        <w:pStyle w:val="Heading2"/>
        <w:bidi w:val="0"/>
        <w:spacing w:before="240" w:after="283"/>
        <w:jc w:val="both"/>
        <w:rPr>
          <w:rFonts w:ascii="Arial" w:hAnsi="Arial"/>
          <w:i/>
          <w:color w:val="000000"/>
          <w:sz w:val="20"/>
        </w:rPr>
      </w:pPr>
      <w:r>
        <w:rPr>
          <w:rFonts w:ascii="Arial" w:hAnsi="Arial"/>
          <w:i/>
          <w:color w:val="000000"/>
          <w:sz w:val="20"/>
        </w:rPr>
        <w:t>Goodwill</w:t>
      </w:r>
    </w:p>
    <w:p>
      <w:pPr>
        <w:pStyle w:val="Heading2"/>
        <w:bidi w:val="0"/>
        <w:spacing w:before="240" w:after="283"/>
        <w:jc w:val="both"/>
        <w:rPr>
          <w:rFonts w:ascii="Arial" w:hAnsi="Arial"/>
          <w:b w:val="false"/>
          <w:color w:val="000000"/>
          <w:sz w:val="20"/>
        </w:rPr>
      </w:pPr>
      <w:r>
        <w:rPr>
          <w:rFonts w:ascii="Arial" w:hAnsi="Arial"/>
          <w:b w:val="false"/>
          <w:color w:val="000000"/>
          <w:sz w:val="20"/>
        </w:rPr>
        <w:t>Goodwill is not amortized but is instead tested for impairment at least annually and whenever events or circumstances indicate that it is more likely-than-not that goodwill may be impaired. The Company has elected to perform the annual test for goodwill impairment as of October 1 each year. No impairment charges were recognized for the years ended December 31, 2025 and 2024.</w:t>
      </w:r>
    </w:p>
    <w:p>
      <w:pPr>
        <w:pStyle w:val="Heading2"/>
        <w:bidi w:val="0"/>
        <w:spacing w:before="240" w:after="283"/>
        <w:jc w:val="both"/>
        <w:rPr>
          <w:rFonts w:ascii="Arial" w:hAnsi="Arial"/>
          <w:i/>
          <w:color w:val="000000"/>
          <w:sz w:val="20"/>
        </w:rPr>
      </w:pPr>
      <w:r>
        <w:rPr>
          <w:rFonts w:ascii="Arial" w:hAnsi="Arial"/>
          <w:i/>
          <w:color w:val="000000"/>
          <w:sz w:val="20"/>
        </w:rPr>
        <w:t>Intangible Asset</w:t>
      </w:r>
    </w:p>
    <w:p>
      <w:pPr>
        <w:pStyle w:val="Heading2"/>
        <w:bidi w:val="0"/>
        <w:spacing w:before="240" w:after="283"/>
        <w:jc w:val="both"/>
        <w:rPr>
          <w:rFonts w:ascii="Arial" w:hAnsi="Arial"/>
          <w:b w:val="false"/>
          <w:color w:val="000000"/>
          <w:sz w:val="20"/>
        </w:rPr>
      </w:pPr>
      <w:r>
        <w:rPr>
          <w:rFonts w:ascii="Arial" w:hAnsi="Arial"/>
          <w:b w:val="false"/>
          <w:color w:val="000000"/>
          <w:sz w:val="20"/>
        </w:rPr>
        <w:t>The Company’s intangible asset is comprised of purchased developed technology. The intangible asset is carried at cost, net of accumulated amortization. Amortization is recorded on a straight-line basis over the intangible asset’s useful life, which is five years. No impairment charges were recognized for the years ended December 31, 2025 and 2024.</w:t>
      </w:r>
    </w:p>
    <w:p>
      <w:pPr>
        <w:pStyle w:val="Heading2"/>
        <w:bidi w:val="0"/>
        <w:spacing w:before="240" w:after="283"/>
        <w:jc w:val="both"/>
        <w:rPr>
          <w:rFonts w:ascii="Arial" w:hAnsi="Arial"/>
          <w:i/>
          <w:color w:val="000000"/>
          <w:sz w:val="20"/>
        </w:rPr>
      </w:pPr>
      <w:r>
        <w:rPr>
          <w:rFonts w:ascii="Arial" w:hAnsi="Arial"/>
          <w:i/>
          <w:color w:val="000000"/>
          <w:sz w:val="20"/>
        </w:rPr>
        <w:t>Contingent Consideration</w:t>
      </w:r>
    </w:p>
    <w:p>
      <w:pPr>
        <w:pStyle w:val="TextBody"/>
        <w:bidi w:val="0"/>
        <w:spacing w:before="240" w:after="283"/>
        <w:jc w:val="both"/>
        <w:rPr>
          <w:rFonts w:ascii="Arial" w:hAnsi="Arial"/>
          <w:color w:val="000000"/>
          <w:sz w:val="20"/>
        </w:rPr>
      </w:pPr>
      <w:r>
        <w:rPr>
          <w:rFonts w:ascii="Arial" w:hAnsi="Arial"/>
          <w:color w:val="000000"/>
          <w:sz w:val="20"/>
        </w:rPr>
        <w:t>Contingent consideration payable is measured and recorded at fair value on the acquisition date as part of the allocation of the purchase consideration. The fair value of contingent obligations to make additional payments is determined based on assumptions regarding the achievement of development and regulatory milestones, and the occurrence of other qualifying events, with changes in fair value reflected in the consolidated statement of operations and comprehensive loss as a component of operating expenses. The determination of fair value requires management to use subjective judgments as to the probability and timing of a qualifying event, and development and regulatory milestones. The determination of the fair value of contingent considerations obligation is particularly sensitive to judgments relative to the probability of achieving the specified development and regulatory milestones, and the occurrence of a qualifying event.</w:t>
      </w:r>
    </w:p>
    <w:p>
      <w:pPr>
        <w:pStyle w:val="Heading2"/>
        <w:bidi w:val="0"/>
        <w:spacing w:before="240" w:after="283"/>
        <w:jc w:val="both"/>
        <w:rPr>
          <w:rFonts w:ascii="Arial" w:hAnsi="Arial"/>
          <w:i/>
          <w:color w:val="000000"/>
          <w:sz w:val="20"/>
        </w:rPr>
      </w:pPr>
      <w:r>
        <w:rPr>
          <w:rFonts w:ascii="Arial" w:hAnsi="Arial"/>
          <w:i/>
          <w:color w:val="000000"/>
          <w:sz w:val="20"/>
        </w:rPr>
        <w:t>Stock-Based Compensation Expense</w:t>
      </w:r>
    </w:p>
    <w:p>
      <w:pPr>
        <w:pStyle w:val="TextBody"/>
        <w:bidi w:val="0"/>
        <w:spacing w:before="240" w:after="283"/>
        <w:jc w:val="both"/>
        <w:rPr>
          <w:rFonts w:ascii="Times New Roman" w:hAnsi="Times New Roman"/>
          <w:sz w:val="20"/>
        </w:rPr>
      </w:pPr>
      <w:r>
        <w:rPr>
          <w:rFonts w:ascii="Arial" w:hAnsi="Arial"/>
          <w:color w:val="000000"/>
          <w:sz w:val="20"/>
        </w:rPr>
        <w:t xml:space="preserve">The Company accounts for stock-based compensation under the provisions of ASC Topic 718, </w:t>
      </w:r>
      <w:r>
        <w:rPr>
          <w:rFonts w:ascii="Arial" w:hAnsi="Arial"/>
          <w:i/>
          <w:color w:val="000000"/>
          <w:sz w:val="20"/>
        </w:rPr>
        <w:t>Compensation-Stock Compensation</w:t>
      </w:r>
      <w:r>
        <w:rPr>
          <w:rFonts w:ascii="Arial" w:hAnsi="Arial"/>
          <w:color w:val="000000"/>
          <w:sz w:val="20"/>
        </w:rPr>
        <w:t>. The Company periodically grants stock options and restricted stock awards to employees and non-employees. Compensation expense is measured at estimated fair value on the grant date, and is included as compensation expense over the requisite service period. Time-based awards are expensed on a straight-line basis over the vesting period. Performance-based awards are expensed over the requisite service period beginning when the performance condition is considered probable of achievement. Compensation expense for awards to non-employees is recognized in the same manner as if the Company had paid cash in exchange for the goods or services, which is generally over the vesting period of the award. Forfeitures are accounted for as they occur. The Company classifies stock-based compensation expense in the consolidated statements of operations and comprehensive loss in the same manner in which the award recipients’ payroll costs are classified or in which the award recipients’ service payments are classified.</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fair value of each stock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The fair value of each restricted stock award granted is measured on the date of grant at the estimated fair value of the common stock.</w:t>
      </w:r>
    </w:p>
    <w:p>
      <w:pPr>
        <w:pStyle w:val="TextBody"/>
        <w:bidi w:val="0"/>
        <w:spacing w:before="240" w:after="283"/>
        <w:jc w:val="both"/>
        <w:rPr>
          <w:rFonts w:ascii="Times New Roman" w:hAnsi="Times New Roman"/>
          <w:sz w:val="20"/>
        </w:rPr>
      </w:pPr>
      <w:r>
        <w:rPr>
          <w:rFonts w:ascii="Arial" w:hAnsi="Arial"/>
          <w:color w:val="000000"/>
          <w:sz w:val="20"/>
        </w:rPr>
        <w:t xml:space="preserve">Because there has not historically been a public market for the Company’s common stock, the estimated fair value of common stock was determined by the Company’s Board of Directors as of the date of each option grant, with inputs from management, considering third-party valuations of its common stock as well as the Company’s Board of Directors’ assessment of additional objective and subjective factors that it believed were relevant. These third-party valuations were performed in accordance with the guidance outlined in the American Institute of Certified Public Accountants’ Accounting and Valuation Guide, </w:t>
      </w:r>
      <w:r>
        <w:rPr>
          <w:rFonts w:ascii="Arial" w:hAnsi="Arial"/>
          <w:i/>
          <w:color w:val="000000"/>
          <w:sz w:val="20"/>
        </w:rPr>
        <w:t>Valuation of Privately Held Company Equity Securities Issued as Compensation</w:t>
      </w:r>
      <w:r>
        <w:rPr>
          <w:rFonts w:ascii="Arial" w:hAnsi="Arial"/>
          <w:color w:val="000000"/>
          <w:sz w:val="20"/>
        </w:rPr>
        <w:t>.</w:t>
      </w:r>
    </w:p>
    <w:p>
      <w:pPr>
        <w:pStyle w:val="TextBody"/>
        <w:bidi w:val="0"/>
        <w:spacing w:before="240" w:after="283"/>
        <w:jc w:val="both"/>
        <w:rPr>
          <w:rFonts w:ascii="Arial" w:hAnsi="Arial"/>
          <w:color w:val="000000"/>
          <w:sz w:val="20"/>
        </w:rPr>
      </w:pPr>
      <w:r>
        <w:rPr>
          <w:rFonts w:ascii="Arial" w:hAnsi="Arial"/>
          <w:color w:val="000000"/>
          <w:sz w:val="20"/>
        </w:rPr>
        <w:t>The Company estimates its expected stock price volatility based on the historical volatility of publicly traded peer companies. The expected term of the Company’s stock options has been determined utilizing the “simplified” method. The risk-free interest rate is determined by reference to the U.S. Treasury yield curve in effect at the time of grant for time periods approximately equal to the expected term of the award. There is no expected dividend yield since the Company has never paid cash dividends on common stock and does not expect to pay any cash dividends in the foreseeable future.</w:t>
      </w:r>
    </w:p>
    <w:p>
      <w:pPr>
        <w:pStyle w:val="Heading2"/>
        <w:bidi w:val="0"/>
        <w:spacing w:before="240" w:after="283"/>
        <w:jc w:val="both"/>
        <w:rPr>
          <w:rFonts w:ascii="Arial" w:hAnsi="Arial"/>
          <w:i/>
          <w:color w:val="000000"/>
          <w:sz w:val="20"/>
        </w:rPr>
      </w:pPr>
      <w:r>
        <w:rPr>
          <w:rFonts w:ascii="Arial" w:hAnsi="Arial"/>
          <w:i/>
          <w:color w:val="000000"/>
          <w:sz w:val="20"/>
        </w:rPr>
        <w:t>Leases</w:t>
      </w:r>
    </w:p>
    <w:p>
      <w:pPr>
        <w:pStyle w:val="TextBody"/>
        <w:bidi w:val="0"/>
        <w:spacing w:before="240" w:after="283"/>
        <w:jc w:val="both"/>
        <w:rPr>
          <w:rFonts w:ascii="Arial" w:hAnsi="Arial"/>
          <w:color w:val="000000"/>
          <w:sz w:val="20"/>
        </w:rPr>
      </w:pPr>
      <w:r>
        <w:rPr>
          <w:rFonts w:ascii="Arial" w:hAnsi="Arial"/>
          <w:color w:val="000000"/>
          <w:sz w:val="20"/>
        </w:rPr>
        <w:t>At the inception of an arrangement, the Company determines whether the arrangement is or contains a lease based on the facts and circumstances present in the arrangement including the use of an identified asset(s) and the Company’s control over the use of that identified asset. If both criteria are met, the Company records the associated lease liability and corresponding right-of-use asset upon commencement of the lease using the implicit rate or, if the rate implicit on the lease is not reasonably determinable, a discount rate based on a credit-adjusted secured borrowing rate commensurate with the term of the lease. The Company has elected to not recognize on its consolidated balance sheet leases with a lease term of one year or less. Leases with a term greater than one year are recognized on the consolidated balance sheet as right-of-use assets and current and noncurrent operating lease liabilities, as applicable.</w:t>
      </w:r>
    </w:p>
    <w:p>
      <w:pPr>
        <w:pStyle w:val="TextBody"/>
        <w:bidi w:val="0"/>
        <w:spacing w:before="240" w:after="283"/>
        <w:jc w:val="both"/>
        <w:rPr>
          <w:rFonts w:ascii="Times New Roman" w:hAnsi="Times New Roman"/>
          <w:sz w:val="20"/>
        </w:rPr>
      </w:pPr>
      <w:r>
        <w:rPr>
          <w:rFonts w:ascii="Arial" w:hAnsi="Arial"/>
          <w:color w:val="000000"/>
          <w:sz w:val="20"/>
        </w:rPr>
        <w:t>The Company evaluates the classification of its leases as either finance leases or operating leases. A lease is classified as a finance lease if any one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leased asset is of such a specialized nature that it is expected to have no alternative use to the lessor at the end of the lease. A lease is classified as an operating lease if it does not meet any of these criteria.</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Operating lease liabilities and their corresponding operating lease right-of-use assets are initially recorded based on the present value of lease payments over the expected remaining lease term. Since the Company does not have insight into the relevant information that would be required to arrive at the rate implicit in the lease, the Company utilizes an estimated incremental borrowing rate to determine the discount rate. The incremental borrowing rate is a hypothetical rate based on the Company’s understanding of what its credit rating would be, adjusted to reflect a collateralized borrowing.</w:t>
      </w:r>
    </w:p>
    <w:p>
      <w:pPr>
        <w:pStyle w:val="TextBody"/>
        <w:bidi w:val="0"/>
        <w:spacing w:before="240" w:after="283"/>
        <w:jc w:val="both"/>
        <w:rPr>
          <w:rFonts w:ascii="Arial" w:hAnsi="Arial"/>
          <w:color w:val="000000"/>
          <w:sz w:val="20"/>
        </w:rPr>
      </w:pPr>
      <w:r>
        <w:rPr>
          <w:rFonts w:ascii="Arial" w:hAnsi="Arial"/>
          <w:color w:val="000000"/>
          <w:sz w:val="20"/>
        </w:rPr>
        <w:t>Certain adjustments to the right-of-use assets may be required for items such as lease incentives received. The Company typically only includes the initial noncancellable period in its assessment of a lease term. Options to extend a lease are not included in its assessment unless there is reasonable certainty that the Company will exercise its option to renew. The Company monitors its plans to renew its material leases based on current economic factors and as circumstances may change.</w:t>
      </w:r>
    </w:p>
    <w:p>
      <w:pPr>
        <w:pStyle w:val="TextBody"/>
        <w:bidi w:val="0"/>
        <w:spacing w:before="240" w:after="283"/>
        <w:jc w:val="both"/>
        <w:rPr>
          <w:rFonts w:ascii="Times New Roman" w:hAnsi="Times New Roman"/>
          <w:sz w:val="20"/>
        </w:rPr>
      </w:pPr>
      <w:r>
        <w:rPr>
          <w:rFonts w:ascii="Arial" w:hAnsi="Arial"/>
          <w:color w:val="000000"/>
          <w:sz w:val="20"/>
        </w:rPr>
        <w:t xml:space="preserve">The Company has elected the practical expedient in ASC 842, </w:t>
      </w:r>
      <w:r>
        <w:rPr>
          <w:rFonts w:ascii="Arial" w:hAnsi="Arial"/>
          <w:i/>
          <w:color w:val="000000"/>
          <w:sz w:val="20"/>
        </w:rPr>
        <w:t>Leases</w:t>
      </w:r>
      <w:r>
        <w:rPr>
          <w:rFonts w:ascii="Arial" w:hAnsi="Arial"/>
          <w:color w:val="000000"/>
          <w:sz w:val="20"/>
        </w:rPr>
        <w:t>, to not separate lease and non-lease components (e.g., common area maintenance) and is applying this expedient to leases of all underlying asset classes. Lease cost for operating leases is recognized on a straight-line basis over the lease term as an operating expense. Variable lease costs, including non-fixed common area maintenance, utilities and other lease operating costs are expensed as incurred as operating expenses.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carrying value of the Company’s right-of-use assets is substantially concentrated in the leasing of office and laboratory space, and equipment.</w:t>
      </w:r>
    </w:p>
    <w:p>
      <w:pPr>
        <w:pStyle w:val="TextBody"/>
        <w:bidi w:val="0"/>
        <w:spacing w:before="120" w:after="283"/>
        <w:jc w:val="center"/>
        <w:rPr>
          <w:rFonts w:ascii="Arial" w:hAnsi="Arial"/>
          <w:color w:val="000000"/>
          <w:sz w:val="20"/>
        </w:rPr>
      </w:pPr>
      <w:r>
        <w:rPr>
          <w:rFonts w:ascii="Arial" w:hAnsi="Arial"/>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pBdr/>
        <w:bidi w:val="0"/>
        <w:spacing w:before="240" w:after="283"/>
        <w:ind w:left="0" w:right="0" w:hanging="720"/>
        <w:jc w:val="both"/>
        <w:rPr>
          <w:rFonts w:ascii="Arial" w:hAnsi="Arial"/>
          <w:i/>
          <w:color w:val="000000"/>
          <w:sz w:val="20"/>
        </w:rPr>
      </w:pPr>
      <w:r>
        <w:rPr>
          <w:rFonts w:ascii="Arial" w:hAnsi="Arial"/>
          <w:i/>
          <w:color w:val="000000"/>
          <w:sz w:val="20"/>
        </w:rPr>
        <w:t>Warrants</w:t>
      </w:r>
    </w:p>
    <w:p>
      <w:pPr>
        <w:pStyle w:val="TextBody"/>
        <w:bidi w:val="0"/>
        <w:spacing w:before="240" w:after="283"/>
        <w:jc w:val="both"/>
        <w:rPr>
          <w:rFonts w:ascii="Times New Roman" w:hAnsi="Times New Roman"/>
          <w:sz w:val="20"/>
        </w:rPr>
      </w:pPr>
      <w:r>
        <w:rPr>
          <w:rFonts w:ascii="Arial" w:hAnsi="Arial"/>
          <w:color w:val="000000"/>
          <w:sz w:val="20"/>
        </w:rPr>
        <w:t xml:space="preserve">The Company accounts for issued warrants as either a liability or equity in accordance with ASC Topic 480-10, </w:t>
      </w:r>
      <w:r>
        <w:rPr>
          <w:rFonts w:ascii="Arial" w:hAnsi="Arial"/>
          <w:i/>
          <w:color w:val="000000"/>
          <w:sz w:val="20"/>
        </w:rPr>
        <w:t>Accounting for Certain Financial Instruments with Characteristics of both Liabilities and Equity</w:t>
      </w:r>
      <w:r>
        <w:rPr>
          <w:rFonts w:ascii="Times New Roman" w:hAnsi="Times New Roman"/>
          <w:color w:val="000000"/>
          <w:sz w:val="20"/>
        </w:rPr>
        <w:t xml:space="preserve"> </w:t>
      </w:r>
      <w:r>
        <w:rPr>
          <w:rFonts w:ascii="Arial" w:hAnsi="Arial"/>
          <w:color w:val="000000"/>
          <w:sz w:val="20"/>
        </w:rPr>
        <w:t xml:space="preserve">(“ASC 480-10”) or ASC Topic 815-40, </w:t>
      </w:r>
      <w:r>
        <w:rPr>
          <w:rFonts w:ascii="Arial" w:hAnsi="Arial"/>
          <w:i/>
          <w:color w:val="000000"/>
          <w:sz w:val="20"/>
        </w:rPr>
        <w:t xml:space="preserve">Accounting for Derivative Financial Instruments Indexed to, and Potentially Settled in, a Company’s Own Stock </w:t>
      </w:r>
      <w:r>
        <w:rPr>
          <w:rFonts w:ascii="Arial" w:hAnsi="Arial"/>
          <w:color w:val="000000"/>
          <w:sz w:val="20"/>
        </w:rPr>
        <w:t>(“ASC 815-40”).</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Freestanding warrants related to shares that are mandatorily redeemable, require the Company to settle the warrants or the underlying shares by paying cash or other assets, or may require settlement by issuing a variable number of shares, are classified as liabilities on the Company’s consolidated balance sheets. Liability classified warrants are initially recorded at fair value on the date of issuance and are subsequently remeasured to fair value at each balance sheet date. Changes in the fair value of these warrants are recognized as a component of other expense, net in the Company’s consolidated statements of operations and comprehensive loss. The Company will continue to adjust the liability for changes in fair value until the earlier of the exercise or expiration of the warrants, or if and when the warrants meet the criteria for equity classification. The Company classifies the liabilities as other noncurrent liabilities in the accompanying audited consolidated balance sheets as the settlement of the warrants is not expected within the next twelve months. Warrants that meet the criteria to be accounted for as equity are recorded on the issuance date within additional paid-in capital and no changes in fair value are recognized after the issuance date.</w:t>
      </w:r>
    </w:p>
    <w:p>
      <w:pPr>
        <w:pStyle w:val="Heading2"/>
        <w:bidi w:val="0"/>
        <w:spacing w:before="240" w:after="283"/>
        <w:jc w:val="both"/>
        <w:rPr>
          <w:rFonts w:ascii="Arial" w:hAnsi="Arial"/>
          <w:i/>
          <w:color w:val="000000"/>
          <w:sz w:val="20"/>
        </w:rPr>
      </w:pPr>
      <w:r>
        <w:rPr>
          <w:rFonts w:ascii="Arial" w:hAnsi="Arial"/>
          <w:i/>
          <w:color w:val="000000"/>
          <w:sz w:val="20"/>
        </w:rPr>
        <w:t>Convertible Preferred Stock</w:t>
      </w:r>
    </w:p>
    <w:p>
      <w:pPr>
        <w:pStyle w:val="TextBody"/>
        <w:bidi w:val="0"/>
        <w:spacing w:before="240" w:after="283"/>
        <w:jc w:val="both"/>
        <w:rPr>
          <w:rFonts w:ascii="Arial" w:hAnsi="Arial"/>
          <w:color w:val="000000"/>
          <w:sz w:val="20"/>
        </w:rPr>
      </w:pPr>
      <w:r>
        <w:rPr>
          <w:rFonts w:ascii="Arial" w:hAnsi="Arial"/>
          <w:color w:val="000000"/>
          <w:sz w:val="20"/>
        </w:rPr>
        <w:t>The Company has classified its convertible preferred stock as temporary equity in the accompanying consolidated balance sheets due to terms that allow for redemption of the shares in cash upon certain changes in control events or deemed liquidation events that are outside of the Company’s control. The Company did not accrete the carrying values of the convertible preferred stock to the redemption values since a change in control event was not considered probable of occurring as of December 31, 2025. Subsequent adjustments of the carrying values to the ultimate redemption values will be made only when it becomes probable that such a change in control event will occur.</w:t>
      </w:r>
    </w:p>
    <w:p>
      <w:pPr>
        <w:pStyle w:val="TextBody"/>
        <w:bidi w:val="0"/>
        <w:spacing w:before="240" w:after="283"/>
        <w:jc w:val="both"/>
        <w:rPr>
          <w:rFonts w:ascii="Arial" w:hAnsi="Arial"/>
          <w:b/>
          <w:i/>
          <w:color w:val="000000"/>
          <w:sz w:val="20"/>
        </w:rPr>
      </w:pPr>
      <w:r>
        <w:rPr>
          <w:rFonts w:ascii="Arial" w:hAnsi="Arial"/>
          <w:b/>
          <w:i/>
          <w:color w:val="000000"/>
          <w:sz w:val="20"/>
        </w:rPr>
        <w:t>Deferred Offering Costs</w:t>
      </w:r>
    </w:p>
    <w:p>
      <w:pPr>
        <w:pStyle w:val="TextBody"/>
        <w:bidi w:val="0"/>
        <w:spacing w:before="240" w:after="283"/>
        <w:jc w:val="both"/>
        <w:rPr>
          <w:rFonts w:ascii="Arial" w:hAnsi="Arial"/>
          <w:color w:val="000000"/>
          <w:sz w:val="20"/>
        </w:rPr>
      </w:pPr>
      <w:r>
        <w:rPr>
          <w:rFonts w:ascii="Arial" w:hAnsi="Arial"/>
          <w:color w:val="000000"/>
          <w:sz w:val="20"/>
        </w:rPr>
        <w:t>The Company capitalizes certain legal, professional accounting and other third-party fees that are direct and incremental costs associated with the in-process public equity financing as deferred offering costs until such financing is consummated. After the consummation of such equity financing, these costs are recorded as a reduction of the proceeds generated as a result of the offering within additional paid-in capital. Should the planned equity financing be abandoned, the deferred offering costs, currently recorded within other non-current assets, will be expensed immediately as a charge to operating expenses in the statements of operations and comprehensive loss. The Company recorded $0.1 million of deferred offering costs within non-current assets as of December 31, 2025. The Company recorded $5.0 million of deferred offering costs within other non-current assets as of December 31, 2024, which were written off during the second quarter of 2025 upon abandonment of the planned offering.</w:t>
      </w:r>
    </w:p>
    <w:p>
      <w:pPr>
        <w:pStyle w:val="Heading2"/>
        <w:bidi w:val="0"/>
        <w:spacing w:before="24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240" w:after="283"/>
        <w:jc w:val="both"/>
        <w:rPr>
          <w:rFonts w:ascii="Arial" w:hAnsi="Arial"/>
          <w:color w:val="000000"/>
          <w:sz w:val="20"/>
        </w:rPr>
      </w:pPr>
      <w:r>
        <w:rPr>
          <w:rFonts w:ascii="Arial" w:hAnsi="Arial"/>
          <w:color w:val="000000"/>
          <w:sz w:val="20"/>
        </w:rPr>
        <w:t>Expenditures relating to research and development are expensed as incurred. Non</w:t>
        <w:noBreakHyphen/>
        <w:t>refundable advance payments for goods and services that will be used in future research and development activities are expensed when the activity has been performed or when the goods have been received.</w:t>
      </w:r>
    </w:p>
    <w:p>
      <w:pPr>
        <w:pStyle w:val="TextBody"/>
        <w:bidi w:val="0"/>
        <w:spacing w:before="240" w:after="283"/>
        <w:jc w:val="both"/>
        <w:rPr>
          <w:rFonts w:ascii="Arial" w:hAnsi="Arial"/>
          <w:color w:val="000000"/>
          <w:sz w:val="20"/>
        </w:rPr>
      </w:pPr>
      <w:r>
        <w:rPr>
          <w:rFonts w:ascii="Arial" w:hAnsi="Arial"/>
          <w:color w:val="000000"/>
          <w:sz w:val="20"/>
        </w:rPr>
        <w:t>The Company is required to estimate its accrued research and development expenses as of each balance sheet date. In accruing service fees, the Company estimates the time period over which services will be performed and the level of effort to be expended in each period. The financial terms of these contracts are subject to negotiation, which vary by contract and may result in payments that do not match the periods over which materials or services are provided. The Company accrues the costs incurred under the agreements based on an estimate of actual work completed in accordance with the agreements. In circumstances where amounts have been paid in excess of costs incurred, the Company records the excess as a prepaid expense and recognizes as expense as the goods are received or the related services are rendered.</w:t>
      </w:r>
    </w:p>
    <w:p>
      <w:pPr>
        <w:pStyle w:val="Heading2"/>
        <w:bidi w:val="0"/>
        <w:spacing w:before="240" w:after="283"/>
        <w:jc w:val="both"/>
        <w:rPr>
          <w:rFonts w:ascii="Arial" w:hAnsi="Arial"/>
          <w:i/>
          <w:color w:val="000000"/>
          <w:sz w:val="20"/>
        </w:rPr>
      </w:pPr>
      <w:r>
        <w:rPr>
          <w:rFonts w:ascii="Arial" w:hAnsi="Arial"/>
          <w:i/>
          <w:color w:val="000000"/>
          <w:sz w:val="20"/>
        </w:rPr>
        <w:t>Income Taxes</w:t>
      </w:r>
    </w:p>
    <w:p>
      <w:pPr>
        <w:pStyle w:val="TextBody"/>
        <w:bidi w:val="0"/>
        <w:spacing w:before="240" w:after="283"/>
        <w:jc w:val="both"/>
        <w:rPr>
          <w:rFonts w:ascii="Times New Roman" w:hAnsi="Times New Roman"/>
          <w:sz w:val="20"/>
        </w:rPr>
      </w:pPr>
      <w:r>
        <w:rPr>
          <w:rFonts w:ascii="Arial" w:hAnsi="Arial"/>
          <w:color w:val="000000"/>
          <w:sz w:val="20"/>
        </w:rPr>
        <w:t>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bases of assets and liabilities using enacted tax rates in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effect for the year in which the differences are expected to reverse. A valuation allowance against deferred tax assets is recorded if, based on the weight of the available evidence, it is more likely than not that some or all the deferred tax assets will not be realized.</w:t>
      </w:r>
    </w:p>
    <w:p>
      <w:pPr>
        <w:pStyle w:val="TextBody"/>
        <w:bidi w:val="0"/>
        <w:spacing w:before="240" w:after="283"/>
        <w:jc w:val="both"/>
        <w:rPr>
          <w:rFonts w:ascii="Times New Roman" w:hAnsi="Times New Roman"/>
          <w:sz w:val="20"/>
        </w:rPr>
      </w:pPr>
      <w:r>
        <w:rPr>
          <w:rFonts w:ascii="Arial" w:hAnsi="Arial"/>
          <w:color w:val="000000"/>
          <w:sz w:val="20"/>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The Company recognizes interest and penalties related to income tax, if any, within income tax provision.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Provisions of the U.S. Tax Cuts and Jobs Act (“U.S. Tax Act”) became effective for the Company upon inception. The Global Intangible Low-Taxed Income (“GILTI”) provision requires that the Company be subject to U.S. taxation on a portion of its foreign subsidiary earnings that exceed an allowable return. The Company has elected to treat any GILTI inclusion as a period expense in the year incurred.</w:t>
      </w:r>
    </w:p>
    <w:p>
      <w:pPr>
        <w:pStyle w:val="TextBody"/>
        <w:bidi w:val="0"/>
        <w:spacing w:before="240" w:after="240"/>
        <w:jc w:val="both"/>
        <w:rPr>
          <w:rFonts w:ascii="Arial" w:hAnsi="Arial"/>
          <w:color w:val="000000"/>
          <w:sz w:val="20"/>
        </w:rPr>
      </w:pPr>
      <w:r>
        <w:rPr>
          <w:rFonts w:ascii="Arial" w:hAnsi="Arial"/>
          <w:color w:val="000000"/>
          <w:sz w:val="20"/>
        </w:rPr>
        <w:t>Federal tax legislation was enacted on July 4, 2025. Notable provisions include the restoration of 100% bonus depreciation, the reinstatement of immediate deductibility of certain domestic research and experimental expenditures, and taxpayer favorable modifications to certain interest deductibility limitations.</w:t>
      </w:r>
    </w:p>
    <w:p>
      <w:pPr>
        <w:pStyle w:val="TextBody"/>
        <w:bidi w:val="0"/>
        <w:jc w:val="both"/>
        <w:rPr>
          <w:rFonts w:ascii="Arial" w:hAnsi="Arial"/>
          <w:b/>
          <w:i/>
          <w:color w:val="000000"/>
          <w:sz w:val="20"/>
        </w:rPr>
      </w:pPr>
      <w:r>
        <w:rPr>
          <w:rFonts w:ascii="Arial" w:hAnsi="Arial"/>
          <w:b/>
          <w:i/>
          <w:color w:val="000000"/>
          <w:sz w:val="20"/>
        </w:rPr>
        <w:t>Net Loss Per Share</w:t>
      </w:r>
    </w:p>
    <w:p>
      <w:pPr>
        <w:pStyle w:val="TextBody"/>
        <w:bidi w:val="0"/>
        <w:spacing w:before="240" w:after="283"/>
        <w:jc w:val="both"/>
        <w:rPr>
          <w:rFonts w:ascii="Arial" w:hAnsi="Arial"/>
          <w:color w:val="000000"/>
          <w:sz w:val="20"/>
        </w:rPr>
      </w:pPr>
      <w:r>
        <w:rPr>
          <w:rFonts w:ascii="Arial" w:hAnsi="Arial"/>
          <w:color w:val="000000"/>
          <w:sz w:val="20"/>
        </w:rPr>
        <w:t>The Company follows the two-class method when computing net loss per share as the Company has issued convertible preferred stock which are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pStyle w:val="TextBody"/>
        <w:bidi w:val="0"/>
        <w:spacing w:before="240" w:after="283"/>
        <w:jc w:val="both"/>
        <w:rPr>
          <w:rFonts w:ascii="Arial" w:hAnsi="Arial"/>
          <w:color w:val="000000"/>
          <w:sz w:val="20"/>
        </w:rPr>
      </w:pPr>
      <w:r>
        <w:rPr>
          <w:rFonts w:ascii="Arial" w:hAnsi="Arial"/>
          <w:color w:val="000000"/>
          <w:sz w:val="20"/>
        </w:rPr>
        <w:t>The Company’s convertible preferred stock contractually entitles the holders of such shares to participate in dividends but does not contractually require the holders of such shares to participate in losses of the Company. Accordingly, in periods in which the Company reported a net loss attributable to common stockholders, such losses are not allocated to such participating securities. In periods in which the Company reported a net loss attributable to common stockholders, diluted net loss per share attributable to common stockholders is the same as basic net loss per share attributable to common stockholders, since dilutive common stock are not assumed to have been issued if their effect is antidilutive. The Company reported a net loss attributable to common stockholders for the years ended December 31, 2025 and 2024.</w:t>
      </w:r>
    </w:p>
    <w:p>
      <w:pPr>
        <w:pStyle w:val="TextBody"/>
        <w:bidi w:val="0"/>
        <w:spacing w:before="240" w:after="283"/>
        <w:jc w:val="both"/>
        <w:rPr>
          <w:rFonts w:ascii="Arial" w:hAnsi="Arial"/>
          <w:color w:val="000000"/>
          <w:sz w:val="20"/>
        </w:rPr>
      </w:pPr>
      <w:r>
        <w:rPr>
          <w:rFonts w:ascii="Arial" w:hAnsi="Arial"/>
          <w:color w:val="000000"/>
          <w:sz w:val="20"/>
        </w:rPr>
        <w:t>Basic net loss per share attributable to common stockholders is computed by dividing net loss attributable to common stockholders by the weighted-average number of shares of common stock outstanding during the period, adjusted for outstanding shares that are contingently returnable by the holder. Contingently issuable shares, including shares that are issuable for little or no cash consideration, are considered outstanding common shares and included in net loss per share as of the date that all necessary conditions have been satisfied. Such shares include outstanding common stock warrants (see Note 12). Diluted net loss per share attributable to common stockholders is computed by dividing the diluted net loss attributable to common stockholders by the weighted-average number of shares of common stock outstanding for the period, including potential dilutive common stock.</w:t>
      </w:r>
    </w:p>
    <w:p>
      <w:pPr>
        <w:pStyle w:val="TextBody"/>
        <w:bidi w:val="0"/>
        <w:spacing w:before="240" w:after="283"/>
        <w:jc w:val="both"/>
        <w:rPr>
          <w:rFonts w:ascii="Arial" w:hAnsi="Arial"/>
          <w:color w:val="000000"/>
          <w:sz w:val="20"/>
        </w:rPr>
      </w:pPr>
      <w:r>
        <w:rPr>
          <w:rFonts w:ascii="Arial" w:hAnsi="Arial"/>
          <w:color w:val="000000"/>
          <w:sz w:val="20"/>
        </w:rPr>
        <w:t>Dividends on convertible preferred stock increase the net loss to arrive at loss available to common stockholders, which is the numerator in the calculation of basic net loss and diluted net loss per share. Such dividends include deemed dividends such as adjustments triggered by down round features.</w:t>
      </w:r>
    </w:p>
    <w:p>
      <w:pPr>
        <w:pStyle w:val="Heading2"/>
        <w:bidi w:val="0"/>
        <w:spacing w:before="240" w:after="283"/>
        <w:jc w:val="both"/>
        <w:rPr>
          <w:rFonts w:ascii="Arial" w:hAnsi="Arial"/>
          <w:i/>
          <w:color w:val="000000"/>
          <w:sz w:val="20"/>
        </w:rPr>
      </w:pPr>
      <w:r>
        <w:rPr>
          <w:rFonts w:ascii="Arial" w:hAnsi="Arial"/>
          <w:i/>
          <w:color w:val="000000"/>
          <w:sz w:val="20"/>
        </w:rPr>
        <w:t>Concentrations of Credit Risk</w:t>
      </w:r>
    </w:p>
    <w:p>
      <w:pPr>
        <w:pStyle w:val="TextBody"/>
        <w:bidi w:val="0"/>
        <w:spacing w:before="240" w:after="283"/>
        <w:jc w:val="both"/>
        <w:rPr>
          <w:rFonts w:ascii="Arial" w:hAnsi="Arial"/>
          <w:color w:val="000000"/>
          <w:sz w:val="20"/>
        </w:rPr>
      </w:pPr>
      <w:r>
        <w:rPr>
          <w:rFonts w:ascii="Arial" w:hAnsi="Arial"/>
          <w:color w:val="000000"/>
          <w:sz w:val="20"/>
        </w:rPr>
        <w:t>Financial instruments that potentially expose the Company to concentrations of credit risk primarily consist of cash, cash equivalents and marketable securities. The Company invests its cash and cash equivalents in overnight insured cash sweeps, money market funds, U.S. Treasury bills and U.S. Treasury notes.</w:t>
      </w:r>
    </w:p>
    <w:p>
      <w:pPr>
        <w:pStyle w:val="Heading2"/>
        <w:bidi w:val="0"/>
        <w:spacing w:before="240" w:after="283"/>
        <w:jc w:val="both"/>
        <w:rPr>
          <w:rFonts w:ascii="Arial" w:hAnsi="Arial"/>
          <w:i/>
          <w:color w:val="000000"/>
          <w:sz w:val="20"/>
        </w:rPr>
      </w:pPr>
      <w:r>
        <w:rPr>
          <w:rFonts w:ascii="Arial" w:hAnsi="Arial"/>
          <w:i/>
          <w:color w:val="000000"/>
          <w:sz w:val="20"/>
        </w:rPr>
        <w:t>Emerging Growth Company Status</w:t>
      </w:r>
    </w:p>
    <w:p>
      <w:pPr>
        <w:pStyle w:val="TextBody"/>
        <w:bidi w:val="0"/>
        <w:spacing w:before="240" w:after="283"/>
        <w:jc w:val="both"/>
        <w:rPr>
          <w:rFonts w:ascii="Times New Roman" w:hAnsi="Times New Roman"/>
          <w:sz w:val="20"/>
        </w:rPr>
      </w:pPr>
      <w:r>
        <w:rPr>
          <w:rFonts w:ascii="Arial" w:hAnsi="Arial"/>
          <w:color w:val="000000"/>
          <w:sz w:val="20"/>
        </w:rPr>
        <w:t>The Company is an emerging growth company (“EGC”), as defined in the Jumpstart Our Business Startups Act (the “JOBS Act”). Under the JOBS Act, EGCs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dates for public and private companies until the earlier of the date that it (i) is no longer an EGC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r>
        <w:rPr>
          <w:rFonts w:ascii="Times New Roman" w:hAnsi="Times New Roman"/>
          <w:color w:val="000000"/>
          <w:sz w:val="20"/>
        </w:rPr>
        <w:t xml:space="preserve"> </w:t>
      </w:r>
    </w:p>
    <w:p>
      <w:pPr>
        <w:pStyle w:val="Heading2"/>
        <w:bidi w:val="0"/>
        <w:spacing w:before="240" w:after="283"/>
        <w:jc w:val="both"/>
        <w:rPr>
          <w:rFonts w:ascii="Arial" w:hAnsi="Arial"/>
          <w:i/>
          <w:color w:val="000000"/>
          <w:sz w:val="20"/>
        </w:rPr>
      </w:pPr>
      <w:r>
        <w:rPr>
          <w:rFonts w:ascii="Arial" w:hAnsi="Arial"/>
          <w:i/>
          <w:color w:val="000000"/>
          <w:sz w:val="20"/>
        </w:rPr>
        <w:t>Recently Adopted and Issued Accounting Pronouncements</w:t>
      </w:r>
    </w:p>
    <w:p>
      <w:pPr>
        <w:pStyle w:val="TextBody"/>
        <w:bidi w:val="0"/>
        <w:spacing w:before="240" w:after="283"/>
        <w:jc w:val="both"/>
        <w:rPr>
          <w:rFonts w:ascii="Arial" w:hAnsi="Arial"/>
          <w:color w:val="000000"/>
          <w:sz w:val="20"/>
        </w:rPr>
      </w:pPr>
      <w:r>
        <w:rPr>
          <w:rFonts w:ascii="Arial" w:hAnsi="Arial"/>
          <w:color w:val="000000"/>
          <w:sz w:val="20"/>
        </w:rPr>
        <w:t>From time to time, new accounting pronouncements are issued by the FASB or other standard setting bodies, and the Company adopts such pronouncements as of the specified effective date. Unless otherwise discussed below, the Company does not believe that the adoption of recently issued standards has had or may have a material impact on the Company’s consolidated financial statements or disclosures.</w:t>
      </w:r>
    </w:p>
    <w:p>
      <w:pPr>
        <w:pStyle w:val="TextBody"/>
        <w:bidi w:val="0"/>
        <w:spacing w:before="240" w:after="283"/>
        <w:jc w:val="both"/>
        <w:rPr>
          <w:rFonts w:ascii="Times New Roman" w:hAnsi="Times New Roman"/>
          <w:sz w:val="20"/>
        </w:rPr>
      </w:pPr>
      <w:r>
        <w:rPr>
          <w:rFonts w:ascii="Arial" w:hAnsi="Arial"/>
          <w:color w:val="000000"/>
          <w:sz w:val="20"/>
        </w:rPr>
        <w:t xml:space="preserve">In December 2023, the FASB issued ASU No. 2023-09, </w:t>
      </w:r>
      <w:r>
        <w:rPr>
          <w:rFonts w:ascii="Arial" w:hAnsi="Arial"/>
          <w:i/>
          <w:color w:val="000000"/>
          <w:sz w:val="20"/>
        </w:rPr>
        <w:t xml:space="preserve">Income Taxes (Topic 740): Improvements to Income Tax Disclosures </w:t>
      </w:r>
      <w:r>
        <w:rPr>
          <w:rFonts w:ascii="Arial" w:hAnsi="Arial"/>
          <w:color w:val="000000"/>
          <w:sz w:val="20"/>
        </w:rPr>
        <w:t>(“ASU 2023-09”). This amended guidance applies to all entities and broadly aims to enhance the transparency and decision usefulness of income tax disclosures. For entities other than public entities, the amendments in this update are effective for fiscal years beginning after December 15, 2025. Early adoption is permitted for any annual periods for which financial statements have not been issued or made available for issuance. The Company adopted ASU 2023-09 on January 1, 2025 using a retrospective method of transition. Refer to Note 16.</w:t>
      </w:r>
    </w:p>
    <w:p>
      <w:pPr>
        <w:pStyle w:val="TextBody"/>
        <w:bidi w:val="0"/>
        <w:spacing w:before="240" w:after="283"/>
        <w:jc w:val="both"/>
        <w:rPr>
          <w:rFonts w:ascii="Times New Roman" w:hAnsi="Times New Roman"/>
          <w:sz w:val="20"/>
        </w:rPr>
      </w:pPr>
      <w:r>
        <w:rPr>
          <w:rFonts w:ascii="Arial" w:hAnsi="Arial"/>
          <w:color w:val="000000"/>
          <w:sz w:val="20"/>
        </w:rPr>
        <w:t xml:space="preserve">In November 2024, the FASB issued ASU 2024-03, </w:t>
      </w:r>
      <w:r>
        <w:rPr>
          <w:rFonts w:ascii="Arial" w:hAnsi="Arial"/>
          <w:i/>
          <w:color w:val="000000"/>
          <w:sz w:val="20"/>
        </w:rPr>
        <w:t>Income Statement—Reporting Comprehensive Income—Expense Disaggregation Disclosures (Subtopic 220-40): Disaggregation of Income Statement Expenses</w:t>
      </w:r>
      <w:r>
        <w:rPr>
          <w:rFonts w:ascii="Arial" w:hAnsi="Arial"/>
          <w:color w:val="000000"/>
          <w:sz w:val="20"/>
        </w:rPr>
        <w:t>, or ASU 2024-03, which is intended to provide more detailed information about specified categories of expenses (purchases of inventory, employee compensation, depreciation and amortization) included in certain expense captions presented on the statement of operations. The guidance in ASU 2024-03 is effective for fiscal years beginning after December 15, 2026, and interim periods within fiscal years beginning after December 15, 2027. Early adoption is permitted. The amendments may be applied either (1) prospectively to financial statements issued for periods after the effective date of ASU 2024-03 or (2) retrospectively to all prior periods presented in the financial statements. The Company is currently evaluating the impact that the adoption of ASU 2024-03 may have on its consolidated financial statements and disclosures for fiscal years beginning after December 15, 2026.</w:t>
      </w:r>
    </w:p>
    <w:p>
      <w:pPr>
        <w:pStyle w:val="TextBody"/>
        <w:bidi w:val="0"/>
        <w:spacing w:before="240" w:after="283"/>
        <w:jc w:val="both"/>
        <w:rPr>
          <w:rFonts w:ascii="Arial" w:hAnsi="Arial"/>
          <w:b/>
          <w:color w:val="000000"/>
          <w:sz w:val="20"/>
        </w:rPr>
      </w:pPr>
      <w:r>
        <w:rPr>
          <w:rFonts w:ascii="Arial" w:hAnsi="Arial"/>
          <w:b/>
          <w:color w:val="000000"/>
          <w:sz w:val="20"/>
        </w:rPr>
        <w:t>3.</w:t>
      </w:r>
    </w:p>
    <w:p>
      <w:pPr>
        <w:pStyle w:val="TextBody"/>
        <w:bidi w:val="0"/>
        <w:spacing w:before="240" w:after="283"/>
        <w:jc w:val="both"/>
        <w:rPr>
          <w:rFonts w:ascii="Arial" w:hAnsi="Arial"/>
          <w:b/>
          <w:color w:val="000000"/>
          <w:sz w:val="20"/>
        </w:rPr>
      </w:pPr>
      <w:r>
        <w:rPr>
          <w:rFonts w:ascii="Arial" w:hAnsi="Arial"/>
          <w:b/>
          <w:color w:val="000000"/>
          <w:sz w:val="20"/>
        </w:rPr>
        <w:t>Goodwill and Intangible Asset</w:t>
      </w:r>
    </w:p>
    <w:p>
      <w:pPr>
        <w:pStyle w:val="Heading2"/>
        <w:bidi w:val="0"/>
        <w:spacing w:before="240" w:after="283"/>
        <w:jc w:val="both"/>
        <w:rPr>
          <w:rFonts w:ascii="Arial" w:hAnsi="Arial"/>
          <w:b w:val="false"/>
          <w:color w:val="000000"/>
          <w:sz w:val="20"/>
        </w:rPr>
      </w:pPr>
      <w:r>
        <w:rPr>
          <w:rFonts w:ascii="Arial" w:hAnsi="Arial"/>
          <w:b w:val="false"/>
          <w:color w:val="000000"/>
          <w:sz w:val="20"/>
        </w:rPr>
        <w:t>The Company’s goodwill and intangible asset relate to the purchase of Rahko Limited (“Rahko”) in 2021, which was accounted for as a business combination.</w:t>
      </w:r>
    </w:p>
    <w:p>
      <w:pPr>
        <w:pStyle w:val="Heading2"/>
        <w:bidi w:val="0"/>
        <w:spacing w:before="240" w:after="283"/>
        <w:jc w:val="both"/>
        <w:rPr>
          <w:rFonts w:ascii="Arial" w:hAnsi="Arial"/>
          <w:i/>
          <w:color w:val="000000"/>
          <w:sz w:val="20"/>
        </w:rPr>
      </w:pPr>
      <w:r>
        <w:rPr>
          <w:rFonts w:ascii="Arial" w:hAnsi="Arial"/>
          <w:i/>
          <w:color w:val="000000"/>
          <w:sz w:val="20"/>
        </w:rPr>
        <w:t>Goodwill</w:t>
      </w:r>
    </w:p>
    <w:p>
      <w:pPr>
        <w:pStyle w:val="TextBody"/>
        <w:bidi w:val="0"/>
        <w:spacing w:before="240" w:after="283"/>
        <w:jc w:val="both"/>
        <w:rPr>
          <w:rFonts w:ascii="Arial" w:hAnsi="Arial"/>
          <w:color w:val="000000"/>
          <w:sz w:val="20"/>
        </w:rPr>
      </w:pPr>
      <w:r>
        <w:rPr>
          <w:rFonts w:ascii="Arial" w:hAnsi="Arial"/>
          <w:color w:val="000000"/>
          <w:sz w:val="20"/>
        </w:rPr>
        <w:t>Goodwill and the effect of foreign currency translation is as follows:</w:t>
      </w:r>
    </w:p>
    <w:p>
      <w:pPr>
        <w:pStyle w:val="TextBody"/>
        <w:bidi w:val="0"/>
        <w:jc w:val="both"/>
        <w:rPr/>
      </w:pPr>
      <w:r>
        <w:rPr/>
        <w:t> </w:t>
      </w:r>
    </w:p>
    <w:tbl>
      <w:tblPr>
        <w:tblW w:w="5080" w:type="dxa"/>
        <w:jc w:val="left"/>
        <w:tblInd w:w="0" w:type="dxa"/>
        <w:tblLayout w:type="fixed"/>
        <w:tblCellMar>
          <w:top w:w="28" w:type="dxa"/>
          <w:left w:w="28" w:type="dxa"/>
          <w:bottom w:w="28" w:type="dxa"/>
          <w:right w:w="28" w:type="dxa"/>
        </w:tblCellMar>
      </w:tblPr>
      <w:tblGrid>
        <w:gridCol w:w="3841"/>
        <w:gridCol w:w="146"/>
        <w:gridCol w:w="211"/>
        <w:gridCol w:w="691"/>
        <w:gridCol w:w="1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 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 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jc w:val="both"/>
        <w:rPr/>
      </w:pPr>
      <w:r>
        <w:rPr/>
        <w:t> </w:t>
      </w:r>
    </w:p>
    <w:tbl>
      <w:tblPr>
        <w:tblW w:w="5100" w:type="dxa"/>
        <w:jc w:val="left"/>
        <w:tblInd w:w="0" w:type="dxa"/>
        <w:tblLayout w:type="fixed"/>
        <w:tblCellMar>
          <w:top w:w="28" w:type="dxa"/>
          <w:left w:w="28" w:type="dxa"/>
          <w:bottom w:w="28" w:type="dxa"/>
          <w:right w:w="28" w:type="dxa"/>
        </w:tblCellMar>
      </w:tblPr>
      <w:tblGrid>
        <w:gridCol w:w="3841"/>
        <w:gridCol w:w="146"/>
        <w:gridCol w:w="211"/>
        <w:gridCol w:w="691"/>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 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 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jc w:val="both"/>
        <w:rPr/>
      </w:pPr>
      <w:r>
        <w:rPr/>
        <w:t> </w:t>
      </w:r>
    </w:p>
    <w:p>
      <w:pPr>
        <w:pStyle w:val="Heading2"/>
        <w:bidi w:val="0"/>
        <w:jc w:val="both"/>
        <w:rPr>
          <w:rFonts w:ascii="Arial" w:hAnsi="Arial"/>
          <w:i/>
          <w:color w:val="000000"/>
          <w:sz w:val="20"/>
        </w:rPr>
      </w:pPr>
      <w:r>
        <w:rPr>
          <w:rFonts w:ascii="Arial" w:hAnsi="Arial"/>
          <w:i/>
          <w:color w:val="000000"/>
          <w:sz w:val="20"/>
        </w:rPr>
        <w:t>Intangible Asset</w:t>
      </w:r>
    </w:p>
    <w:p>
      <w:pPr>
        <w:pStyle w:val="TextBody"/>
        <w:bidi w:val="0"/>
        <w:spacing w:before="240" w:after="283"/>
        <w:jc w:val="both"/>
        <w:rPr>
          <w:rFonts w:ascii="Arial" w:hAnsi="Arial"/>
          <w:color w:val="000000"/>
          <w:sz w:val="20"/>
        </w:rPr>
      </w:pPr>
      <w:r>
        <w:rPr>
          <w:rFonts w:ascii="Arial" w:hAnsi="Arial"/>
          <w:color w:val="000000"/>
          <w:sz w:val="20"/>
        </w:rPr>
        <w:t>The Company’s intangible asset is comprised solely of developed technology and is being amortized using the straight-line method which reflects the pattern in which the economic benefits of the asset are consumed, over its estimated useful life of five years.</w:t>
      </w:r>
    </w:p>
    <w:p>
      <w:pPr>
        <w:pStyle w:val="TextBody"/>
        <w:bidi w:val="0"/>
        <w:spacing w:before="120" w:after="283"/>
        <w:jc w:val="center"/>
        <w:rPr>
          <w:rFonts w:ascii="Arial" w:hAnsi="Arial"/>
          <w:color w:val="000000"/>
          <w:sz w:val="20"/>
        </w:rPr>
      </w:pPr>
      <w:r>
        <w:rPr>
          <w:rFonts w:ascii="Arial" w:hAnsi="Arial"/>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The following tables present the intangible asset, current and future amortization, and the effect of foreign currency translation:</w:t>
      </w:r>
    </w:p>
    <w:p>
      <w:pPr>
        <w:pStyle w:val="TextBody"/>
        <w:bidi w:val="0"/>
        <w:jc w:val="both"/>
        <w:rPr/>
      </w:pPr>
      <w:r>
        <w:rPr/>
        <w:t> </w:t>
      </w:r>
    </w:p>
    <w:tbl>
      <w:tblPr>
        <w:tblW w:w="6806" w:type="dxa"/>
        <w:jc w:val="left"/>
        <w:tblInd w:w="0" w:type="dxa"/>
        <w:tblLayout w:type="fixed"/>
        <w:tblCellMar>
          <w:top w:w="28" w:type="dxa"/>
          <w:left w:w="28" w:type="dxa"/>
          <w:bottom w:w="28" w:type="dxa"/>
          <w:right w:w="28" w:type="dxa"/>
        </w:tblCellMar>
      </w:tblPr>
      <w:tblGrid>
        <w:gridCol w:w="3946"/>
        <w:gridCol w:w="146"/>
        <w:gridCol w:w="260"/>
        <w:gridCol w:w="799"/>
        <w:gridCol w:w="205"/>
        <w:gridCol w:w="180"/>
        <w:gridCol w:w="260"/>
        <w:gridCol w:w="799"/>
        <w:gridCol w:w="2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 balance as of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 balance as of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1,749</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(1,487</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Future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future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b/>
          <w:color w:val="000000"/>
          <w:sz w:val="20"/>
        </w:rPr>
      </w:pPr>
      <w:r>
        <w:rPr>
          <w:rFonts w:ascii="Arial" w:hAnsi="Arial"/>
          <w:b/>
          <w:color w:val="000000"/>
          <w:sz w:val="20"/>
        </w:rPr>
        <w:t>4.</w:t>
      </w:r>
    </w:p>
    <w:p>
      <w:pPr>
        <w:pStyle w:val="TextBody"/>
        <w:bidi w:val="0"/>
        <w:jc w:val="both"/>
        <w:rPr>
          <w:rFonts w:ascii="Arial" w:hAnsi="Arial"/>
          <w:b/>
          <w:color w:val="000000"/>
          <w:sz w:val="20"/>
        </w:rPr>
      </w:pPr>
      <w:r>
        <w:rPr>
          <w:rFonts w:ascii="Arial" w:hAnsi="Arial"/>
          <w:b/>
          <w:color w:val="000000"/>
          <w:sz w:val="20"/>
        </w:rPr>
        <w:t>Collaboration and License Agreements</w:t>
      </w:r>
    </w:p>
    <w:p>
      <w:pPr>
        <w:pStyle w:val="TextBody"/>
        <w:bidi w:val="0"/>
        <w:spacing w:before="240" w:after="283"/>
        <w:jc w:val="both"/>
        <w:rPr>
          <w:rFonts w:ascii="Arial" w:hAnsi="Arial"/>
          <w:i/>
          <w:color w:val="000000"/>
          <w:sz w:val="20"/>
        </w:rPr>
      </w:pPr>
      <w:r>
        <w:rPr>
          <w:rFonts w:ascii="Arial" w:hAnsi="Arial"/>
          <w:i/>
          <w:color w:val="000000"/>
          <w:sz w:val="20"/>
        </w:rPr>
        <w:t>Pfizer MTA</w:t>
      </w:r>
    </w:p>
    <w:p>
      <w:pPr>
        <w:pStyle w:val="TextBody"/>
        <w:bidi w:val="0"/>
        <w:spacing w:before="240" w:after="283"/>
        <w:jc w:val="both"/>
        <w:rPr>
          <w:rFonts w:ascii="Arial" w:hAnsi="Arial"/>
          <w:color w:val="000000"/>
          <w:sz w:val="20"/>
        </w:rPr>
      </w:pPr>
      <w:r>
        <w:rPr>
          <w:rFonts w:ascii="Arial" w:hAnsi="Arial"/>
          <w:color w:val="000000"/>
          <w:sz w:val="20"/>
        </w:rPr>
        <w:t>In December 2022, the Company entered into a material transfer and evaluation agreement (the “Pfizer MTA”) with Pfizer, Inc. (“Pfizer”) in which the Company granted to Pfizer a nonexclusive license to access the Company's intellectual property. Under the Pfizer MTA, the Company and Pfizer will jointly conduct research to identify novel hits using the Company’s natural product platform to initiate a preclinical drug discovery program against an oncogenic transcription factor.</w:t>
      </w:r>
    </w:p>
    <w:p>
      <w:pPr>
        <w:pStyle w:val="TextBody"/>
        <w:bidi w:val="0"/>
        <w:spacing w:before="240" w:after="283"/>
        <w:jc w:val="both"/>
        <w:rPr>
          <w:rFonts w:ascii="Arial" w:hAnsi="Arial"/>
          <w:color w:val="000000"/>
          <w:sz w:val="20"/>
        </w:rPr>
      </w:pPr>
      <w:r>
        <w:rPr>
          <w:rFonts w:ascii="Arial" w:hAnsi="Arial"/>
          <w:color w:val="000000"/>
          <w:sz w:val="20"/>
        </w:rPr>
        <w:t>The Company determined that the Pfizer MTA represents a contract with a customer and consists of one combined performance obligation for the nonexclusive license and the promise to provide research and development services (“R&amp;D services”) to Pfizer, as the license and promise are not capable of being distinct in the context of the contract. The Pfizer MTA is for an initial period of two and one-half years or upon completion of the research if completed or terminated earlier. In addition, the Pfizer MTA contains two options that require the Company to provide further R&amp;D services to Pfizer (the “First Pfizer Option” and “Second Pfizer Option”, collectively the “Pfizer Options”). The Company evaluated the options to continue the R&amp;D services and concluded that these options did not represent material rights, as they were deemed to be for additional R&amp;D services that are at their standalone selling price.</w:t>
      </w:r>
    </w:p>
    <w:p>
      <w:pPr>
        <w:pStyle w:val="TextBody"/>
        <w:bidi w:val="0"/>
        <w:spacing w:before="240" w:after="283"/>
        <w:jc w:val="both"/>
        <w:rPr>
          <w:rFonts w:ascii="Arial" w:hAnsi="Arial"/>
          <w:color w:val="000000"/>
          <w:sz w:val="20"/>
        </w:rPr>
      </w:pPr>
      <w:r>
        <w:rPr>
          <w:rFonts w:ascii="Arial" w:hAnsi="Arial"/>
          <w:color w:val="000000"/>
          <w:sz w:val="20"/>
        </w:rPr>
        <w:t>In 2023, Pfizer paid the Company a nonrefundable upfront payment of $1.0 million in exchange for the nonexclusive license as well as R&amp;D services performed by the Company over the initial period. In addition, the Company is eligible to receive contingent payments of up to $985 thousand following the completion of additional R&amp;D services under the Pfizer MTA.</w:t>
      </w:r>
    </w:p>
    <w:p>
      <w:pPr>
        <w:pStyle w:val="TextBody"/>
        <w:bidi w:val="0"/>
        <w:spacing w:before="240" w:after="283"/>
        <w:jc w:val="both"/>
        <w:rPr>
          <w:rFonts w:ascii="Times New Roman" w:hAnsi="Times New Roman"/>
          <w:sz w:val="20"/>
        </w:rPr>
      </w:pPr>
      <w:r>
        <w:rPr>
          <w:rFonts w:ascii="Arial" w:hAnsi="Arial"/>
          <w:color w:val="000000"/>
          <w:sz w:val="20"/>
        </w:rPr>
        <w:t>The Company determined the transaction price at inception to be the upfront payment of $1.0 million, as the variable consideration for additional R&amp;D services was subject to constraint at contract inception. At each reporting period, the Company will reevaluate the variable consideration subject to constraint and, if necessary, will adjust its estimate of the overall transaction price.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December 2023, the First Pfizer Option was exercised, and the Company invoiced $0.4 million under the terms of the Pfizer MTA. As such, the Company updated the estimated transaction price to be $1.4 million as the uncertainty related to the First Pfizer Option was resolved. In December 2024, the Second Pfizer Option was exercised and the Company invoiced an additional $0.4 million under the terms of the Pfizer MTA. The Company updated the estimated transaction price to be $1.9 million as the uncertainty related to the Second Pfizer Option was resolved. The Company will recognize the associated revenue over the remaining performance period according to its measure of progress. The adjustments to revenue upon updating the estimated transaction price upon each option was de minimis.</w:t>
      </w:r>
    </w:p>
    <w:p>
      <w:pPr>
        <w:pStyle w:val="TextBody"/>
        <w:bidi w:val="0"/>
        <w:spacing w:before="240" w:after="283"/>
        <w:jc w:val="both"/>
        <w:rPr>
          <w:rFonts w:ascii="Arial" w:hAnsi="Arial"/>
          <w:color w:val="000000"/>
          <w:sz w:val="20"/>
        </w:rPr>
      </w:pPr>
      <w:r>
        <w:rPr>
          <w:rFonts w:ascii="Arial" w:hAnsi="Arial"/>
          <w:color w:val="000000"/>
          <w:sz w:val="20"/>
        </w:rPr>
        <w:t>Revenue from the Pfizer MTA is recognized over the estimated performance of the R&amp;D services using the time-elapsed input method which the Company believes best depicts the transfer of control to Pfizer. The Company recognized $0.5 million and $0.5 million of revenue associated with the Pfizer MTA during the years ended December 31, 2025 and 2024, respectively, which is included in collaboration revenue on the consolidated statements of operations and comprehensive loss. As of December 31, 2025, the Company had fulfilled all of its obligations under the Pfizer MTA and all revenue associated with the upfront payment and Pfizer Options had been recognized. As of December 31, 2024, the Company recorded deferred revenue of $0.4 million, within accrued expenses and other current liabilities on the consolidated balance sheet, which was recognized in full during the year ended December 31, 2025.</w:t>
      </w:r>
    </w:p>
    <w:p>
      <w:pPr>
        <w:pStyle w:val="TextBody"/>
        <w:bidi w:val="0"/>
        <w:spacing w:before="120" w:after="283"/>
        <w:jc w:val="center"/>
        <w:rPr>
          <w:rFonts w:ascii="Arial" w:hAnsi="Arial"/>
          <w:color w:val="000000"/>
          <w:sz w:val="20"/>
        </w:rPr>
      </w:pPr>
      <w:r>
        <w:rPr>
          <w:rFonts w:ascii="Arial" w:hAnsi="Arial"/>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Strategic Collaboration, Option, and License Agreement</w:t>
      </w:r>
    </w:p>
    <w:p>
      <w:pPr>
        <w:pStyle w:val="TextBody"/>
        <w:bidi w:val="0"/>
        <w:spacing w:before="240" w:after="120"/>
        <w:jc w:val="both"/>
        <w:rPr>
          <w:rFonts w:ascii="Times New Roman" w:hAnsi="Times New Roman"/>
          <w:sz w:val="20"/>
        </w:rPr>
      </w:pPr>
      <w:r>
        <w:rPr>
          <w:rFonts w:ascii="Arial" w:hAnsi="Arial"/>
          <w:color w:val="000000"/>
          <w:sz w:val="20"/>
        </w:rPr>
        <w:t>On March 29, 2024, the Company entered into a strategic collaboration, option and license agreement (the “J&amp;J Agreement”) with Janssen Pharmaceutica NV, a Johnson &amp; Johnson company (“J&amp;J”) to jointly discover and optimize small-molecule medicines against select therapeutic targets using the Company’s artificial intelligence and machine learning capability.</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Arial" w:hAnsi="Arial"/>
          <w:color w:val="000000"/>
          <w:sz w:val="20"/>
        </w:rPr>
        <w:t>Each party granted to the other party a non-exclusive, royalty-free, worldwide license (the “Research License”) to certain intellectual property in connection with the other party’s research activities under the J&amp;J Agreement (the “Initial R&amp;D Services”). The Company also granted J&amp;J an option to obtain an exclusive commercial license with respect to each program within a specified time period. On a program-by-program basis, if J&amp;J elects to exercise such option or if J&amp;J initiates certain research activities for a program (without exercising such option), the Company would be entitled to a payment in the mid-single digit millions of dollars. J&amp;J may elect up to four replacement targets prior to the earlier of the end of the research term or exercise of the option to obtain a commercial license.</w:t>
      </w:r>
      <w:r>
        <w:rPr>
          <w:rFonts w:ascii="Times New Roman" w:hAnsi="Times New Roman"/>
          <w:color w:val="000000"/>
          <w:sz w:val="20"/>
        </w:rPr>
        <w:t xml:space="preserve"> </w:t>
      </w:r>
    </w:p>
    <w:p>
      <w:pPr>
        <w:pStyle w:val="TextBody"/>
        <w:bidi w:val="0"/>
        <w:spacing w:before="120" w:after="120"/>
        <w:jc w:val="both"/>
        <w:rPr>
          <w:rFonts w:ascii="Arial" w:hAnsi="Arial"/>
          <w:color w:val="000000"/>
          <w:sz w:val="20"/>
        </w:rPr>
      </w:pPr>
      <w:r>
        <w:rPr>
          <w:rFonts w:ascii="Arial" w:hAnsi="Arial"/>
          <w:color w:val="000000"/>
          <w:sz w:val="20"/>
        </w:rPr>
        <w:t>J&amp;J paid the Company a nonrefundable upfront payment of $6.5 million in connection with the entry into the J&amp;J Agreement and the Company is also eligible to receive reimbursement for additional R&amp;D services conducted incremental to the initial R&amp;D services. The Company will be eligible to receive, subject to the achievement of certain research, development, commercialization approval and sales milestones and the option exercise described below, additional milestone payments in an aggregate amount of approximately $839.0 million from J&amp;J. The Company will also be eligible to receive low to mid-single digit percentage in tiered royalties based on the aggregate net sales of certain products that arise from the J&amp;J Agreement, if approved (subject to certain deductions). The applicable royalties will be payable to the Company in a given country commencing on the date of first commercial sale of a royalty product in such country and ending upon the latest of (i) the date of expiration of the last-to-expire valid claim included in certain intellectual property, (ii) a designated period of time following the first commercial sale in such country and (iii) the date of expiration of all regulatory exclusivity for the applicable product in such country.</w:t>
      </w:r>
    </w:p>
    <w:p>
      <w:pPr>
        <w:pStyle w:val="TextBody"/>
        <w:bidi w:val="0"/>
        <w:spacing w:before="120" w:after="120"/>
        <w:jc w:val="both"/>
        <w:rPr>
          <w:rFonts w:ascii="Arial" w:hAnsi="Arial"/>
          <w:color w:val="000000"/>
          <w:sz w:val="20"/>
        </w:rPr>
      </w:pPr>
      <w:r>
        <w:rPr>
          <w:rFonts w:ascii="Arial" w:hAnsi="Arial"/>
          <w:color w:val="000000"/>
          <w:sz w:val="20"/>
        </w:rPr>
        <w:t>The J&amp;J Agreement is managed by a joint research committee (the “JRC”), in which both parties are represented equally. The JRC is tasked with the oversight and decision-making in relation to the activities to be conducted by the parties to the J&amp;J Agreement. The JRC also oversees the progress under the development plan and budget.</w:t>
      </w:r>
    </w:p>
    <w:p>
      <w:pPr>
        <w:pStyle w:val="TextBody"/>
        <w:bidi w:val="0"/>
        <w:spacing w:before="120" w:after="120"/>
        <w:jc w:val="both"/>
        <w:rPr>
          <w:rFonts w:ascii="Times New Roman" w:hAnsi="Times New Roman"/>
          <w:sz w:val="20"/>
        </w:rPr>
      </w:pPr>
      <w:r>
        <w:rPr>
          <w:rFonts w:ascii="Arial" w:hAnsi="Arial"/>
          <w:color w:val="000000"/>
          <w:sz w:val="20"/>
        </w:rPr>
        <w:t xml:space="preserve">The Company determined that the J&amp;J Agreement represents a contract with a customer under ASC 606, </w:t>
      </w:r>
      <w:r>
        <w:rPr>
          <w:rFonts w:ascii="Arial" w:hAnsi="Arial"/>
          <w:i/>
          <w:color w:val="000000"/>
          <w:sz w:val="20"/>
        </w:rPr>
        <w:t>Revenue from Contracts with Customers</w:t>
      </w:r>
      <w:r>
        <w:rPr>
          <w:rFonts w:ascii="Times New Roman" w:hAnsi="Times New Roman"/>
          <w:color w:val="000000"/>
          <w:sz w:val="20"/>
        </w:rPr>
        <w:t xml:space="preserve"> </w:t>
      </w:r>
      <w:r>
        <w:rPr>
          <w:rFonts w:ascii="Arial" w:hAnsi="Arial"/>
          <w:color w:val="000000"/>
          <w:sz w:val="20"/>
        </w:rPr>
        <w:t>and consists of the following two distinct performance obligations at contract inception as determined under ASC 606: (i) the grant of the research licenses, the transfer of the research materials, project governance through the JRC and the promise to provide certain research services which are combined as a single performance obligation (the “First Performance Obligation”) and (ii) the grant of the research licenses, the transfer of research materials, project governance through the JRC and the promise to provide certain other research services which are combined as a single performance obligation (the “Second Performance Obligation”). For both performance obligations, the grant of the research licenses, project governance through the JRC, transfer of the research materials and providing of research services were combined as a single performance obligation as the obligations were determined to be highly interdependent and are not capable of being distinct within the context of the contract. The research services provided under the First Performance Obligation and the Second Performance Obligation are not highly interdependent and are capable of being distinct within the context of the contract. The research services to be provided under the First Performance Obligation and Second Performance Obligation are expected to be performed over a period of twelve months and ten months, respectively, from the contract execution date. The Company evaluated the option to provide the exclusive commercial license and concluded that the option does not represent a material right, as the option exercise fee is not offered at a significant and incremental discount. The Company also evaluated the right to the election of a replacement target and concluded that the right does not represent a material right, as the replacement target does not provide J&amp;J with a significant and incremental discount.</w:t>
      </w:r>
    </w:p>
    <w:p>
      <w:pPr>
        <w:pStyle w:val="TextBody"/>
        <w:bidi w:val="0"/>
        <w:spacing w:before="120" w:after="283"/>
        <w:jc w:val="both"/>
        <w:rPr>
          <w:rFonts w:ascii="Arial" w:hAnsi="Arial"/>
          <w:color w:val="000000"/>
          <w:sz w:val="20"/>
        </w:rPr>
      </w:pPr>
      <w:r>
        <w:rPr>
          <w:rFonts w:ascii="Arial" w:hAnsi="Arial"/>
          <w:color w:val="000000"/>
          <w:sz w:val="20"/>
        </w:rPr>
        <w:t>The Company determined the transaction price at inception to be the up-front payment of $6.5 million, as the variable consideration for research reimbursement on additional R&amp;D services and development milestones were subject to constraint at contract inception. Research reimbursement on additional R&amp;D services will be included in the transaction price as related costs are incurred. Development milestones will be included in the transaction price when achievement of the applicable milestone is considered probable. At each reporting period, the Company will reevaluate the variable consideration subject to constraint and, if necessary, will adjust its estimate of the overall transaction price. At contract inception, the Company allocated the transaction price of $6.5 million between the two performance obligations based on their relative standalone selling price, using an expected cost plus margin approach, resulting in $3.3 million being allocated to the First Performance Obligation and $3.2 million being allocated to the Second Performance Obligation.</w:t>
      </w:r>
    </w:p>
    <w:p>
      <w:pPr>
        <w:pStyle w:val="TextBody"/>
        <w:bidi w:val="0"/>
        <w:spacing w:before="120" w:after="283"/>
        <w:jc w:val="center"/>
        <w:rPr>
          <w:rFonts w:ascii="Arial" w:hAnsi="Arial"/>
          <w:color w:val="000000"/>
          <w:sz w:val="20"/>
        </w:rPr>
      </w:pPr>
      <w:r>
        <w:rPr>
          <w:rFonts w:ascii="Arial" w:hAnsi="Arial"/>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Revenue from the J&amp;J Agreement is recognized over the estimated performance of the initial research and development services using the cost incurred input method, which the Company believes best depicts the transfer of control to J&amp;J. The Company recognized $2.5 million of revenue associated with the J&amp;J Agreement during the year ended December 31, 2025, of which $1.9 million was related to the First Performance Obligation and $0.6 million was related to the Second Performance Obligation, and which is recorded as collaboration revenue on the consolidated statements of operations and comprehensive loss. The Company recognized $4.0 million of revenue associated with the J&amp;J Agreement during the year ended December 31, 2024, of which $1.3 million is related to the First Performance Obligation and $2.7 million is related to the Second Performance Obligation, and is recorded as collaboration revenue on the consolidated statements of operations and comprehensive loss.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December 31, 2025, the Company has no deferred revenue related to the J&amp;J Agreement, as the entire amount of the transaction price allocated to the First Performance Obligation and Second Performance Obligation have been recognized in full. As of December 31, 2024, the Company has recorded $2.5 million of deferred revenue within accrued expenses and other current liabilities on the consolidated balance sheet, of which $1.9 million is related to the First Performance Obligation and $0.6 million is related to the Second Performance Obligation. To date there have been no development, commercial, and sales-based milestone payments or royalties based on sales achieved under the J&amp;J Agreement.</w:t>
      </w:r>
    </w:p>
    <w:p>
      <w:pPr>
        <w:pStyle w:val="TextBody"/>
        <w:bidi w:val="0"/>
        <w:spacing w:before="240" w:after="283"/>
        <w:jc w:val="both"/>
        <w:rPr>
          <w:rFonts w:ascii="Arial" w:hAnsi="Arial"/>
          <w:i/>
          <w:color w:val="000000"/>
          <w:sz w:val="20"/>
        </w:rPr>
      </w:pPr>
      <w:r>
        <w:rPr>
          <w:rFonts w:ascii="Arial" w:hAnsi="Arial"/>
          <w:i/>
          <w:color w:val="000000"/>
          <w:sz w:val="20"/>
        </w:rPr>
        <w:t>Deferred Revenue and Accounts Receivable</w:t>
      </w:r>
    </w:p>
    <w:p>
      <w:pPr>
        <w:pStyle w:val="TextBody"/>
        <w:bidi w:val="0"/>
        <w:spacing w:before="240" w:after="283"/>
        <w:jc w:val="both"/>
        <w:rPr>
          <w:rFonts w:ascii="Arial" w:hAnsi="Arial"/>
          <w:color w:val="000000"/>
          <w:sz w:val="20"/>
        </w:rPr>
      </w:pPr>
      <w:r>
        <w:rPr>
          <w:rFonts w:ascii="Arial" w:hAnsi="Arial"/>
          <w:color w:val="000000"/>
          <w:sz w:val="20"/>
        </w:rPr>
        <w:t>Deferred revenue associated with collaboration and license agreements is recorded within accrued expenses and other current liabilities on the consolidated balance sheets (see Note 8). The following table summarizes the changes in deferred revenue:</w:t>
      </w:r>
    </w:p>
    <w:p>
      <w:pPr>
        <w:pStyle w:val="TextBody"/>
        <w:bidi w:val="0"/>
        <w:jc w:val="both"/>
        <w:rPr/>
      </w:pPr>
      <w:r>
        <w:rPr/>
        <w:t> </w:t>
      </w:r>
    </w:p>
    <w:tbl>
      <w:tblPr>
        <w:tblW w:w="4571" w:type="dxa"/>
        <w:jc w:val="left"/>
        <w:tblInd w:w="0" w:type="dxa"/>
        <w:tblLayout w:type="fixed"/>
        <w:tblCellMar>
          <w:top w:w="28" w:type="dxa"/>
          <w:left w:w="28" w:type="dxa"/>
          <w:bottom w:w="28" w:type="dxa"/>
          <w:right w:w="28" w:type="dxa"/>
        </w:tblCellMar>
      </w:tblPr>
      <w:tblGrid>
        <w:gridCol w:w="1711"/>
        <w:gridCol w:w="146"/>
        <w:gridCol w:w="260"/>
        <w:gridCol w:w="799"/>
        <w:gridCol w:w="205"/>
        <w:gridCol w:w="180"/>
        <w:gridCol w:w="260"/>
        <w:gridCol w:w="799"/>
        <w:gridCol w:w="2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2,877</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Deductions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(2,976</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following table summarizes the change in accounts receivable:</w:t>
      </w:r>
    </w:p>
    <w:p>
      <w:pPr>
        <w:pStyle w:val="TextBody"/>
        <w:bidi w:val="0"/>
        <w:jc w:val="both"/>
        <w:rPr/>
      </w:pPr>
      <w:r>
        <w:rPr/>
        <w:t> </w:t>
      </w:r>
    </w:p>
    <w:tbl>
      <w:tblPr>
        <w:tblW w:w="4571" w:type="dxa"/>
        <w:jc w:val="left"/>
        <w:tblInd w:w="0" w:type="dxa"/>
        <w:tblLayout w:type="fixed"/>
        <w:tblCellMar>
          <w:top w:w="28" w:type="dxa"/>
          <w:left w:w="28" w:type="dxa"/>
          <w:bottom w:w="28" w:type="dxa"/>
          <w:right w:w="28" w:type="dxa"/>
        </w:tblCellMar>
      </w:tblPr>
      <w:tblGrid>
        <w:gridCol w:w="1711"/>
        <w:gridCol w:w="146"/>
        <w:gridCol w:w="284"/>
        <w:gridCol w:w="647"/>
        <w:gridCol w:w="223"/>
        <w:gridCol w:w="196"/>
        <w:gridCol w:w="284"/>
        <w:gridCol w:w="869"/>
        <w:gridCol w:w="2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Deductions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Company recognized the following revenues from amounts included in deferred revenue as of the beginning of the period:</w:t>
      </w:r>
    </w:p>
    <w:p>
      <w:pPr>
        <w:pStyle w:val="TextBody"/>
        <w:bidi w:val="0"/>
        <w:jc w:val="both"/>
        <w:rPr/>
      </w:pPr>
      <w:r>
        <w:rPr/>
        <w:t> </w:t>
      </w:r>
    </w:p>
    <w:tbl>
      <w:tblPr>
        <w:tblW w:w="9097" w:type="dxa"/>
        <w:jc w:val="left"/>
        <w:tblInd w:w="0" w:type="dxa"/>
        <w:tblLayout w:type="fixed"/>
        <w:tblCellMar>
          <w:top w:w="28" w:type="dxa"/>
          <w:left w:w="28" w:type="dxa"/>
          <w:bottom w:w="28" w:type="dxa"/>
          <w:right w:w="28" w:type="dxa"/>
        </w:tblCellMar>
      </w:tblPr>
      <w:tblGrid>
        <w:gridCol w:w="6256"/>
        <w:gridCol w:w="146"/>
        <w:gridCol w:w="307"/>
        <w:gridCol w:w="853"/>
        <w:gridCol w:w="212"/>
        <w:gridCol w:w="212"/>
        <w:gridCol w:w="307"/>
        <w:gridCol w:w="613"/>
        <w:gridCol w:w="19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Amounts included in deferred revenue as of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i/>
          <w:color w:val="000000"/>
          <w:sz w:val="20"/>
        </w:rPr>
      </w:pPr>
      <w:r>
        <w:rPr>
          <w:rFonts w:ascii="Arial" w:hAnsi="Arial"/>
          <w:i/>
          <w:color w:val="000000"/>
          <w:sz w:val="20"/>
        </w:rPr>
        <w:t>Terray Collaboration Agreement</w:t>
      </w:r>
    </w:p>
    <w:p>
      <w:pPr>
        <w:pStyle w:val="TextBody"/>
        <w:bidi w:val="0"/>
        <w:spacing w:before="240" w:after="283"/>
        <w:jc w:val="both"/>
        <w:rPr>
          <w:rFonts w:ascii="Times New Roman" w:hAnsi="Times New Roman"/>
          <w:sz w:val="20"/>
        </w:rPr>
      </w:pPr>
      <w:r>
        <w:rPr>
          <w:rFonts w:ascii="Arial" w:hAnsi="Arial"/>
          <w:color w:val="000000"/>
          <w:sz w:val="20"/>
        </w:rPr>
        <w:t>On September 11, 2024, the Company entered into a collaboration and license agreement with Terray Therapeutics, Inc. (the “Terray Agreement”) in which the Company and Terray granted to each other certain royalty-free, fully paid-up, co-exclusive licenses in order to collaborate to discover, develop, and commercialize or out-license products directed to interferon regulatory factor 5 (“IRF5”) under a profit and loss share arrangement. The activities performed under the Terray Agreement are governed by a joint steering committee, made up of two employees designated by each party.</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No upfront payments were made upon the execution of the Terray Agreement in consideration for the grant of the licenses and there have not been any payments made or received from the profit and loss share arrangement under the Terray Agreement as of December 31, 2025.</w:t>
      </w:r>
    </w:p>
    <w:p>
      <w:pPr>
        <w:pStyle w:val="TextBody"/>
        <w:bidi w:val="0"/>
        <w:spacing w:before="240" w:after="283"/>
        <w:jc w:val="both"/>
        <w:rPr>
          <w:rFonts w:ascii="Arial" w:hAnsi="Arial"/>
          <w:b/>
          <w:color w:val="000000"/>
          <w:sz w:val="20"/>
        </w:rPr>
      </w:pPr>
      <w:r>
        <w:rPr>
          <w:rFonts w:ascii="Arial" w:hAnsi="Arial"/>
          <w:b/>
          <w:color w:val="000000"/>
          <w:sz w:val="20"/>
        </w:rPr>
        <w:t>5.</w:t>
      </w:r>
    </w:p>
    <w:p>
      <w:pPr>
        <w:pStyle w:val="TextBody"/>
        <w:bidi w:val="0"/>
        <w:spacing w:before="240" w:after="283"/>
        <w:jc w:val="both"/>
        <w:rPr>
          <w:rFonts w:ascii="Arial" w:hAnsi="Arial"/>
          <w:b/>
          <w:color w:val="000000"/>
          <w:sz w:val="20"/>
        </w:rPr>
      </w:pPr>
      <w:r>
        <w:rPr>
          <w:rFonts w:ascii="Arial" w:hAnsi="Arial"/>
          <w:b/>
          <w:color w:val="000000"/>
          <w:sz w:val="20"/>
        </w:rPr>
        <w:t>Fair Value Measurements</w:t>
      </w:r>
    </w:p>
    <w:p>
      <w:pPr>
        <w:pStyle w:val="TextBody"/>
        <w:bidi w:val="0"/>
        <w:spacing w:before="240" w:after="283"/>
        <w:jc w:val="both"/>
        <w:rPr>
          <w:rFonts w:ascii="Arial" w:hAnsi="Arial"/>
          <w:color w:val="000000"/>
          <w:sz w:val="20"/>
        </w:rPr>
      </w:pPr>
      <w:r>
        <w:rPr>
          <w:rFonts w:ascii="Arial" w:hAnsi="Arial"/>
          <w:color w:val="000000"/>
          <w:sz w:val="20"/>
        </w:rPr>
        <w:t>The following table sets forth by level, within the fair value hierarchy, the financial assets and liabilities carried at fair value on a recurring basis: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48"/>
        <w:gridCol w:w="146"/>
        <w:gridCol w:w="211"/>
        <w:gridCol w:w="796"/>
        <w:gridCol w:w="146"/>
        <w:gridCol w:w="146"/>
        <w:gridCol w:w="495"/>
        <w:gridCol w:w="1621"/>
        <w:gridCol w:w="146"/>
        <w:gridCol w:w="146"/>
        <w:gridCol w:w="398"/>
        <w:gridCol w:w="1510"/>
        <w:gridCol w:w="146"/>
        <w:gridCol w:w="146"/>
        <w:gridCol w:w="531"/>
        <w:gridCol w:w="1480"/>
        <w:gridCol w:w="193"/>
      </w:tblGrid>
      <w:tr>
        <w:trPr/>
        <w:tc>
          <w:tcPr>
            <w:tcW w:w="1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Quoted prices in active markets for identical assets (Level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 other observable inputs (Level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 unobservable inputs (Level 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bills and 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6,133</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31"/>
        <w:gridCol w:w="146"/>
        <w:gridCol w:w="211"/>
        <w:gridCol w:w="691"/>
        <w:gridCol w:w="146"/>
        <w:gridCol w:w="146"/>
        <w:gridCol w:w="312"/>
        <w:gridCol w:w="1024"/>
        <w:gridCol w:w="146"/>
        <w:gridCol w:w="146"/>
        <w:gridCol w:w="339"/>
        <w:gridCol w:w="1115"/>
        <w:gridCol w:w="146"/>
        <w:gridCol w:w="146"/>
        <w:gridCol w:w="622"/>
        <w:gridCol w:w="2044"/>
        <w:gridCol w:w="194"/>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 xml:space="preserve">Quoted prices in </w:t>
              <w:br/>
              <w:t>active markets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 other</w:t>
              <w:br/>
              <w:t>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 unobservable inputs (Level 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Treasury bills and 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10,179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10,224</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There were no changes in valuation techniques or transfers between Levels 1, 2 or 3 for the periods presented.</w:t>
      </w:r>
    </w:p>
    <w:p>
      <w:pPr>
        <w:pStyle w:val="TextBody"/>
        <w:bidi w:val="0"/>
        <w:spacing w:before="240" w:after="283"/>
        <w:jc w:val="both"/>
        <w:rPr>
          <w:rFonts w:ascii="Arial" w:hAnsi="Arial"/>
          <w:color w:val="000000"/>
          <w:sz w:val="20"/>
        </w:rPr>
      </w:pPr>
      <w:r>
        <w:rPr>
          <w:rFonts w:ascii="Arial" w:hAnsi="Arial"/>
          <w:color w:val="000000"/>
          <w:sz w:val="20"/>
        </w:rPr>
        <w:t>Marketable securities classified as Level 2 within the valuation hierarchy generally consist of U.S. Treasury bills and U.S. Treasury notes. The Company estimates the fair values of marketable securities by taking into consideration valuations obtained from third-party pricing sources.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Company’s other financial instruments not carried at fair value consist primarily of cash and cash equivalents (except investments in money market funds, as disclosed above), accounts payable and accrued expenses and other current liabilities, for which fair values approximate their carrying amounts, due to the short-term nature of these instruments.</w:t>
      </w:r>
    </w:p>
    <w:p>
      <w:pPr>
        <w:pStyle w:val="TextBody"/>
        <w:bidi w:val="0"/>
        <w:spacing w:before="120" w:after="283"/>
        <w:jc w:val="center"/>
        <w:rPr>
          <w:rFonts w:ascii="Arial" w:hAnsi="Arial"/>
          <w:color w:val="000000"/>
          <w:sz w:val="20"/>
        </w:rPr>
      </w:pPr>
      <w:r>
        <w:rPr>
          <w:rFonts w:ascii="Arial" w:hAnsi="Arial"/>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240" w:after="283"/>
        <w:jc w:val="both"/>
        <w:rPr>
          <w:rFonts w:ascii="Arial" w:hAnsi="Arial"/>
          <w:i/>
          <w:color w:val="000000"/>
          <w:sz w:val="20"/>
        </w:rPr>
      </w:pPr>
      <w:r>
        <w:rPr>
          <w:rFonts w:ascii="Arial" w:hAnsi="Arial"/>
          <w:i/>
          <w:color w:val="000000"/>
          <w:sz w:val="20"/>
        </w:rPr>
        <w:t>Valuation of Contingent Consideration</w:t>
      </w:r>
    </w:p>
    <w:p>
      <w:pPr>
        <w:pStyle w:val="TextBody"/>
        <w:bidi w:val="0"/>
        <w:spacing w:before="240" w:after="283"/>
        <w:jc w:val="both"/>
        <w:rPr>
          <w:rFonts w:ascii="Times New Roman" w:hAnsi="Times New Roman"/>
          <w:sz w:val="20"/>
        </w:rPr>
      </w:pPr>
      <w:r>
        <w:rPr>
          <w:rFonts w:ascii="Arial" w:hAnsi="Arial"/>
          <w:color w:val="000000"/>
          <w:sz w:val="20"/>
        </w:rPr>
        <w:t>The contingent consideration in the below tables relates to the estimated fair value of future payments that may be made by the Company to the members of IFM Discovery, LLC (“IFM”) and Rahko as described below. The fair value of the contingent consideration was determined based on significant inputs not observable in the market, which represent Level 3 measurements.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IFM</w:t>
      </w:r>
    </w:p>
    <w:p>
      <w:pPr>
        <w:pStyle w:val="TextBody"/>
        <w:bidi w:val="0"/>
        <w:spacing w:before="240" w:after="283"/>
        <w:jc w:val="both"/>
        <w:rPr>
          <w:rFonts w:ascii="Arial" w:hAnsi="Arial"/>
          <w:color w:val="000000"/>
          <w:sz w:val="20"/>
        </w:rPr>
      </w:pPr>
      <w:r>
        <w:rPr>
          <w:rFonts w:ascii="Arial" w:hAnsi="Arial"/>
          <w:color w:val="000000"/>
          <w:sz w:val="20"/>
        </w:rPr>
        <w:t>In May 2022, the Company acquired all of the membership interests in IFM. The total purchase consideration was $3.1 million, which consisted of the following: (i) 81,240 shares of non-voting common stock at closing with the estimated fair value of $0.2 million, (ii) cash consideration of $0.9 million at closing, (iii) a deferred payment of $0.9 million, which was paid in June 2022 and (iv) contingent consideration in cash of up to $30.0 million, payable once for each of the NLR family pyrin domain containing 1 (“NLRP1”) and melanoma differentiation-associated protein 5 (“MDA5”) programs upon the first achievement of certain development, commercial, regulatory and sales milestones related to each such program. The estimated fair value of the contingent consideration was determined to be $1.1 million on the acquisition date. The contingent consideration is remeasured at each balance sheet date.</w:t>
      </w:r>
    </w:p>
    <w:p>
      <w:pPr>
        <w:pStyle w:val="TextBody"/>
        <w:bidi w:val="0"/>
        <w:spacing w:before="240" w:after="283"/>
        <w:jc w:val="both"/>
        <w:rPr>
          <w:rFonts w:ascii="Arial" w:hAnsi="Arial"/>
          <w:color w:val="000000"/>
          <w:sz w:val="20"/>
        </w:rPr>
      </w:pPr>
      <w:r>
        <w:rPr>
          <w:rFonts w:ascii="Arial" w:hAnsi="Arial"/>
          <w:color w:val="000000"/>
          <w:sz w:val="20"/>
        </w:rPr>
        <w:t>The fair value of the contingent consideration related to development, commercial, regulatory and sales milestones was based on the discounted cash flow valuation technique. The technique considered the following assumptions: (i) the probability and timing of achieving the specified milestones as of the valuation date and (ii) the market-based discount rates, with the most significant assumptions being the timing of the projected milestones and the probability of the milestones being achieved. The fair value of the contingent consideration could change in future periods depending on the prospects for the Company’s MDA5 and NLRP1 drug discovery programs acquired as part of the IFM transaction achieving development, commercial, regulatory and sales milestones. The estimated fair value of the contingent consideration as of December 31, 2025 and 2024, related to the IFM acquisition, was $1.4 million and $1.7 million, respectively.</w:t>
      </w:r>
    </w:p>
    <w:p>
      <w:pPr>
        <w:pStyle w:val="TextBody"/>
        <w:bidi w:val="0"/>
        <w:spacing w:before="240" w:after="283"/>
        <w:jc w:val="both"/>
        <w:rPr>
          <w:rFonts w:ascii="Arial" w:hAnsi="Arial"/>
          <w:color w:val="000000"/>
          <w:sz w:val="20"/>
        </w:rPr>
      </w:pPr>
      <w:r>
        <w:rPr>
          <w:rFonts w:ascii="Arial" w:hAnsi="Arial"/>
          <w:color w:val="000000"/>
          <w:sz w:val="20"/>
        </w:rPr>
        <w:t>The following table sets forth the significant inputs to the discounted cash flow technique used to value contingent consideration for IFM as of December 31, 2025 and 2024:</w:t>
      </w:r>
    </w:p>
    <w:p>
      <w:pPr>
        <w:pStyle w:val="TextBody"/>
        <w:bidi w:val="0"/>
        <w:jc w:val="both"/>
        <w:rPr/>
      </w:pPr>
      <w:r>
        <w:rPr/>
        <w:t> </w:t>
      </w:r>
    </w:p>
    <w:tbl>
      <w:tblPr>
        <w:tblW w:w="9490" w:type="dxa"/>
        <w:jc w:val="left"/>
        <w:tblInd w:w="0" w:type="dxa"/>
        <w:tblLayout w:type="fixed"/>
        <w:tblCellMar>
          <w:top w:w="28" w:type="dxa"/>
          <w:left w:w="28" w:type="dxa"/>
          <w:bottom w:w="28" w:type="dxa"/>
          <w:right w:w="28" w:type="dxa"/>
        </w:tblCellMar>
      </w:tblPr>
      <w:tblGrid>
        <w:gridCol w:w="4891"/>
        <w:gridCol w:w="146"/>
        <w:gridCol w:w="429"/>
        <w:gridCol w:w="1416"/>
        <w:gridCol w:w="286"/>
        <w:gridCol w:w="146"/>
        <w:gridCol w:w="429"/>
        <w:gridCol w:w="1416"/>
        <w:gridCol w:w="33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Significant Unobservable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Projected milestone timing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 to 11.75 Years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 to 11.25 Years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Probability of milestone achievement - NLRP1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 - 35.0%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 - 35.0%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Probability of milestone achievement - MDA5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 - 35.0%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 - 35.0%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Significant increases or decreases in these inputs could result in a significantly lower or higher fair value measurement of the contingent consideration liability.</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Rahko</w:t>
      </w:r>
    </w:p>
    <w:p>
      <w:pPr>
        <w:pStyle w:val="TextBody"/>
        <w:bidi w:val="0"/>
        <w:spacing w:before="240" w:after="283"/>
        <w:jc w:val="both"/>
        <w:rPr>
          <w:rFonts w:ascii="Times New Roman" w:hAnsi="Times New Roman"/>
          <w:sz w:val="20"/>
        </w:rPr>
      </w:pPr>
      <w:r>
        <w:rPr>
          <w:rFonts w:ascii="Arial" w:hAnsi="Arial"/>
          <w:color w:val="000000"/>
          <w:sz w:val="20"/>
        </w:rPr>
        <w:t>The Rahko acquisition included additional consideration payable of up to $30.0 million to the previous shareholders of Rahko upon the achievement of certain qualifying events, including (a) following the Company’s completion of an initial public offering (“IPO”) or public listing of the Company’s shares on certain designated exchanges, upon the first occurrence of the total market capitalization of the Company being equal to or in excess of $1.5 billion, or (b) an exit event such as (i) a transaction or transactions by which more than 50% of the combined voting power of then outstanding voting securities of the Company are acquired, (ii) consolidation or merger of the Company into another entity, or (iii) sale or disposition of substantially all of the assets of the Company, in each case for which the potential proceeds are equal to or in excess of $1.5 billion. The fair value of the contingent consideration was determined based on a Monte-Carlo simulation model that utilizes a geometric Brownian motion to estimate the equity value of the Company at expected qualifying event dates. The Company applied risk-free rate, volatility and discount rate assumptions to simulate the expected equity value of the Company as of the expected qualifying event dates. The risk-free rate was based upon the interest rates corresponding to the time period for U.S. Treasury notes published by the U.S. Federal Reserve. The volatility was estimated based on equity volatility indications from the guideline public companies and the capital structure of the Company.</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contingent consideration as of the date when the Company has met the certain market capitalization threshold following a certain qualifying event was discounted to the measurement date using a discount rate that is based on all-in market yields for publicly traded debt securities of comparable credit quality to the contingent consideration payments. The discounted amount of contingent consideration and the equity values are subject to the Monte-Carlo simulations for 100,000 trials to derive the fair value of the contingent consideration. The estimated contingent consideration liability as of December 31, 2025 and 2024, related to the Rahko acquisition was $4.7 million and $8.5 million, respectively.</w:t>
      </w:r>
    </w:p>
    <w:p>
      <w:pPr>
        <w:pStyle w:val="TextBody"/>
        <w:bidi w:val="0"/>
        <w:spacing w:before="240" w:after="283"/>
        <w:jc w:val="both"/>
        <w:rPr>
          <w:rFonts w:ascii="Arial" w:hAnsi="Arial"/>
          <w:color w:val="000000"/>
          <w:sz w:val="20"/>
        </w:rPr>
      </w:pPr>
      <w:r>
        <w:rPr>
          <w:rFonts w:ascii="Arial" w:hAnsi="Arial"/>
          <w:color w:val="000000"/>
          <w:sz w:val="20"/>
        </w:rPr>
        <w:t>The following table sets forth the probability of completing an IPO (measured as a standalone metric separate from the other necessary triggers for the contingent consideration related to the Rahko acquisition), which was a significant input to the Monte-Carlo simulation used to value such contingent consideration: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52"/>
        <w:gridCol w:w="146"/>
        <w:gridCol w:w="2072"/>
        <w:gridCol w:w="146"/>
        <w:gridCol w:w="1369"/>
        <w:gridCol w:w="146"/>
        <w:gridCol w:w="3042"/>
        <w:gridCol w:w="146"/>
        <w:gridCol w:w="1486"/>
      </w:tblGrid>
      <w:tr>
        <w:trPr/>
        <w:tc>
          <w:tcPr>
            <w:tcW w:w="1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As of December 31, 2025</w:t>
            </w:r>
          </w:p>
        </w:tc>
      </w:tr>
      <w:tr>
        <w:trPr/>
        <w:tc>
          <w:tcPr>
            <w:tcW w:w="1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Expected IPO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Probability of IPO Event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Discount Rates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Risk Free Rate Applied to Equity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Equity Volatility</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15.3% - 16.1%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96.2%</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December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15.3% - 16.0%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96.4%</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February 28,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15.3% - 16.0%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96.5%</w:t>
            </w:r>
          </w:p>
        </w:tc>
      </w:tr>
      <w:tr>
        <w:trPr/>
        <w:tc>
          <w:tcPr>
            <w:tcW w:w="16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April 30,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15.3% - 16.0%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96.5%</w:t>
            </w:r>
          </w:p>
        </w:tc>
      </w:tr>
      <w:tr>
        <w:trPr/>
        <w:tc>
          <w:tcPr>
            <w:tcW w:w="16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Varies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Varies</w:t>
            </w:r>
          </w:p>
        </w:tc>
      </w:tr>
    </w:tbl>
    <w:p>
      <w:pPr>
        <w:pStyle w:val="Heading2"/>
        <w:bidi w:val="0"/>
        <w:jc w:val="both"/>
        <w:rPr/>
      </w:pPr>
      <w:r>
        <w:rPr/>
        <w:t> </w:t>
      </w:r>
    </w:p>
    <w:p>
      <w:pPr>
        <w:pStyle w:val="Heading2"/>
        <w:bidi w:val="0"/>
        <w:jc w:val="both"/>
        <w:rPr>
          <w:rFonts w:ascii="Arial" w:hAnsi="Arial"/>
          <w:b w:val="false"/>
          <w:color w:val="000000"/>
          <w:sz w:val="20"/>
        </w:rPr>
      </w:pPr>
      <w:r>
        <w:rPr>
          <w:rFonts w:ascii="Arial" w:hAnsi="Arial"/>
          <w:b w:val="false"/>
          <w:color w:val="000000"/>
          <w:sz w:val="20"/>
        </w:rPr>
        <w:t>*Reflects the probability weighted expected term of 1.83 years for the remaining scenarios between August 2027 and December 2027 with each scenario weighted 14.2% overall for an aggregate probability weight of 42.6%.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46"/>
        <w:gridCol w:w="146"/>
        <w:gridCol w:w="2073"/>
        <w:gridCol w:w="146"/>
        <w:gridCol w:w="1370"/>
        <w:gridCol w:w="146"/>
        <w:gridCol w:w="3045"/>
        <w:gridCol w:w="146"/>
        <w:gridCol w:w="1487"/>
      </w:tblGrid>
      <w:tr>
        <w:trPr/>
        <w:tc>
          <w:tcPr>
            <w:tcW w:w="1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As of December 31, 2024</w:t>
            </w:r>
          </w:p>
        </w:tc>
      </w:tr>
      <w:tr>
        <w:trPr/>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Expected IPO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Probability of IPO Event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Discount Rates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Risk Free Rate Applied to Equity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Equity Volatility</w:t>
            </w:r>
          </w:p>
        </w:tc>
      </w:tr>
      <w:tr>
        <w:trPr/>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February 15,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89.3%</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April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89.5%</w:t>
            </w:r>
          </w:p>
        </w:tc>
      </w:tr>
      <w:tr>
        <w:trPr/>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February 15,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88.9%</w:t>
            </w:r>
          </w:p>
        </w:tc>
      </w:tr>
      <w:tr>
        <w:trPr/>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August 15,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89.6%</w:t>
            </w:r>
          </w:p>
        </w:tc>
      </w:tr>
      <w:tr>
        <w:trPr/>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0"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5"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Varies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Varies</w:t>
            </w:r>
          </w:p>
        </w:tc>
      </w:tr>
    </w:tbl>
    <w:p>
      <w:pPr>
        <w:pStyle w:val="Heading2"/>
        <w:bidi w:val="0"/>
        <w:jc w:val="both"/>
        <w:rPr/>
      </w:pPr>
      <w:r>
        <w:rPr/>
        <w:t> </w:t>
      </w:r>
    </w:p>
    <w:p>
      <w:pPr>
        <w:pStyle w:val="Heading2"/>
        <w:bidi w:val="0"/>
        <w:jc w:val="both"/>
        <w:rPr>
          <w:rFonts w:ascii="Arial" w:hAnsi="Arial"/>
          <w:b w:val="false"/>
          <w:color w:val="000000"/>
          <w:sz w:val="20"/>
        </w:rPr>
      </w:pPr>
      <w:r>
        <w:rPr>
          <w:rFonts w:ascii="Arial" w:hAnsi="Arial"/>
          <w:b w:val="false"/>
          <w:color w:val="000000"/>
          <w:sz w:val="20"/>
        </w:rPr>
        <w:t>* Reflects the probability weighted expected term of 1.42 years for the remaining scenarios between July 2025 and March 2027 with each scenario weighted 2.5% overall for an aggregate probability weight of 25%.</w:t>
      </w:r>
    </w:p>
    <w:p>
      <w:pPr>
        <w:pStyle w:val="Heading2"/>
        <w:bidi w:val="0"/>
        <w:spacing w:before="240" w:after="283"/>
        <w:jc w:val="both"/>
        <w:rPr>
          <w:rFonts w:ascii="Arial" w:hAnsi="Arial"/>
          <w:b w:val="false"/>
          <w:color w:val="000000"/>
          <w:sz w:val="20"/>
        </w:rPr>
      </w:pPr>
      <w:r>
        <w:rPr>
          <w:rFonts w:ascii="Arial" w:hAnsi="Arial"/>
          <w:b w:val="false"/>
          <w:color w:val="000000"/>
          <w:sz w:val="20"/>
        </w:rPr>
        <w:t>Significant increases or decreases in these inputs could result in a significantly lower or higher fair value measurement of the contingent consideration liability.</w:t>
      </w:r>
    </w:p>
    <w:p>
      <w:pPr>
        <w:pStyle w:val="Heading2"/>
        <w:bidi w:val="0"/>
        <w:spacing w:before="240" w:after="283"/>
        <w:jc w:val="both"/>
        <w:rPr>
          <w:rFonts w:ascii="Arial" w:hAnsi="Arial"/>
          <w:i/>
          <w:color w:val="000000"/>
          <w:sz w:val="20"/>
        </w:rPr>
      </w:pPr>
      <w:r>
        <w:rPr>
          <w:rFonts w:ascii="Arial" w:hAnsi="Arial"/>
          <w:i/>
          <w:color w:val="000000"/>
          <w:sz w:val="20"/>
        </w:rPr>
        <w:t>Valuation of LSA Warrant Liability</w:t>
      </w:r>
    </w:p>
    <w:p>
      <w:pPr>
        <w:pStyle w:val="Heading2"/>
        <w:bidi w:val="0"/>
        <w:spacing w:before="240" w:after="283"/>
        <w:jc w:val="both"/>
        <w:rPr>
          <w:rFonts w:ascii="Times New Roman" w:hAnsi="Times New Roman"/>
          <w:sz w:val="20"/>
        </w:rPr>
      </w:pPr>
      <w:r>
        <w:rPr>
          <w:rFonts w:ascii="Arial" w:hAnsi="Arial"/>
          <w:b w:val="false"/>
          <w:color w:val="000000"/>
          <w:sz w:val="20"/>
        </w:rPr>
        <w:t xml:space="preserve">In March 2022, the Company issued a warrant to purchase up to 64,992 shares of Series A-2 convertible preferred stock, subject to vesting (the </w:t>
      </w:r>
      <w:r>
        <w:rPr>
          <w:rFonts w:ascii="Times New Roman" w:hAnsi="Times New Roman"/>
          <w:color w:val="000000"/>
          <w:sz w:val="20"/>
        </w:rPr>
        <w:t>“</w:t>
      </w:r>
      <w:r>
        <w:rPr>
          <w:rFonts w:ascii="Arial" w:hAnsi="Arial"/>
          <w:b w:val="false"/>
          <w:color w:val="000000"/>
          <w:sz w:val="20"/>
        </w:rPr>
        <w:t>LSA Warrants</w:t>
      </w:r>
      <w:r>
        <w:rPr>
          <w:rFonts w:ascii="Times New Roman" w:hAnsi="Times New Roman"/>
          <w:color w:val="000000"/>
          <w:sz w:val="20"/>
        </w:rPr>
        <w:t>”</w:t>
      </w:r>
      <w:r>
        <w:rPr>
          <w:rFonts w:ascii="Arial" w:hAnsi="Arial"/>
          <w:b w:val="false"/>
          <w:color w:val="000000"/>
          <w:sz w:val="20"/>
        </w:rPr>
        <w:t>) (see Note 12 for additional details of the transaction pursuant to which such LSA Warrant was issued). The LSA Warrant has an exercise price of $6.15 and will expire ten years from the date of issuance. As of December 31, 2025, the LSA Warrant, representing the right to purchase 16,248 shares of Series A-2 convertible preferred stock, was issued and outstanding. The right to purchase the remaining 48,744 shares was forfeited upon termination of the LSA.</w:t>
      </w:r>
    </w:p>
    <w:p>
      <w:pPr>
        <w:pStyle w:val="TextBody"/>
        <w:bidi w:val="0"/>
        <w:spacing w:before="240" w:after="283"/>
        <w:jc w:val="both"/>
        <w:rPr>
          <w:rFonts w:ascii="Arial" w:hAnsi="Arial"/>
          <w:color w:val="000000"/>
          <w:sz w:val="20"/>
        </w:rPr>
      </w:pPr>
      <w:r>
        <w:rPr>
          <w:rFonts w:ascii="Arial" w:hAnsi="Arial"/>
          <w:color w:val="000000"/>
          <w:sz w:val="20"/>
        </w:rPr>
        <w:t>The estimated fair value of the LSA Warrant liability was determined using an option pricing model with the following assumptions:</w:t>
      </w:r>
    </w:p>
    <w:p>
      <w:pPr>
        <w:pStyle w:val="TextBody"/>
        <w:bidi w:val="0"/>
        <w:jc w:val="both"/>
        <w:rPr/>
      </w:pPr>
      <w:r>
        <w:rPr/>
        <w:t> </w:t>
      </w:r>
    </w:p>
    <w:tbl>
      <w:tblPr>
        <w:tblW w:w="8710" w:type="dxa"/>
        <w:jc w:val="left"/>
        <w:tblInd w:w="0" w:type="dxa"/>
        <w:tblLayout w:type="fixed"/>
        <w:tblCellMar>
          <w:top w:w="28" w:type="dxa"/>
          <w:left w:w="28" w:type="dxa"/>
          <w:bottom w:w="28" w:type="dxa"/>
          <w:right w:w="28" w:type="dxa"/>
        </w:tblCellMar>
      </w:tblPr>
      <w:tblGrid>
        <w:gridCol w:w="4111"/>
        <w:gridCol w:w="146"/>
        <w:gridCol w:w="514"/>
        <w:gridCol w:w="1331"/>
        <w:gridCol w:w="286"/>
        <w:gridCol w:w="146"/>
        <w:gridCol w:w="514"/>
        <w:gridCol w:w="1331"/>
        <w:gridCol w:w="33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Significant Unobservable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until a liquidity event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Annual dividend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120" w:after="283"/>
        <w:jc w:val="center"/>
        <w:rPr>
          <w:rFonts w:ascii="Arial" w:hAnsi="Arial"/>
          <w:color w:val="000000"/>
          <w:sz w:val="20"/>
        </w:rPr>
      </w:pPr>
      <w:r>
        <w:rPr>
          <w:rFonts w:ascii="Arial" w:hAnsi="Arial"/>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following table presents a roll-forward of the aggregate fair values of the Company’s liabilities for which fair value is determined by Level 3 inputs:</w:t>
      </w:r>
    </w:p>
    <w:p>
      <w:pPr>
        <w:pStyle w:val="TextBody"/>
        <w:bidi w:val="0"/>
        <w:jc w:val="both"/>
        <w:rPr/>
      </w:pPr>
      <w:r>
        <w:rPr/>
        <w:t> </w:t>
      </w:r>
    </w:p>
    <w:tbl>
      <w:tblPr>
        <w:tblW w:w="7960" w:type="dxa"/>
        <w:jc w:val="left"/>
        <w:tblInd w:w="0" w:type="dxa"/>
        <w:tblLayout w:type="fixed"/>
        <w:tblCellMar>
          <w:top w:w="28" w:type="dxa"/>
          <w:left w:w="28" w:type="dxa"/>
          <w:bottom w:w="28" w:type="dxa"/>
          <w:right w:w="28" w:type="dxa"/>
        </w:tblCellMar>
      </w:tblPr>
      <w:tblGrid>
        <w:gridCol w:w="3166"/>
        <w:gridCol w:w="146"/>
        <w:gridCol w:w="586"/>
        <w:gridCol w:w="1049"/>
        <w:gridCol w:w="166"/>
        <w:gridCol w:w="146"/>
        <w:gridCol w:w="582"/>
        <w:gridCol w:w="1908"/>
        <w:gridCol w:w="21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Warrant 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Contingent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Balance as of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7920" w:type="dxa"/>
        <w:jc w:val="left"/>
        <w:tblInd w:w="0" w:type="dxa"/>
        <w:tblLayout w:type="fixed"/>
        <w:tblCellMar>
          <w:top w:w="28" w:type="dxa"/>
          <w:left w:w="28" w:type="dxa"/>
          <w:bottom w:w="28" w:type="dxa"/>
          <w:right w:w="28" w:type="dxa"/>
        </w:tblCellMar>
      </w:tblPr>
      <w:tblGrid>
        <w:gridCol w:w="3166"/>
        <w:gridCol w:w="146"/>
        <w:gridCol w:w="653"/>
        <w:gridCol w:w="982"/>
        <w:gridCol w:w="146"/>
        <w:gridCol w:w="146"/>
        <w:gridCol w:w="582"/>
        <w:gridCol w:w="1908"/>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Warrant 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Contingent Consideration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both"/>
              <w:rPr>
                <w:rFonts w:ascii="Arial" w:hAnsi="Arial"/>
                <w:b/>
                <w:color w:val="000000"/>
                <w:sz w:val="20"/>
              </w:rPr>
            </w:pPr>
            <w:r>
              <w:rPr>
                <w:rFonts w:ascii="Arial" w:hAnsi="Arial"/>
                <w:b/>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b/>
          <w:color w:val="000000"/>
          <w:sz w:val="20"/>
        </w:rPr>
      </w:pPr>
      <w:r>
        <w:rPr>
          <w:rFonts w:ascii="Arial" w:hAnsi="Arial"/>
          <w:b/>
          <w:color w:val="000000"/>
          <w:sz w:val="20"/>
        </w:rPr>
        <w:t>6.</w:t>
      </w:r>
    </w:p>
    <w:p>
      <w:pPr>
        <w:pStyle w:val="TextBody"/>
        <w:bidi w:val="0"/>
        <w:spacing w:before="40" w:after="283"/>
        <w:jc w:val="both"/>
        <w:rPr>
          <w:rFonts w:ascii="Arial" w:hAnsi="Arial"/>
          <w:b/>
          <w:color w:val="000000"/>
          <w:sz w:val="20"/>
        </w:rPr>
      </w:pPr>
      <w:r>
        <w:rPr>
          <w:rFonts w:ascii="Arial" w:hAnsi="Arial"/>
          <w:b/>
          <w:color w:val="000000"/>
          <w:sz w:val="20"/>
        </w:rPr>
        <w:t>Cash, Cash Equivalents, Restricted Cash, and Marketable Securities</w:t>
      </w:r>
    </w:p>
    <w:p>
      <w:pPr>
        <w:pStyle w:val="TextBody"/>
        <w:bidi w:val="0"/>
        <w:spacing w:before="240" w:after="283"/>
        <w:jc w:val="both"/>
        <w:rPr>
          <w:rFonts w:ascii="Arial" w:hAnsi="Arial"/>
          <w:color w:val="000000"/>
          <w:sz w:val="20"/>
        </w:rPr>
      </w:pPr>
      <w:r>
        <w:rPr>
          <w:rFonts w:ascii="Arial" w:hAnsi="Arial"/>
          <w:color w:val="000000"/>
          <w:sz w:val="20"/>
        </w:rPr>
        <w:t>The following table summarizes the Company’s cash and cash equivalents, and restricted cash:</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27"/>
        <w:gridCol w:w="146"/>
        <w:gridCol w:w="359"/>
        <w:gridCol w:w="1044"/>
        <w:gridCol w:w="168"/>
        <w:gridCol w:w="168"/>
        <w:gridCol w:w="252"/>
        <w:gridCol w:w="829"/>
        <w:gridCol w:w="146"/>
        <w:gridCol w:w="146"/>
        <w:gridCol w:w="359"/>
        <w:gridCol w:w="1044"/>
        <w:gridCol w:w="168"/>
        <w:gridCol w:w="168"/>
        <w:gridCol w:w="252"/>
        <w:gridCol w:w="829"/>
        <w:gridCol w:w="200"/>
      </w:tblGrid>
      <w:tr>
        <w:trPr/>
        <w:tc>
          <w:tcPr>
            <w:tcW w:w="3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9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 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Beginning of period</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End 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Beginning of period</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End of period</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59,136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52,545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59,136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 included in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3,459</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3,210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cash, cash equivalents and restricted cash per the consolidated statements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62,346</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56,004</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62,346</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following tables summarize the Company’s marketable securities held as of December 31, 2025 and December 31,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99"/>
        <w:gridCol w:w="146"/>
        <w:gridCol w:w="276"/>
        <w:gridCol w:w="1046"/>
        <w:gridCol w:w="146"/>
        <w:gridCol w:w="146"/>
        <w:gridCol w:w="698"/>
        <w:gridCol w:w="1049"/>
        <w:gridCol w:w="146"/>
        <w:gridCol w:w="146"/>
        <w:gridCol w:w="685"/>
        <w:gridCol w:w="1125"/>
        <w:gridCol w:w="146"/>
        <w:gridCol w:w="146"/>
        <w:gridCol w:w="215"/>
        <w:gridCol w:w="814"/>
        <w:gridCol w:w="476"/>
      </w:tblGrid>
      <w:tr>
        <w:trPr/>
        <w:tc>
          <w:tcPr>
            <w:tcW w:w="2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99"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Treasury bills and 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174,869</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174,776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174,869</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13"/>
        <w:gridCol w:w="146"/>
        <w:gridCol w:w="309"/>
        <w:gridCol w:w="1015"/>
        <w:gridCol w:w="146"/>
        <w:gridCol w:w="146"/>
        <w:gridCol w:w="700"/>
        <w:gridCol w:w="1052"/>
        <w:gridCol w:w="146"/>
        <w:gridCol w:w="146"/>
        <w:gridCol w:w="651"/>
        <w:gridCol w:w="1166"/>
        <w:gridCol w:w="166"/>
        <w:gridCol w:w="146"/>
        <w:gridCol w:w="229"/>
        <w:gridCol w:w="752"/>
        <w:gridCol w:w="476"/>
      </w:tblGrid>
      <w:tr>
        <w:trPr/>
        <w:tc>
          <w:tcPr>
            <w:tcW w:w="2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2024</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Treasury bills and U.S. Treasury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70,186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70,218</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70,218</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The Company determined that there was no material credit risk associated with the above investments as of December 31, 2025 and 2024. The Company has the intent and ability to hold such securities until recovery. As a result, the Company did not record any charges for credit-related impairments for its marketable securities during the years ended December 31, 2025 and 2024. No available-for-sale debt securities held as of December 31, 2025 had remaining maturities greater than 15 months.</w:t>
      </w:r>
    </w:p>
    <w:p>
      <w:pPr>
        <w:pStyle w:val="TextBody"/>
        <w:bidi w:val="0"/>
        <w:spacing w:before="120" w:after="283"/>
        <w:jc w:val="center"/>
        <w:rPr>
          <w:rFonts w:ascii="Arial" w:hAnsi="Arial"/>
          <w:color w:val="000000"/>
          <w:sz w:val="20"/>
        </w:rPr>
      </w:pPr>
      <w:r>
        <w:rPr>
          <w:rFonts w:ascii="Arial" w:hAnsi="Arial"/>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7.</w:t>
      </w:r>
    </w:p>
    <w:p>
      <w:pPr>
        <w:pStyle w:val="TextBody"/>
        <w:bidi w:val="0"/>
        <w:spacing w:before="240" w:after="283"/>
        <w:jc w:val="both"/>
        <w:rPr>
          <w:rFonts w:ascii="Arial" w:hAnsi="Arial"/>
          <w:b/>
          <w:color w:val="000000"/>
          <w:sz w:val="20"/>
        </w:rPr>
      </w:pPr>
      <w:r>
        <w:rPr>
          <w:rFonts w:ascii="Arial" w:hAnsi="Arial"/>
          <w:b/>
          <w:color w:val="000000"/>
          <w:sz w:val="20"/>
        </w:rPr>
        <w:t>Property and Equipment, Net</w:t>
      </w:r>
    </w:p>
    <w:p>
      <w:pPr>
        <w:pStyle w:val="TextBody"/>
        <w:bidi w:val="0"/>
        <w:spacing w:before="240" w:after="283"/>
        <w:jc w:val="both"/>
        <w:rPr>
          <w:rFonts w:ascii="Arial" w:hAnsi="Arial"/>
          <w:color w:val="000000"/>
          <w:sz w:val="20"/>
        </w:rPr>
      </w:pPr>
      <w:r>
        <w:rPr>
          <w:rFonts w:ascii="Arial" w:hAnsi="Arial"/>
          <w:color w:val="000000"/>
          <w:sz w:val="20"/>
        </w:rPr>
        <w:t>Property and equipment and related accumulated depreciation consist of the following:</w:t>
      </w:r>
    </w:p>
    <w:p>
      <w:pPr>
        <w:pStyle w:val="TextBody"/>
        <w:bidi w:val="0"/>
        <w:jc w:val="left"/>
        <w:rPr/>
      </w:pPr>
      <w:r>
        <w:rPr/>
        <w:t> </w:t>
      </w:r>
    </w:p>
    <w:tbl>
      <w:tblPr>
        <w:tblW w:w="7345" w:type="dxa"/>
        <w:jc w:val="left"/>
        <w:tblInd w:w="0" w:type="dxa"/>
        <w:tblLayout w:type="fixed"/>
        <w:tblCellMar>
          <w:top w:w="28" w:type="dxa"/>
          <w:left w:w="28" w:type="dxa"/>
          <w:bottom w:w="28" w:type="dxa"/>
          <w:right w:w="28" w:type="dxa"/>
        </w:tblCellMar>
      </w:tblPr>
      <w:tblGrid>
        <w:gridCol w:w="2986"/>
        <w:gridCol w:w="146"/>
        <w:gridCol w:w="404"/>
        <w:gridCol w:w="1441"/>
        <w:gridCol w:w="166"/>
        <w:gridCol w:w="146"/>
        <w:gridCol w:w="404"/>
        <w:gridCol w:w="1441"/>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fixtures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Computer hardware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 not yet placed in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Total depreciation expense for the years ended December 31, 2025 and 2024, was $4.4 million and $4.7 million, respectively. For the year ended December 31, 2025, the Company recognized losses on disposal of $1.4 million within research and development expenses on the consolidated statements of operations and comprehensive loss.</w:t>
      </w:r>
    </w:p>
    <w:p>
      <w:pPr>
        <w:pStyle w:val="TextBody"/>
        <w:bidi w:val="0"/>
        <w:spacing w:before="240" w:after="283"/>
        <w:jc w:val="both"/>
        <w:rPr>
          <w:rFonts w:ascii="Arial" w:hAnsi="Arial"/>
          <w:b/>
          <w:color w:val="000000"/>
          <w:sz w:val="20"/>
        </w:rPr>
      </w:pPr>
      <w:r>
        <w:rPr>
          <w:rFonts w:ascii="Arial" w:hAnsi="Arial"/>
          <w:b/>
          <w:color w:val="000000"/>
          <w:sz w:val="20"/>
        </w:rPr>
        <w:t>8.</w:t>
      </w:r>
    </w:p>
    <w:p>
      <w:pPr>
        <w:pStyle w:val="TextBody"/>
        <w:bidi w:val="0"/>
        <w:spacing w:before="240" w:after="283"/>
        <w:jc w:val="both"/>
        <w:rPr>
          <w:rFonts w:ascii="Arial" w:hAnsi="Arial"/>
          <w:b/>
          <w:color w:val="000000"/>
          <w:sz w:val="20"/>
        </w:rPr>
      </w:pPr>
      <w:r>
        <w:rPr>
          <w:rFonts w:ascii="Arial" w:hAnsi="Arial"/>
          <w:b/>
          <w:color w:val="000000"/>
          <w:sz w:val="20"/>
        </w:rPr>
        <w:t>Accrued Expenses and Other Current Liabilities</w:t>
      </w:r>
    </w:p>
    <w:p>
      <w:pPr>
        <w:pStyle w:val="TextBody"/>
        <w:bidi w:val="0"/>
        <w:spacing w:before="240" w:after="283"/>
        <w:jc w:val="both"/>
        <w:rPr>
          <w:rFonts w:ascii="Arial" w:hAnsi="Arial"/>
          <w:color w:val="000000"/>
          <w:sz w:val="20"/>
        </w:rPr>
      </w:pPr>
      <w:r>
        <w:rPr>
          <w:rFonts w:ascii="Arial" w:hAnsi="Arial"/>
          <w:color w:val="000000"/>
          <w:sz w:val="20"/>
        </w:rPr>
        <w:t>Accrued expenses and other current liabilities consist of the following:</w:t>
      </w:r>
    </w:p>
    <w:p>
      <w:pPr>
        <w:pStyle w:val="TextBody"/>
        <w:bidi w:val="0"/>
        <w:jc w:val="left"/>
        <w:rPr/>
      </w:pPr>
      <w:r>
        <w:rPr/>
        <w:t> </w:t>
      </w:r>
    </w:p>
    <w:tbl>
      <w:tblPr>
        <w:tblW w:w="8685" w:type="dxa"/>
        <w:jc w:val="left"/>
        <w:tblInd w:w="0" w:type="dxa"/>
        <w:tblLayout w:type="fixed"/>
        <w:tblCellMar>
          <w:top w:w="28" w:type="dxa"/>
          <w:left w:w="28" w:type="dxa"/>
          <w:bottom w:w="28" w:type="dxa"/>
          <w:right w:w="28" w:type="dxa"/>
        </w:tblCellMar>
      </w:tblPr>
      <w:tblGrid>
        <w:gridCol w:w="4366"/>
        <w:gridCol w:w="146"/>
        <w:gridCol w:w="431"/>
        <w:gridCol w:w="1414"/>
        <w:gridCol w:w="146"/>
        <w:gridCol w:w="146"/>
        <w:gridCol w:w="431"/>
        <w:gridCol w:w="1414"/>
        <w:gridCol w:w="19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compensation, benefits, and recruiting</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4"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4"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6,174</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External research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offering costs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3,891</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shd w:fill="CCEC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2,877</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6" w:type="dxa"/>
            <w:tcBorders/>
            <w:shd w:fill="CCEC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13,392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17,520</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b/>
          <w:color w:val="000000"/>
          <w:sz w:val="20"/>
        </w:rPr>
      </w:pPr>
      <w:r>
        <w:rPr>
          <w:rFonts w:ascii="Arial" w:hAnsi="Arial"/>
          <w:b/>
          <w:color w:val="000000"/>
          <w:sz w:val="20"/>
        </w:rPr>
        <w:t>9.</w:t>
      </w:r>
    </w:p>
    <w:p>
      <w:pPr>
        <w:pStyle w:val="TextBody"/>
        <w:bidi w:val="0"/>
        <w:spacing w:before="120" w:after="283"/>
        <w:jc w:val="both"/>
        <w:rPr>
          <w:rFonts w:ascii="Arial" w:hAnsi="Arial"/>
          <w:b/>
          <w:color w:val="000000"/>
          <w:sz w:val="20"/>
        </w:rPr>
      </w:pPr>
      <w:r>
        <w:rPr>
          <w:rFonts w:ascii="Arial" w:hAnsi="Arial"/>
          <w:b/>
          <w:color w:val="000000"/>
          <w:sz w:val="20"/>
        </w:rPr>
        <w:t>Leases</w:t>
      </w:r>
    </w:p>
    <w:p>
      <w:pPr>
        <w:pStyle w:val="TextBody"/>
        <w:bidi w:val="0"/>
        <w:spacing w:before="240" w:after="283"/>
        <w:jc w:val="both"/>
        <w:rPr>
          <w:rFonts w:ascii="Arial" w:hAnsi="Arial"/>
          <w:color w:val="000000"/>
          <w:sz w:val="20"/>
        </w:rPr>
      </w:pPr>
      <w:r>
        <w:rPr>
          <w:rFonts w:ascii="Arial" w:hAnsi="Arial"/>
          <w:color w:val="000000"/>
          <w:sz w:val="20"/>
        </w:rPr>
        <w:t>In September 2021, the Company entered into an eight-year lease agreement for 45,632 square feet of space for its corporate headquarters located in Boston, Massachusetts. The Company is also party to several leases for office and laboratory space in San Diego, California, Ann Arbor, Michigan, New York, New York, and Frankfurt, Germany, as well as leases for certain laboratory equipment.</w:t>
      </w:r>
    </w:p>
    <w:p>
      <w:pPr>
        <w:pStyle w:val="TextBody"/>
        <w:bidi w:val="0"/>
        <w:spacing w:before="240" w:after="283"/>
        <w:jc w:val="both"/>
        <w:rPr>
          <w:rFonts w:ascii="Arial" w:hAnsi="Arial"/>
          <w:color w:val="000000"/>
          <w:sz w:val="20"/>
        </w:rPr>
      </w:pPr>
      <w:r>
        <w:rPr>
          <w:rFonts w:ascii="Arial" w:hAnsi="Arial"/>
          <w:color w:val="000000"/>
          <w:sz w:val="20"/>
        </w:rPr>
        <w:t>In August 2024, the Company entered into a lease extension agreement for its Frankfurt, Germany laboratory space for an additional two-year term. The Company accounted for the lease extension as a modification of the existing lease and remeasured the right-of-use (“ROU”) asset and lease liability by calculating the present value of lease payments, discounted at 7.4%, the Company’s incremental borrowing rate in August 2024, over the new lease term. The modification resulted in an increase in the ROU asset and lease liability of $0.5 million, recorded in the consolidated balance sheet as of December 31, 2024.</w:t>
      </w:r>
    </w:p>
    <w:p>
      <w:pPr>
        <w:pStyle w:val="TextBody"/>
        <w:bidi w:val="0"/>
        <w:spacing w:before="240" w:after="283"/>
        <w:jc w:val="both"/>
        <w:rPr>
          <w:rFonts w:ascii="Arial" w:hAnsi="Arial"/>
          <w:color w:val="000000"/>
          <w:sz w:val="20"/>
        </w:rPr>
      </w:pPr>
      <w:r>
        <w:rPr>
          <w:rFonts w:ascii="Arial" w:hAnsi="Arial"/>
          <w:color w:val="000000"/>
          <w:sz w:val="20"/>
        </w:rPr>
        <w:t>During the first quarter of 2025, the Company recorded an impairment loss of $5.4 million pertaining to the right-of-use asset for the San Diego lease as a result of the Company's decision to permanently cease use of the leased space. The impairment loss was measured as the excess of the carrying amount over the impaired asset group's estimated fair value, which was determined using a discounted cash flow model. The impairment is included as a component of research and development expenses in the consolidated statements of operations and comprehensive loss.</w:t>
      </w:r>
    </w:p>
    <w:p>
      <w:pPr>
        <w:pStyle w:val="TextBody"/>
        <w:bidi w:val="0"/>
        <w:spacing w:before="120" w:after="283"/>
        <w:jc w:val="center"/>
        <w:rPr>
          <w:rFonts w:ascii="Arial" w:hAnsi="Arial"/>
          <w:color w:val="000000"/>
          <w:sz w:val="20"/>
        </w:rPr>
      </w:pPr>
      <w:r>
        <w:rPr>
          <w:rFonts w:ascii="Arial" w:hAnsi="Arial"/>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both"/>
        <w:rPr>
          <w:rFonts w:ascii="Arial" w:hAnsi="Arial"/>
          <w:color w:val="000000"/>
          <w:sz w:val="20"/>
        </w:rPr>
      </w:pPr>
      <w:r>
        <w:rPr>
          <w:rFonts w:ascii="Arial" w:hAnsi="Arial"/>
          <w:color w:val="000000"/>
          <w:sz w:val="20"/>
        </w:rPr>
        <w:t>In June 2025, the Company entered into a lease extension agreement for its Ann Arbor laboratory space for an additional one-year term. The Company accounted for the lease extension as a modification of the existing lease and remeasured the ROU asset and lease liability by calculating the present value of lease payments, discounted at 10.1%, the Company’s incremental borrowing rate in June 2025, over the new lease term. The modification resulted in an increase in the ROU asset and lease liability of $0.3 million, recorded in the consolidated balance sheet as of December 31, 2025.</w:t>
      </w:r>
    </w:p>
    <w:p>
      <w:pPr>
        <w:pStyle w:val="TextBody"/>
        <w:bidi w:val="0"/>
        <w:jc w:val="both"/>
        <w:rPr>
          <w:rFonts w:ascii="Arial" w:hAnsi="Arial"/>
          <w:color w:val="000000"/>
          <w:sz w:val="20"/>
        </w:rPr>
      </w:pPr>
      <w:r>
        <w:rPr>
          <w:rFonts w:ascii="Arial" w:hAnsi="Arial"/>
          <w:color w:val="000000"/>
          <w:sz w:val="20"/>
        </w:rPr>
        <w:t>During the third quarter of 2025, the Company entered into a sublease for its New York office space. The sublease commenced on October 15, 2025 and expires on February 28, 2029. For the year ended December 31, 2025, the Company recognized $0.1 million of sublease income, which was recorded as a reduction of lease cost in the consolidated statements of operations and comprehensive loss.</w:t>
      </w:r>
    </w:p>
    <w:p>
      <w:pPr>
        <w:pStyle w:val="TextBody"/>
        <w:bidi w:val="0"/>
        <w:spacing w:before="240" w:after="283"/>
        <w:jc w:val="both"/>
        <w:rPr>
          <w:rFonts w:ascii="Arial" w:hAnsi="Arial"/>
          <w:color w:val="000000"/>
          <w:sz w:val="20"/>
        </w:rPr>
      </w:pPr>
      <w:r>
        <w:rPr>
          <w:rFonts w:ascii="Arial" w:hAnsi="Arial"/>
          <w:color w:val="000000"/>
          <w:sz w:val="20"/>
        </w:rPr>
        <w:t>The right-of-use assets and lease liabilities are recorded within the consolidated balance sheets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37"/>
        <w:gridCol w:w="3348"/>
        <w:gridCol w:w="146"/>
        <w:gridCol w:w="374"/>
        <w:gridCol w:w="1229"/>
        <w:gridCol w:w="146"/>
        <w:gridCol w:w="146"/>
        <w:gridCol w:w="374"/>
        <w:gridCol w:w="1229"/>
        <w:gridCol w:w="476"/>
      </w:tblGrid>
      <w:tr>
        <w:trPr/>
        <w:tc>
          <w:tcPr>
            <w:tcW w:w="2737" w:type="dxa"/>
            <w:tcBorders/>
            <w:vAlign w:val="center"/>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Consolidated Balance Sheet 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2024</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3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37"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Right-of-use assets - operating</w:t>
            </w:r>
          </w:p>
        </w:tc>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27,367</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37"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 xml:space="preserve">Right-of-use assets - financing </w:t>
            </w:r>
            <w:r>
              <w:rPr>
                <w:rFonts w:ascii="Arial" w:hAnsi="Arial"/>
                <w:color w:val="000000"/>
                <w:sz w:val="13"/>
              </w:rPr>
              <w:t>(1)</w:t>
            </w:r>
          </w:p>
        </w:tc>
        <w:tc>
          <w:tcPr>
            <w:tcW w:w="3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Right-of-use assets</w:t>
            </w:r>
          </w:p>
        </w:tc>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27,523</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3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w:t>
            </w:r>
          </w:p>
        </w:tc>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37"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lease liabilities</w:t>
            </w:r>
          </w:p>
        </w:tc>
        <w:tc>
          <w:tcPr>
            <w:tcW w:w="3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4,451</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37"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Financing lease liabilities</w:t>
            </w:r>
          </w:p>
        </w:tc>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liabilities - current</w:t>
            </w:r>
          </w:p>
        </w:tc>
        <w:tc>
          <w:tcPr>
            <w:tcW w:w="3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4,576</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Noncurrent:</w:t>
            </w:r>
          </w:p>
        </w:tc>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37"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lease liabilities</w:t>
            </w:r>
          </w:p>
        </w:tc>
        <w:tc>
          <w:tcPr>
            <w:tcW w:w="3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26,430</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37"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Financing lease liabilities</w:t>
            </w:r>
          </w:p>
        </w:tc>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liabilities - noncurrent</w:t>
            </w:r>
          </w:p>
        </w:tc>
        <w:tc>
          <w:tcPr>
            <w:tcW w:w="3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26,430</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liabilities</w:t>
            </w:r>
          </w:p>
        </w:tc>
        <w:tc>
          <w:tcPr>
            <w:tcW w:w="3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31,006</w:t>
            </w:r>
          </w:p>
        </w:tc>
        <w:tc>
          <w:tcPr>
            <w:tcW w:w="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sz w:val="20"/>
        </w:rPr>
      </w:pPr>
      <w:r>
        <w:rPr>
          <w:rFonts w:ascii="Arial" w:hAnsi="Arial"/>
          <w:color w:val="000000"/>
          <w:sz w:val="16"/>
        </w:rPr>
        <w:t>(1)</w:t>
      </w:r>
      <w:r>
        <w:rPr>
          <w:rFonts w:ascii="Times New Roman" w:hAnsi="Times New Roman"/>
          <w:color w:val="000000"/>
          <w:sz w:val="20"/>
        </w:rPr>
        <w:t xml:space="preserve"> </w:t>
      </w:r>
      <w:r>
        <w:rPr>
          <w:rFonts w:ascii="Arial" w:hAnsi="Arial"/>
          <w:color w:val="000000"/>
          <w:sz w:val="20"/>
        </w:rPr>
        <w:t>Finance lease right-of-use assets are recorded net of accumulated amortization of $0.2 and $0.4 million as of December 31, 2025 and 2024, respectively.</w:t>
      </w:r>
    </w:p>
    <w:p>
      <w:pPr>
        <w:pStyle w:val="TextBody"/>
        <w:bidi w:val="0"/>
        <w:spacing w:before="0" w:after="240"/>
        <w:jc w:val="both"/>
        <w:rPr>
          <w:rFonts w:ascii="Arial" w:hAnsi="Arial"/>
          <w:color w:val="000000"/>
          <w:sz w:val="20"/>
        </w:rPr>
      </w:pPr>
      <w:r>
        <w:rPr>
          <w:rFonts w:ascii="Arial" w:hAnsi="Arial"/>
          <w:color w:val="000000"/>
          <w:sz w:val="20"/>
        </w:rPr>
        <w:t>The components of lease costs are recorded within the consolidated statements of operations and comprehensive loss as follows:</w:t>
      </w:r>
    </w:p>
    <w:tbl>
      <w:tblPr>
        <w:tblW w:w="4865" w:type="dxa"/>
        <w:jc w:val="left"/>
        <w:tblInd w:w="0" w:type="dxa"/>
        <w:tblLayout w:type="fixed"/>
        <w:tblCellMar>
          <w:top w:w="28" w:type="dxa"/>
          <w:left w:w="28" w:type="dxa"/>
          <w:bottom w:w="28" w:type="dxa"/>
          <w:right w:w="28" w:type="dxa"/>
        </w:tblCellMar>
      </w:tblPr>
      <w:tblGrid>
        <w:gridCol w:w="2026"/>
        <w:gridCol w:w="146"/>
        <w:gridCol w:w="265"/>
        <w:gridCol w:w="737"/>
        <w:gridCol w:w="183"/>
        <w:gridCol w:w="183"/>
        <w:gridCol w:w="265"/>
        <w:gridCol w:w="869"/>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3,341</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9,698</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For the years ended December 31, 2025 and 2024, the Company recognized interest expense related to finance leases of $10 and $18, respectively, which is included within interest expense in the consolidated statements of operations and comprehensive loss.</w:t>
      </w:r>
    </w:p>
    <w:p>
      <w:pPr>
        <w:pStyle w:val="TextBody"/>
        <w:bidi w:val="0"/>
        <w:jc w:val="left"/>
        <w:rPr/>
      </w:pPr>
      <w:r>
        <w:rPr/>
        <w:t> </w:t>
      </w:r>
    </w:p>
    <w:tbl>
      <w:tblPr>
        <w:tblW w:w="9770" w:type="dxa"/>
        <w:jc w:val="left"/>
        <w:tblInd w:w="0" w:type="dxa"/>
        <w:tblLayout w:type="fixed"/>
        <w:tblCellMar>
          <w:top w:w="28" w:type="dxa"/>
          <w:left w:w="28" w:type="dxa"/>
          <w:bottom w:w="28" w:type="dxa"/>
          <w:right w:w="28" w:type="dxa"/>
        </w:tblCellMar>
      </w:tblPr>
      <w:tblGrid>
        <w:gridCol w:w="6931"/>
        <w:gridCol w:w="146"/>
        <w:gridCol w:w="280"/>
        <w:gridCol w:w="778"/>
        <w:gridCol w:w="193"/>
        <w:gridCol w:w="193"/>
        <w:gridCol w:w="280"/>
        <w:gridCol w:w="778"/>
        <w:gridCol w:w="191"/>
      </w:tblGrid>
      <w:tr>
        <w:trPr/>
        <w:tc>
          <w:tcPr>
            <w:tcW w:w="6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cash flows included in the measurement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7,326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Financing cash outflows for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 obtained in exchange for new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Remeasurement of right-of-use assets resulting from lease modifications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Arial" w:hAnsi="Arial"/>
          <w:color w:val="000000"/>
          <w:sz w:val="20"/>
        </w:rPr>
      </w:pPr>
      <w:r>
        <w:rPr>
          <w:rFonts w:ascii="Arial" w:hAnsi="Arial"/>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7956" w:type="dxa"/>
        <w:jc w:val="left"/>
        <w:tblInd w:w="0" w:type="dxa"/>
        <w:tblLayout w:type="fixed"/>
        <w:tblCellMar>
          <w:top w:w="28" w:type="dxa"/>
          <w:left w:w="28" w:type="dxa"/>
          <w:bottom w:w="28" w:type="dxa"/>
          <w:right w:w="28" w:type="dxa"/>
        </w:tblCellMar>
      </w:tblPr>
      <w:tblGrid>
        <w:gridCol w:w="5161"/>
        <w:gridCol w:w="146"/>
        <w:gridCol w:w="213"/>
        <w:gridCol w:w="702"/>
        <w:gridCol w:w="323"/>
        <w:gridCol w:w="165"/>
        <w:gridCol w:w="213"/>
        <w:gridCol w:w="702"/>
        <w:gridCol w:w="33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As of 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Lease term and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 years</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 years</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 - financing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 years</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 years</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 - financing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Future minimum lease payments under noncancellable operating and financing leases as of December 31, 2025, are as follows:</w:t>
      </w:r>
    </w:p>
    <w:p>
      <w:pPr>
        <w:pStyle w:val="TextBody"/>
        <w:bidi w:val="0"/>
        <w:jc w:val="left"/>
        <w:rPr/>
      </w:pPr>
      <w:r>
        <w:rPr/>
        <w:t> </w:t>
      </w:r>
    </w:p>
    <w:tbl>
      <w:tblPr>
        <w:tblW w:w="6027" w:type="dxa"/>
        <w:jc w:val="left"/>
        <w:tblInd w:w="0" w:type="dxa"/>
        <w:tblLayout w:type="fixed"/>
        <w:tblCellMar>
          <w:top w:w="28" w:type="dxa"/>
          <w:left w:w="28" w:type="dxa"/>
          <w:bottom w:w="28" w:type="dxa"/>
          <w:right w:w="28" w:type="dxa"/>
        </w:tblCellMar>
      </w:tblPr>
      <w:tblGrid>
        <w:gridCol w:w="3301"/>
        <w:gridCol w:w="146"/>
        <w:gridCol w:w="238"/>
        <w:gridCol w:w="783"/>
        <w:gridCol w:w="166"/>
        <w:gridCol w:w="146"/>
        <w:gridCol w:w="345"/>
        <w:gridCol w:w="691"/>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Operating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Financing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future minimum lease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b/>
          <w:color w:val="000000"/>
          <w:sz w:val="20"/>
        </w:rPr>
      </w:pPr>
      <w:r>
        <w:rPr>
          <w:rFonts w:ascii="Arial" w:hAnsi="Arial"/>
          <w:b/>
          <w:color w:val="000000"/>
          <w:sz w:val="20"/>
        </w:rPr>
        <w:t>10.</w:t>
      </w:r>
    </w:p>
    <w:p>
      <w:pPr>
        <w:pStyle w:val="TextBody"/>
        <w:bidi w:val="0"/>
        <w:jc w:val="both"/>
        <w:rPr>
          <w:rFonts w:ascii="Arial" w:hAnsi="Arial"/>
          <w:b/>
          <w:color w:val="000000"/>
          <w:sz w:val="20"/>
        </w:rPr>
      </w:pPr>
      <w:r>
        <w:rPr>
          <w:rFonts w:ascii="Arial" w:hAnsi="Arial"/>
          <w:b/>
          <w:color w:val="000000"/>
          <w:sz w:val="20"/>
        </w:rPr>
        <w:t>Common Stock</w:t>
      </w:r>
    </w:p>
    <w:p>
      <w:pPr>
        <w:pStyle w:val="TextBody"/>
        <w:bidi w:val="0"/>
        <w:spacing w:before="240" w:after="283"/>
        <w:jc w:val="both"/>
        <w:rPr>
          <w:rFonts w:ascii="Arial" w:hAnsi="Arial"/>
          <w:color w:val="000000"/>
          <w:sz w:val="20"/>
        </w:rPr>
      </w:pPr>
      <w:r>
        <w:rPr>
          <w:rFonts w:ascii="Arial" w:hAnsi="Arial"/>
          <w:color w:val="000000"/>
          <w:sz w:val="20"/>
        </w:rPr>
        <w:t>The Company has two classes of common stock that are authorized and outstanding: voting and non-voting. Holders of voting common stock are entitled to one vote per share on all matters on which stockholders have the right to vote, including director elections. Holders of non-voting common stock are not entitled to vote, except as may be required under Delaware law. All other rights and privileges of voting common stock and non-voting common stock are the same. Holders of common stock are entitled to dividends when and if declared by the Company’s Board of Directors, subject to the participation and priority rights of the Company’s outstanding convertible preferred stock. As of December 31, 2025, there were 2,224,967 shares of voting common stock and 81,240 shares of non-voting common stock issued and outstanding. In addition, the Company issued 166,550 issued shares of common stock that were subject to vesting as of December 31, 2025 (see Note 13).</w:t>
      </w:r>
    </w:p>
    <w:p>
      <w:pPr>
        <w:pStyle w:val="TextBody"/>
        <w:bidi w:val="0"/>
        <w:spacing w:before="240" w:after="283"/>
        <w:jc w:val="both"/>
        <w:rPr>
          <w:rFonts w:ascii="Arial" w:hAnsi="Arial"/>
          <w:b/>
          <w:color w:val="000000"/>
          <w:sz w:val="20"/>
        </w:rPr>
      </w:pPr>
      <w:r>
        <w:rPr>
          <w:rFonts w:ascii="Arial" w:hAnsi="Arial"/>
          <w:b/>
          <w:color w:val="000000"/>
          <w:sz w:val="20"/>
        </w:rPr>
        <w:t>11.</w:t>
      </w:r>
    </w:p>
    <w:p>
      <w:pPr>
        <w:pStyle w:val="TextBody"/>
        <w:bidi w:val="0"/>
        <w:spacing w:before="240" w:after="283"/>
        <w:jc w:val="both"/>
        <w:rPr>
          <w:rFonts w:ascii="Arial" w:hAnsi="Arial"/>
          <w:b/>
          <w:color w:val="000000"/>
          <w:sz w:val="20"/>
        </w:rPr>
      </w:pPr>
      <w:r>
        <w:rPr>
          <w:rFonts w:ascii="Arial" w:hAnsi="Arial"/>
          <w:b/>
          <w:color w:val="000000"/>
          <w:sz w:val="20"/>
        </w:rPr>
        <w:t>Convertible Preferred Stock</w:t>
      </w:r>
    </w:p>
    <w:p>
      <w:pPr>
        <w:pStyle w:val="TextBody"/>
        <w:bidi w:val="0"/>
        <w:spacing w:before="240" w:after="283"/>
        <w:jc w:val="both"/>
        <w:rPr>
          <w:rFonts w:ascii="Times New Roman" w:hAnsi="Times New Roman"/>
          <w:sz w:val="20"/>
        </w:rPr>
      </w:pPr>
      <w:r>
        <w:rPr>
          <w:rFonts w:ascii="Arial" w:hAnsi="Arial"/>
          <w:color w:val="000000"/>
          <w:sz w:val="20"/>
        </w:rPr>
        <w:t>In 2021, the Company issued Series A, Series A-1 and Series A-2 convertible preferred stock in exchange for cash and the conversion of certain promissory notes. In March 2022, the Company issued an additional 1,624,803 shares of Series A-2 convertible preferred stock at a purchase price of $6.15 per share for an aggregate purchase price of $10 million.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May 2022, the Company issued and sold 14,469,169 shares of Series B convertible preferred stock at a purchase price of $6.32 per share for an aggregate purchase price of $91.4 million. In September 2022, the Company issued an additional 12,132,191 shares of Series B convertible preferred stock to the same investors at $6.32 per share for an aggregate purchase price of $76.7 million.</w:t>
      </w:r>
    </w:p>
    <w:p>
      <w:pPr>
        <w:pStyle w:val="TextBody"/>
        <w:bidi w:val="0"/>
        <w:spacing w:before="240" w:after="283"/>
        <w:jc w:val="both"/>
        <w:rPr>
          <w:rFonts w:ascii="Arial" w:hAnsi="Arial"/>
          <w:color w:val="000000"/>
          <w:sz w:val="20"/>
        </w:rPr>
      </w:pPr>
      <w:r>
        <w:rPr>
          <w:rFonts w:ascii="Arial" w:hAnsi="Arial"/>
          <w:color w:val="000000"/>
          <w:sz w:val="20"/>
        </w:rPr>
        <w:t>In October 2023, the Company entered into a Series C Preferred Stock Purchase Agreement pursuant to which the Company issued and sold 19,426,000 shares of Series C convertible preferred stock, at a purchase price of $5.00 per share for an aggregate purchase price of $97.1 million. Between January 2024 and August 2024, the Company issued an additional aggregate amount of 4,016,000 shares of Series C convertible preferred stock to new investors, each at a purchase price of $5.00 per share for an aggregate purchase price of $20.1 million.</w:t>
      </w:r>
    </w:p>
    <w:p>
      <w:pPr>
        <w:pStyle w:val="TextBody"/>
        <w:bidi w:val="0"/>
        <w:spacing w:before="120" w:after="283"/>
        <w:jc w:val="center"/>
        <w:rPr>
          <w:rFonts w:ascii="Arial" w:hAnsi="Arial"/>
          <w:color w:val="000000"/>
          <w:sz w:val="20"/>
        </w:rPr>
      </w:pPr>
      <w:r>
        <w:rPr>
          <w:rFonts w:ascii="Arial" w:hAnsi="Arial"/>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November 2024, the Company entered into a Series C-1 Preferred Stock Purchase Agreement pursuant to which the Company issued and sold 1,459,598 shares of Series C-1 convertible preferred stock, at a purchase price of $5.14 per share for an aggregate purchase price of $7.5 million. The price paid per share for the Series C-1 convertible preferred stock was at premium compared to the fair value of the Series C-1 convertible preferred stock upon issuance, resulting in the Company recording the Series C-1 convertible preferred stock at its fair value of $6.7 million and a $0.8 million contribution within additional paid-in capital.</w:t>
      </w:r>
    </w:p>
    <w:p>
      <w:pPr>
        <w:pStyle w:val="TextBody"/>
        <w:bidi w:val="0"/>
        <w:spacing w:before="240" w:after="283"/>
        <w:jc w:val="both"/>
        <w:rPr>
          <w:rFonts w:ascii="Arial" w:hAnsi="Arial"/>
          <w:color w:val="000000"/>
          <w:sz w:val="20"/>
        </w:rPr>
      </w:pPr>
      <w:r>
        <w:rPr>
          <w:rFonts w:ascii="Arial" w:hAnsi="Arial"/>
          <w:color w:val="000000"/>
          <w:sz w:val="20"/>
        </w:rPr>
        <w:t>Each issuance of the Series C and Series C-1 convertible preferred stock resulted in an adjustment of the conversion price of the Series A-1, Series A-2, and Series B convertible preferred stock, due to the down round protection feature included in the Company’s certificate of incorporation with respect to each such series. The Company accounted for the down round adjustment as a deemed dividend which was calculated as the difference between (i) the fair value of the convertible preferred stock without the conversion price adjustment and (ii) the fair value of the convertible preferred stock with the conversion price adjustment, both as determined immediately after the down round feature was triggered. As a result of the issuances of Series C-1 convertible preferred stock during the year ended December 31, 2024, the Company recorded $1.1 million within additional paid-in capital and accumulated deficit associated with the down round feature. The deemed dividend has also been included in the determination of net loss available to common stockholders for calculating the Company’s loss per share (see Note 17).</w:t>
      </w:r>
    </w:p>
    <w:p>
      <w:pPr>
        <w:pStyle w:val="TextBody"/>
        <w:bidi w:val="0"/>
        <w:spacing w:before="240" w:after="283"/>
        <w:jc w:val="both"/>
        <w:rPr>
          <w:rFonts w:ascii="Arial" w:hAnsi="Arial"/>
          <w:color w:val="000000"/>
          <w:sz w:val="20"/>
        </w:rPr>
      </w:pPr>
      <w:r>
        <w:rPr>
          <w:rFonts w:ascii="Arial" w:hAnsi="Arial"/>
          <w:color w:val="000000"/>
          <w:sz w:val="20"/>
        </w:rPr>
        <w:t>In June 2025, the Company entered into a Series D Preferred Stock Purchase Agreement pursuant to which the Company issued and sold 75,327,534 shares of Series D convertible preferred stock at a purchase price of $1.50 per share, along with 2,325,616 warrants to purchase shares of its common stock, for an aggregate purchase price of $113.4 million. Between June 2025 and December 2025, the Company issued an additional aggregate amount of 66,622,843 shares of Series D convertible preferred stock, along with warrants to purchase 1,730,548 shares of its common stock, at a purchase price of $1.50 per share, for an aggregate purchase price of $100.3 million. The common stock warrants issued under the Series D Preferred Stock Purchase Agreement were determined to be equity classified, and the proceeds, net of issuance costs were allocated between the Series D convertible preferred stock and common stock warrants on a relative fair value basis, resulting in $196.0 million allocated to the Series D convertible preferred stock and $16.4 million allocated to the common stock warrants, which was recorded within additional paid in capital.</w:t>
      </w:r>
    </w:p>
    <w:p>
      <w:pPr>
        <w:pStyle w:val="TextBody"/>
        <w:bidi w:val="0"/>
        <w:spacing w:before="240" w:after="283"/>
        <w:jc w:val="both"/>
        <w:rPr>
          <w:rFonts w:ascii="Arial" w:hAnsi="Arial"/>
          <w:color w:val="000000"/>
          <w:sz w:val="20"/>
        </w:rPr>
      </w:pPr>
      <w:r>
        <w:rPr>
          <w:rFonts w:ascii="Arial" w:hAnsi="Arial"/>
          <w:color w:val="000000"/>
          <w:sz w:val="20"/>
        </w:rPr>
        <w:t>In connection with the Series D convertible preferred stock financing, the Company's certificate of incorporation was amended and restated, which resulted in amendments to the terms of the Company's existing convertible preferred stock, including: (i) a reduction in the liquidation prices applicable to all outstanding series of the Company's existing convertible preferred stock; (ii) the addition of a special mandatory conversion feature that results in the conversion of a holder’s shares of convertible preferred stock into common stock at a 10-to-1 ratio upon failure to participate in the Series D convertible preferred stock financing; and (iii) a reduction in the mandatory conversion threshold such that convertible preferred stock will automatically convert into the Company’s common stock upon an initial public offering resulting in at least $100.0 million of proceeds. The amendments resulted in a reduction of the existing preferred stock fair value. The Company did not account for the amendments to the existing preferred stock as an extinguishment, and as such there was no impact to the amount of net income available to common shareholders for the purpose of calculating earnings per share. As a result of the special mandatory conversion feature, 1,681,885 shares of Series A convertible preferred stock were converted into 17,308 shares of common stock due to an investor not participating in the Series D convertible preferred stock financing, and were accounted for as a conversion of the convertible preferred stock.</w:t>
      </w:r>
    </w:p>
    <w:p>
      <w:pPr>
        <w:pStyle w:val="TextBody"/>
        <w:bidi w:val="0"/>
        <w:spacing w:before="120" w:after="283"/>
        <w:jc w:val="center"/>
        <w:rPr>
          <w:rFonts w:ascii="Arial" w:hAnsi="Arial"/>
          <w:color w:val="000000"/>
          <w:sz w:val="20"/>
        </w:rPr>
      </w:pPr>
      <w:r>
        <w:rPr>
          <w:rFonts w:ascii="Arial" w:hAnsi="Arial"/>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convertible preferred stock consisted of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15"/>
        <w:gridCol w:w="146"/>
        <w:gridCol w:w="169"/>
        <w:gridCol w:w="1360"/>
        <w:gridCol w:w="146"/>
        <w:gridCol w:w="146"/>
        <w:gridCol w:w="189"/>
        <w:gridCol w:w="1520"/>
        <w:gridCol w:w="146"/>
        <w:gridCol w:w="146"/>
        <w:gridCol w:w="225"/>
        <w:gridCol w:w="852"/>
        <w:gridCol w:w="146"/>
        <w:gridCol w:w="146"/>
        <w:gridCol w:w="277"/>
        <w:gridCol w:w="1050"/>
        <w:gridCol w:w="146"/>
        <w:gridCol w:w="146"/>
        <w:gridCol w:w="197"/>
        <w:gridCol w:w="1441"/>
        <w:gridCol w:w="196"/>
      </w:tblGrid>
      <w:tr>
        <w:trPr/>
        <w:tc>
          <w:tcPr>
            <w:tcW w:w="1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009"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Preferred Shares 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Preferred Shares Issued 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Liquidation 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Common Stock Issuable Upon Conversion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28,357,989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28,357,989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2,918,391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A-1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7,575,753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7,575,753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804,894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A-2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7,815,303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7,799,055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836,196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B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26,601,360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26,601,360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2,865,384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C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23,442,000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23,442,000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2,412,468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C-1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1,459,598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1,459,598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150,211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D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142,016,823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141,950,377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196,031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213,631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14,608,456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237,268,826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237,186,132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703,558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24,596,000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28"/>
        <w:gridCol w:w="146"/>
        <w:gridCol w:w="170"/>
        <w:gridCol w:w="1367"/>
        <w:gridCol w:w="146"/>
        <w:gridCol w:w="146"/>
        <w:gridCol w:w="200"/>
        <w:gridCol w:w="1463"/>
        <w:gridCol w:w="146"/>
        <w:gridCol w:w="146"/>
        <w:gridCol w:w="226"/>
        <w:gridCol w:w="854"/>
        <w:gridCol w:w="146"/>
        <w:gridCol w:w="146"/>
        <w:gridCol w:w="278"/>
        <w:gridCol w:w="1054"/>
        <w:gridCol w:w="146"/>
        <w:gridCol w:w="146"/>
        <w:gridCol w:w="199"/>
        <w:gridCol w:w="1454"/>
        <w:gridCol w:w="198"/>
      </w:tblGrid>
      <w:tr>
        <w:trPr/>
        <w:tc>
          <w:tcPr>
            <w:tcW w:w="1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007"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Preferred Shares 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Preferred Shares Issued 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Liquidation Preference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Common Stock Issuable Upon Conversion</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30,039,874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30,039,874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3,091,478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A-1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7,575,753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7,575,753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804,893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A-2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7,815,303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7,799,055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836,190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B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26,601,360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26,601,360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2,865,387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C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23,442,000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23,442,000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2,412,468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C-1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4,865,327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1,459,598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150,211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100,339,617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96,917,640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514,893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516,913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10,160,627</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As of December 31, 2025, the holders of the Series A convertible preferred stock, Series A-1 convertible preferred stock, Series A-2 convertible preferred stock, Series B convertible preferred stock, Series C convertible preferred stock, Series C-1 convertible preferred stock and Series D convertible preferred stock have the following rights and preferences:</w:t>
      </w:r>
    </w:p>
    <w:p>
      <w:pPr>
        <w:pStyle w:val="TextBody"/>
        <w:bidi w:val="0"/>
        <w:spacing w:before="240" w:after="283"/>
        <w:jc w:val="both"/>
        <w:rPr>
          <w:rFonts w:ascii="Times New Roman" w:hAnsi="Times New Roman"/>
          <w:sz w:val="20"/>
        </w:rPr>
      </w:pPr>
      <w:r>
        <w:rPr>
          <w:rFonts w:ascii="Arial" w:hAnsi="Arial"/>
          <w:b/>
          <w:i/>
          <w:color w:val="000000"/>
          <w:sz w:val="20"/>
        </w:rPr>
        <w:t>Voting rights</w:t>
      </w:r>
      <w:r>
        <w:rPr>
          <w:rFonts w:ascii="Times New Roman" w:hAnsi="Times New Roman"/>
          <w:color w:val="000000"/>
          <w:sz w:val="20"/>
        </w:rPr>
        <w:t xml:space="preserve"> – </w:t>
      </w:r>
      <w:r>
        <w:rPr>
          <w:rFonts w:ascii="Arial" w:hAnsi="Arial"/>
          <w:color w:val="000000"/>
          <w:sz w:val="20"/>
        </w:rPr>
        <w:t>Holders of the Series A convertible preferred stock, Series A-1 convertible preferred stock, Series A-2 convertible preferred stock, Series B convertible preferred stock, Series C convertible preferred stock, Series C-1 convertible preferred stock and Series D convertible preferred stock are entitled to the number of votes equal to the number of shares of common stock into which such shares of convertible preferred stock held by such holder could be converted as of the relevant record date at all meetings of stockholders. The holders of convertible preferred stock generally vote together as a single class with holders of common stock except that, the holders of Series A convertible preferred stock, Series A-1 convertible preferred stock, Series A-2 convertible preferred stock voting together as a single class on an as converted basis are entitled to elect two directors, and the holders of Series D convertible preferred stock voting together as a single class on an as converted basis are entitled to elect one director. The remaining members of the Board of Directors are elected by the holders of convertible preferred stock and common stock, voting together as a single class on an as-converted basis.</w:t>
      </w:r>
    </w:p>
    <w:p>
      <w:pPr>
        <w:pStyle w:val="TextBody"/>
        <w:bidi w:val="0"/>
        <w:spacing w:before="120" w:after="283"/>
        <w:jc w:val="center"/>
        <w:rPr>
          <w:rFonts w:ascii="Arial" w:hAnsi="Arial"/>
          <w:color w:val="000000"/>
          <w:sz w:val="20"/>
        </w:rPr>
      </w:pPr>
      <w:r>
        <w:rPr>
          <w:rFonts w:ascii="Arial" w:hAnsi="Arial"/>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Dividends</w:t>
      </w:r>
      <w:r>
        <w:rPr>
          <w:rFonts w:ascii="Times New Roman" w:hAnsi="Times New Roman"/>
          <w:color w:val="000000"/>
          <w:sz w:val="20"/>
        </w:rPr>
        <w:t xml:space="preserve"> – </w:t>
      </w:r>
      <w:r>
        <w:rPr>
          <w:rFonts w:ascii="Arial" w:hAnsi="Arial"/>
          <w:color w:val="000000"/>
          <w:sz w:val="20"/>
        </w:rPr>
        <w:t>Holders of outstanding shares of Series A convertible preferred stock, Series A-1 convertible preferred stock, Series A-2 convertible preferred stock, Series B convertible preferred stock, Series C convertible preferred stock, Series C-1 convertible preferred stock and Series D convertible preferred stock are entitled to participate in any dividends payable to common stockholders on an as converted basis and have priority over the payment of dividends to holders of common stock. The holders are not contractually required to participate in losses of the Company.</w:t>
      </w:r>
    </w:p>
    <w:p>
      <w:pPr>
        <w:pStyle w:val="TextBody"/>
        <w:bidi w:val="0"/>
        <w:spacing w:before="240" w:after="283"/>
        <w:jc w:val="both"/>
        <w:rPr>
          <w:rFonts w:ascii="Arial" w:hAnsi="Arial"/>
          <w:color w:val="000000"/>
          <w:sz w:val="20"/>
        </w:rPr>
      </w:pPr>
      <w:r>
        <w:rPr>
          <w:rFonts w:ascii="Arial" w:hAnsi="Arial"/>
          <w:color w:val="000000"/>
          <w:sz w:val="20"/>
        </w:rPr>
        <w:t>In the case of a dividend on common stock or any class of stock that is convertible into common stock, the dividend per share of convertible preferred stock would equal the product of (A) the dividend payable on each share of such class or series as if all shares of such class or series had been converted into common stock and (B) the number of shares of common stock issuable upon conversion of such share of convertible preferred stock. In the case of a dividend on any class or series that is not convertible into common stock, the dividend per share of convertible preferred stock would be determined by (A) dividing the amount of dividend payable on each share of such class or series of capital stock by the original issue price of such class or series and (B) multiplying such fraction by the original issue price of the applicable class of convertible preferred stock.</w:t>
      </w:r>
    </w:p>
    <w:p>
      <w:pPr>
        <w:pStyle w:val="TextBody"/>
        <w:bidi w:val="0"/>
        <w:spacing w:before="240" w:after="283"/>
        <w:jc w:val="both"/>
        <w:rPr>
          <w:rFonts w:ascii="Times New Roman" w:hAnsi="Times New Roman"/>
          <w:sz w:val="20"/>
        </w:rPr>
      </w:pPr>
      <w:r>
        <w:rPr>
          <w:rFonts w:ascii="Arial" w:hAnsi="Arial"/>
          <w:b/>
          <w:i/>
          <w:color w:val="000000"/>
          <w:sz w:val="20"/>
        </w:rPr>
        <w:t>Liquidation Amount</w:t>
      </w:r>
      <w:r>
        <w:rPr>
          <w:rFonts w:ascii="Times New Roman" w:hAnsi="Times New Roman"/>
          <w:color w:val="000000"/>
          <w:sz w:val="20"/>
        </w:rPr>
        <w:t xml:space="preserve"> – </w:t>
      </w:r>
      <w:r>
        <w:rPr>
          <w:rFonts w:ascii="Arial" w:hAnsi="Arial"/>
          <w:color w:val="000000"/>
          <w:sz w:val="20"/>
        </w:rPr>
        <w:t>The Series D convertible preferred stock ranks, with respect to rights in the event of voluntary or involuntary liquidation, winding up, dissolution, and deemed liquidation events, senior and in priority of payment to (i) the Series A convertible preferred stock, Series A-1 convertible preferred stock, Series A-2 convertible preferred stock, Series B convertible preferred stock, Series C convertible preferred stock and Series C-1 convertible preferred stock and (ii) the common stock. After payment in full of the amounts owed to holders of Series D convertible preferred stock, the Series C convertible preferred stock and Series C-1 convertible preferred stock rank, with respect to rights in the event of voluntary or involuntary liquidation, winding up, dissolution, and deemed liquidation events, senior and in priority of payment to (i) the Series B convertible preferred stock, (ii) the Series A convertible preferred stock, Series A-1 convertible preferred stock, Series A-2 convertible preferred stock and (iii) the common stock. The Series C convertible preferred stock and Series C-1 convertible preferred stock rank on parity with each other. After payment in full of the amounts owed to holders of the Series C convertible preferred stock and Series C-1 convertible preferred stock, the Series B convertible preferred stock, with respect to distribution rights and rights on liquidation, winding-up and dissolution, rank senior and in priority of payment to (i) the Series A convertible preferred stock, Series A-1 convertible preferred stock, Series A-2 convertible preferred stock and (ii) the common stock. After payment in full of the amounts owed to holders of the Series B convertible preferred stock, Series C convertible preferred stock and Series C-1 convertible preferred stock, the Series A convertible preferred stock, Series A-1 convertible preferred stock, Series A-2 convertible preferred stock, with respect to distribution rights and rights on liquidation, winding-up and dissolution, rank (i) senior and in priority of payment to the common stock and (ii) on parity with each other. After the payment of the full liquidation preference of the convertible preferred stock, the remaining assets of the Company legally available for distribution, if any, will be distributed ratably to the holders of common stock.</w:t>
      </w:r>
    </w:p>
    <w:p>
      <w:pPr>
        <w:pStyle w:val="TextBody"/>
        <w:bidi w:val="0"/>
        <w:spacing w:before="240" w:after="283"/>
        <w:jc w:val="both"/>
        <w:rPr>
          <w:rFonts w:ascii="Arial" w:hAnsi="Arial"/>
          <w:color w:val="000000"/>
          <w:sz w:val="20"/>
        </w:rPr>
      </w:pPr>
      <w:r>
        <w:rPr>
          <w:rFonts w:ascii="Arial" w:hAnsi="Arial"/>
          <w:color w:val="000000"/>
          <w:sz w:val="20"/>
        </w:rPr>
        <w:t>In the event of any voluntary or involuntary liquidation, dissolution or winding up of the corporation, or upon the occurrence of a deemed liquidation event, the holders of shares of (i) the Series D convertible preferred stock are entitled to payments in an amount equal the greater of (a) $1.50497 per share, plus dividends declared but unpaid and (b) the amount payable with respect to such share as if it was converted to common stock immediately prior to settlement, (ii) the Series C and Series C-1 convertible preferred stock are entitled to payments in an amount equal the greater of (a) $1.96714 per share and $2.02159 per share, respectively, plus dividends declared but unpaid and (b) the amount payable with respect to such share as if it was converted to common stock immediately prior to settlement, (iii) the Series B convertible preferred stock are entitled to payments in an amount equal the greater of (a) $2.48483 per share, plus dividends declared but unpaid and (b) the amount payable with respect to such share as if it was converted to common stock immediately prior to settlement, and (iv) the Series A, Series A-1 and Series A-2 convertible preferred stock are entitled to payments in an amount equal to the greater of (a) $1.70821 per share, $2.30608 per share and $2.42139 per share, respectively, plus dividends declared but unpaid and (b) the amount payable with respect to such share as if it was converted to common stock immediately prior to settlement.</w:t>
      </w:r>
    </w:p>
    <w:p>
      <w:pPr>
        <w:pStyle w:val="TextBody"/>
        <w:bidi w:val="0"/>
        <w:spacing w:before="240" w:after="283"/>
        <w:jc w:val="both"/>
        <w:rPr>
          <w:rFonts w:ascii="Times New Roman" w:hAnsi="Times New Roman"/>
          <w:sz w:val="20"/>
        </w:rPr>
      </w:pPr>
      <w:r>
        <w:rPr>
          <w:rFonts w:ascii="Arial" w:hAnsi="Arial"/>
          <w:b/>
          <w:i/>
          <w:color w:val="000000"/>
          <w:sz w:val="20"/>
        </w:rPr>
        <w:t>Conversion Option</w:t>
      </w:r>
      <w:r>
        <w:rPr>
          <w:rFonts w:ascii="Times New Roman" w:hAnsi="Times New Roman"/>
          <w:color w:val="000000"/>
          <w:sz w:val="20"/>
        </w:rPr>
        <w:t xml:space="preserve"> – </w:t>
      </w:r>
      <w:r>
        <w:rPr>
          <w:rFonts w:ascii="Arial" w:hAnsi="Arial"/>
          <w:color w:val="000000"/>
          <w:sz w:val="20"/>
        </w:rPr>
        <w:t>Each share of the convertible preferred stock is convertible into shares of the Company’s common stock on a one-to-one basis, subject to appropriate adjustment in the event of any stock dividend, stock split or similar recapitalization, at the option of the stockholder and subject to adjustments in accordance with anti-dilution provisions and down round features. In addition, such shares will be converted automatically into shares of the Company’s common stock at then applicable conversion ratio upon the earlier of (i) a firm-commitment underwritten public offering pursuant to an effective registration statement under the Securities Act of 1933, as amended, on the New York Stock Exchange or Nasdaq Stock Market resulting in at least $100.0 million of gross proceeds, net of underwriting discounts and commissions, (ii) the completion by the Company of a business combination, merger, consolidation or share exchange with a special purpose acquisition company (“SPAC”) or its subsidiary in which the common stock of the surviving or parent entity is listed on New York Stock Exchange or Nasdaq Stock Market as of the consummation of such transaction, after taking into account any</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redemptions from the SPAC’s trust account, the surviving entity or parent entity receives at least $100.0 million of gross proceeds, net of the underwriting discount and commissions, from the sale of its equity securities, or (iii) the occurrence of an event specified by vote or written consent of the majority of the holders of the then outstanding shares of a specific class of convertible preferred stock, only with respect to that class of convertible preferred stock.</w:t>
      </w:r>
    </w:p>
    <w:p>
      <w:pPr>
        <w:pStyle w:val="TextBody"/>
        <w:bidi w:val="0"/>
        <w:spacing w:before="240" w:after="283"/>
        <w:jc w:val="both"/>
        <w:rPr>
          <w:rFonts w:ascii="Arial" w:hAnsi="Arial"/>
          <w:b/>
          <w:color w:val="000000"/>
          <w:sz w:val="20"/>
        </w:rPr>
      </w:pPr>
      <w:r>
        <w:rPr>
          <w:rFonts w:ascii="Arial" w:hAnsi="Arial"/>
          <w:b/>
          <w:color w:val="000000"/>
          <w:sz w:val="20"/>
        </w:rPr>
        <w:t>12.</w:t>
      </w:r>
    </w:p>
    <w:p>
      <w:pPr>
        <w:pStyle w:val="TextBody"/>
        <w:bidi w:val="0"/>
        <w:spacing w:before="240" w:after="283"/>
        <w:jc w:val="both"/>
        <w:rPr>
          <w:rFonts w:ascii="Arial" w:hAnsi="Arial"/>
          <w:b/>
          <w:color w:val="000000"/>
          <w:sz w:val="20"/>
        </w:rPr>
      </w:pPr>
      <w:r>
        <w:rPr>
          <w:rFonts w:ascii="Arial" w:hAnsi="Arial"/>
          <w:b/>
          <w:color w:val="000000"/>
          <w:sz w:val="20"/>
        </w:rPr>
        <w:t>Warrants</w:t>
      </w:r>
    </w:p>
    <w:p>
      <w:pPr>
        <w:pStyle w:val="TextBody"/>
        <w:bidi w:val="0"/>
        <w:spacing w:before="240" w:after="283"/>
        <w:jc w:val="both"/>
        <w:rPr>
          <w:rFonts w:ascii="Times New Roman" w:hAnsi="Times New Roman"/>
          <w:sz w:val="20"/>
        </w:rPr>
      </w:pPr>
      <w:r>
        <w:rPr>
          <w:rFonts w:ascii="Arial" w:hAnsi="Arial"/>
          <w:color w:val="000000"/>
          <w:sz w:val="20"/>
        </w:rPr>
        <w:t xml:space="preserve">In connection with entering into a loan and security agreement (“LSA”) with Pacific Western Bank in 2022, (acquired by Banc of California in November 2023), the Company issued a warrant to purchase 64,992 shares of the Company’s Series A-2 convertible preferred stock with an exercise price of $6.15 that was exercisable based on the proportion of amounts borrowed to the borrowing capacity (the “LSA Warrant”). At the LSA Warrant issuance date, the right of the holder to purchase 16,248 shares immediately vested and was exercisable. The right to purchase these shares expires ten years after the issuance date. The right to purchase the remaining 48,744 shares was forfeited upon termination of the LSA by the Company in April 2023. As of December 31, 2025, the right to purchase the 16,248 shares of Series A-2 convertible preferred stock was outstanding. The LSA Warrant requires liability classification under the guidance in ASC 480, </w:t>
      </w:r>
      <w:r>
        <w:rPr>
          <w:rFonts w:ascii="Arial" w:hAnsi="Arial"/>
          <w:i/>
          <w:color w:val="000000"/>
          <w:sz w:val="20"/>
        </w:rPr>
        <w:t>Distinguishing Liabilities from Equity</w:t>
      </w:r>
      <w:r>
        <w:rPr>
          <w:rFonts w:ascii="Arial" w:hAnsi="Arial"/>
          <w:color w:val="000000"/>
          <w:sz w:val="20"/>
        </w:rPr>
        <w:t>, as the Series A-2 convertible preferred stock underlying the LSA Warrant is redeemable outside of the control of the Company. The Company initially recorded the LSA Warrant at fair value and records changes in fair value at each reporting period (See Note 5).</w:t>
      </w:r>
    </w:p>
    <w:p>
      <w:pPr>
        <w:pStyle w:val="TextBody"/>
        <w:bidi w:val="0"/>
        <w:spacing w:before="240" w:after="120"/>
        <w:jc w:val="both"/>
        <w:rPr>
          <w:rFonts w:ascii="Arial" w:hAnsi="Arial"/>
          <w:color w:val="000000"/>
          <w:sz w:val="20"/>
        </w:rPr>
      </w:pPr>
      <w:r>
        <w:rPr>
          <w:rFonts w:ascii="Arial" w:hAnsi="Arial"/>
          <w:color w:val="000000"/>
          <w:sz w:val="20"/>
        </w:rPr>
        <w:t>In connection with entering into the Series D Preferred Stock Purchase Agreement in 2025, the Company issued an aggregate amount of warrants to purchase 4,056,164 shares of the Company's common stock, each with an exercise price of $0.10 per share (the “Common Warrants”). The Common Warrants may be exercised at any time by the holder and have a seven-year contractual term from their respective dates of issuance. Upon an initial public offering or deemed liquidation event (each, a “Corporate Transaction”), the outstanding Common Warrants are subject to automatic net exercise and will become shares of the Company's common stock, effective immediately prior to the consummation of the Corporate Transaction. The Company determined that the Common Warrants are equity-classified, and recorded the amounts allocated to the Common Warrants within additional paid</w:t>
        <w:noBreakHyphen/>
        <w:t>in capital on the consolidated balance sheets (See Note 11).</w:t>
      </w:r>
    </w:p>
    <w:p>
      <w:pPr>
        <w:pStyle w:val="TextBody"/>
        <w:bidi w:val="0"/>
        <w:spacing w:before="120" w:after="283"/>
        <w:jc w:val="both"/>
        <w:rPr>
          <w:rFonts w:ascii="Arial" w:hAnsi="Arial"/>
          <w:color w:val="000000"/>
          <w:sz w:val="20"/>
        </w:rPr>
      </w:pPr>
      <w:r>
        <w:rPr>
          <w:rFonts w:ascii="Arial" w:hAnsi="Arial"/>
          <w:color w:val="000000"/>
          <w:sz w:val="20"/>
        </w:rPr>
        <w:t>During the year ended December 31, 2025, a total of 748,374 warrants were exercised, resulting in the issuance of 748,374 shares of common stock and aggregate proceeds of $73 thousand. As of December 31, 2025, 3,307,791 warrants remain issued and outstanding.</w:t>
      </w:r>
    </w:p>
    <w:p>
      <w:pPr>
        <w:pStyle w:val="TextBody"/>
        <w:bidi w:val="0"/>
        <w:spacing w:before="240" w:after="283"/>
        <w:jc w:val="both"/>
        <w:rPr>
          <w:rFonts w:ascii="Arial" w:hAnsi="Arial"/>
          <w:b/>
          <w:color w:val="000000"/>
          <w:sz w:val="20"/>
        </w:rPr>
      </w:pPr>
      <w:r>
        <w:rPr>
          <w:rFonts w:ascii="Arial" w:hAnsi="Arial"/>
          <w:b/>
          <w:color w:val="000000"/>
          <w:sz w:val="20"/>
        </w:rPr>
        <w:t>13.</w:t>
      </w:r>
    </w:p>
    <w:p>
      <w:pPr>
        <w:pStyle w:val="TextBody"/>
        <w:bidi w:val="0"/>
        <w:spacing w:before="240" w:after="283"/>
        <w:jc w:val="both"/>
        <w:rPr>
          <w:rFonts w:ascii="Arial" w:hAnsi="Arial"/>
          <w:b/>
          <w:color w:val="000000"/>
          <w:sz w:val="20"/>
        </w:rPr>
      </w:pPr>
      <w:r>
        <w:rPr>
          <w:rFonts w:ascii="Arial" w:hAnsi="Arial"/>
          <w:b/>
          <w:color w:val="000000"/>
          <w:sz w:val="20"/>
        </w:rPr>
        <w:t>Stock-Based Compensation</w:t>
      </w:r>
    </w:p>
    <w:p>
      <w:pPr>
        <w:pStyle w:val="Heading2"/>
        <w:bidi w:val="0"/>
        <w:spacing w:before="240" w:after="283"/>
        <w:jc w:val="both"/>
        <w:rPr>
          <w:rFonts w:ascii="Arial" w:hAnsi="Arial"/>
          <w:i/>
          <w:color w:val="000000"/>
          <w:sz w:val="20"/>
        </w:rPr>
      </w:pPr>
      <w:r>
        <w:rPr>
          <w:rFonts w:ascii="Arial" w:hAnsi="Arial"/>
          <w:i/>
          <w:color w:val="000000"/>
          <w:sz w:val="20"/>
        </w:rPr>
        <w:t>Stock Options</w:t>
      </w:r>
    </w:p>
    <w:p>
      <w:pPr>
        <w:pStyle w:val="TextBody"/>
        <w:bidi w:val="0"/>
        <w:spacing w:before="240" w:after="283"/>
        <w:jc w:val="both"/>
        <w:rPr>
          <w:rFonts w:ascii="Arial" w:hAnsi="Arial"/>
          <w:color w:val="000000"/>
          <w:sz w:val="20"/>
        </w:rPr>
      </w:pPr>
      <w:r>
        <w:rPr>
          <w:rFonts w:ascii="Arial" w:hAnsi="Arial"/>
          <w:color w:val="000000"/>
          <w:sz w:val="20"/>
        </w:rPr>
        <w:t>In August 2021, the Company’s Board of Directors adopted the 2021 Equity Incentive Plan (the “2021 Plan”) which provides for the granting of stock appreciation rights, incentive stock options, restricted stock awards, other stock-based awards to eligible employees, officers, directors, consultants, and advisors. The stock options issued under the 2021 Plan expire not more than ten years from the grant date. The 2021 Plan was subsequently amended on various dates through September 2025 to increase the number of shares available for the issuance of awards to a total of 6,333,919. As of December 31, 2025, there were 953,136 shares of voting common stock available for future grant under the 2021 Plan.</w:t>
      </w:r>
    </w:p>
    <w:p>
      <w:pPr>
        <w:pStyle w:val="TextBody"/>
        <w:bidi w:val="0"/>
        <w:spacing w:before="240" w:after="283"/>
        <w:jc w:val="both"/>
        <w:rPr>
          <w:rFonts w:ascii="Arial" w:hAnsi="Arial"/>
          <w:color w:val="000000"/>
          <w:sz w:val="20"/>
        </w:rPr>
      </w:pPr>
      <w:r>
        <w:rPr>
          <w:rFonts w:ascii="Arial" w:hAnsi="Arial"/>
          <w:color w:val="000000"/>
          <w:sz w:val="20"/>
        </w:rPr>
        <w:t>The stock options generally vest over four years, with 25% of the award vesting at a one-year cliff with the remaining portion vesting in equal installments over the remaining period. The stock options granted contain service</w:t>
        <w:noBreakHyphen/>
        <w:t>based vesting conditions and certain stock options granted contain performance</w:t>
        <w:noBreakHyphen/>
        <w:t>based vesting conditions. The service</w:t>
        <w:noBreakHyphen/>
        <w:t>based component requires continued service with the Company over the requisite service period, while the performance</w:t>
        <w:noBreakHyphen/>
        <w:t>based condition is tied to the achievement of a research and development milestone.</w:t>
      </w:r>
    </w:p>
    <w:p>
      <w:pPr>
        <w:pStyle w:val="TextBody"/>
        <w:bidi w:val="0"/>
        <w:spacing w:before="120" w:after="283"/>
        <w:jc w:val="center"/>
        <w:rPr>
          <w:rFonts w:ascii="Arial" w:hAnsi="Arial"/>
          <w:color w:val="000000"/>
          <w:sz w:val="20"/>
        </w:rPr>
      </w:pPr>
      <w:r>
        <w:rPr>
          <w:rFonts w:ascii="Arial" w:hAnsi="Arial"/>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following table summarizes the Company’s stock option activity for the year ended December 31, 2025:</w:t>
      </w:r>
    </w:p>
    <w:p>
      <w:pPr>
        <w:pStyle w:val="TextBody"/>
        <w:bidi w:val="0"/>
        <w:jc w:val="left"/>
        <w:rPr/>
      </w:pPr>
      <w:r>
        <w:rPr/>
        <w:t> </w:t>
      </w:r>
    </w:p>
    <w:tbl>
      <w:tblPr>
        <w:tblW w:w="9886" w:type="dxa"/>
        <w:jc w:val="left"/>
        <w:tblInd w:w="0" w:type="dxa"/>
        <w:tblLayout w:type="fixed"/>
        <w:tblCellMar>
          <w:top w:w="28" w:type="dxa"/>
          <w:left w:w="28" w:type="dxa"/>
          <w:bottom w:w="28" w:type="dxa"/>
          <w:right w:w="28" w:type="dxa"/>
        </w:tblCellMar>
      </w:tblPr>
      <w:tblGrid>
        <w:gridCol w:w="3421"/>
        <w:gridCol w:w="146"/>
        <w:gridCol w:w="188"/>
        <w:gridCol w:w="1237"/>
        <w:gridCol w:w="166"/>
        <w:gridCol w:w="146"/>
        <w:gridCol w:w="258"/>
        <w:gridCol w:w="718"/>
        <w:gridCol w:w="146"/>
        <w:gridCol w:w="146"/>
        <w:gridCol w:w="348"/>
        <w:gridCol w:w="1152"/>
        <w:gridCol w:w="146"/>
        <w:gridCol w:w="146"/>
        <w:gridCol w:w="245"/>
        <w:gridCol w:w="806"/>
        <w:gridCol w:w="47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Aggregate</w:t>
              <w:br/>
              <w:t>Intrinsic</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2,316,982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13,443</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3,181,349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4,631,713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1,658,940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83"/>
        <w:jc w:val="left"/>
        <w:rPr/>
      </w:pPr>
      <w:r>
        <w:rPr/>
      </w:r>
    </w:p>
    <w:p>
      <w:pPr>
        <w:pStyle w:val="TextBody"/>
        <w:bidi w:val="0"/>
        <w:spacing w:before="0" w:after="240"/>
        <w:jc w:val="both"/>
        <w:rPr>
          <w:rFonts w:ascii="Arial" w:hAnsi="Arial"/>
          <w:color w:val="000000"/>
          <w:sz w:val="20"/>
        </w:rPr>
      </w:pPr>
      <w:r>
        <w:rPr>
          <w:rFonts w:ascii="Arial" w:hAnsi="Arial"/>
          <w:color w:val="000000"/>
          <w:sz w:val="20"/>
        </w:rPr>
        <w:t>In December 2025, 166,550 stock options to purchase shares of the Company’s common stock were early exercised pursuant to approval by the Company's Board of Directors. The unvested common stock purchased pursuant to the early exercise of stock options are not deemed, for accounting purposes, to be outstanding until those shares vest according to their respective terms. The Company received $0.7 million in cash proceeds related to the early exercise of stock options during the year ended December 31, 2025, which was recognized within additional paid-in capital.</w:t>
      </w:r>
    </w:p>
    <w:p>
      <w:pPr>
        <w:pStyle w:val="TextBody"/>
        <w:bidi w:val="0"/>
        <w:jc w:val="both"/>
        <w:rPr>
          <w:rFonts w:ascii="Arial" w:hAnsi="Arial"/>
          <w:color w:val="000000"/>
          <w:sz w:val="20"/>
        </w:rPr>
      </w:pPr>
      <w:r>
        <w:rPr>
          <w:rFonts w:ascii="Arial" w:hAnsi="Arial"/>
          <w:color w:val="000000"/>
          <w:sz w:val="20"/>
        </w:rPr>
        <w:t>The following table presents, on a weighted-average basis, the assumptions used in the Black Scholes option-pricing model to determine the grant date fair value of the stock options granted during the year ended:</w:t>
      </w:r>
    </w:p>
    <w:p>
      <w:pPr>
        <w:pStyle w:val="TextBody"/>
        <w:bidi w:val="0"/>
        <w:jc w:val="both"/>
        <w:rPr/>
      </w:pPr>
      <w:r>
        <w:rPr/>
        <w:t> </w:t>
      </w:r>
    </w:p>
    <w:tbl>
      <w:tblPr>
        <w:tblW w:w="5054" w:type="dxa"/>
        <w:jc w:val="left"/>
        <w:tblInd w:w="0" w:type="dxa"/>
        <w:tblLayout w:type="fixed"/>
        <w:tblCellMar>
          <w:top w:w="28" w:type="dxa"/>
          <w:left w:w="28" w:type="dxa"/>
          <w:bottom w:w="28" w:type="dxa"/>
          <w:right w:w="28" w:type="dxa"/>
        </w:tblCellMar>
      </w:tblPr>
      <w:tblGrid>
        <w:gridCol w:w="2551"/>
        <w:gridCol w:w="146"/>
        <w:gridCol w:w="211"/>
        <w:gridCol w:w="586"/>
        <w:gridCol w:w="286"/>
        <w:gridCol w:w="146"/>
        <w:gridCol w:w="211"/>
        <w:gridCol w:w="586"/>
        <w:gridCol w:w="33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96.33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0" w:after="283"/>
        <w:jc w:val="left"/>
        <w:rPr/>
      </w:pPr>
      <w:r>
        <w:rPr/>
      </w:r>
    </w:p>
    <w:p>
      <w:pPr>
        <w:pStyle w:val="TextBody"/>
        <w:bidi w:val="0"/>
        <w:jc w:val="both"/>
        <w:rPr>
          <w:rFonts w:ascii="Arial" w:hAnsi="Arial"/>
          <w:color w:val="000000"/>
          <w:sz w:val="20"/>
        </w:rPr>
      </w:pPr>
      <w:r>
        <w:rPr>
          <w:rFonts w:ascii="Arial" w:hAnsi="Arial"/>
          <w:color w:val="000000"/>
          <w:sz w:val="20"/>
        </w:rPr>
        <w:t>The weighted average grant-date fair value of stock options granted during the years ended December 31, 2025 and 2024 was $3.25 and $20.58 per option, respectively. 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was $0.1 million in each of the years ended December 31, 2025 and 2024.</w:t>
      </w:r>
    </w:p>
    <w:p>
      <w:pPr>
        <w:pStyle w:val="Heading2"/>
        <w:bidi w:val="0"/>
        <w:spacing w:before="240" w:after="283"/>
        <w:jc w:val="both"/>
        <w:rPr>
          <w:rFonts w:ascii="Arial" w:hAnsi="Arial"/>
          <w:i/>
          <w:color w:val="000000"/>
          <w:sz w:val="20"/>
        </w:rPr>
      </w:pPr>
      <w:r>
        <w:rPr>
          <w:rFonts w:ascii="Arial" w:hAnsi="Arial"/>
          <w:i/>
          <w:color w:val="000000"/>
          <w:sz w:val="20"/>
        </w:rPr>
        <w:t>Stock Option Award Repricings</w:t>
      </w:r>
    </w:p>
    <w:p>
      <w:pPr>
        <w:pStyle w:val="TextBody"/>
        <w:bidi w:val="0"/>
        <w:spacing w:before="240" w:after="240"/>
        <w:jc w:val="both"/>
        <w:rPr>
          <w:rFonts w:ascii="Arial" w:hAnsi="Arial"/>
          <w:color w:val="000000"/>
          <w:sz w:val="20"/>
        </w:rPr>
      </w:pPr>
      <w:r>
        <w:rPr>
          <w:rFonts w:ascii="Arial" w:hAnsi="Arial"/>
          <w:color w:val="000000"/>
          <w:sz w:val="20"/>
        </w:rPr>
        <w:t>On June 18, 2025, the Board of Directors approved a repricing of certain outstanding stock option awards granted under the 2021 Plan. The affected awards had exercise prices ranging from $23.03 to $32.07. The exercise price of the affected awards was reduced to $3.98, the estimated fair value of the Company's common stock on the modification date. No other changes were made to the terms and conditions of the eligible option awards. The repricing is accounted for as an equity-classified modification and impacted 1,927,326 stock option awards. The modification resulted in incremental stock-based compensation expense of $2.4 million, of which $1.5 million was recognized during the year ended December 31, 2025. The remaining $0.9 million is being recognized over the remaining requisite service period of approximately 2.38 years.</w:t>
      </w:r>
    </w:p>
    <w:p>
      <w:pPr>
        <w:pStyle w:val="TextBody"/>
        <w:bidi w:val="0"/>
        <w:spacing w:before="0" w:after="240"/>
        <w:jc w:val="both"/>
        <w:rPr>
          <w:rFonts w:ascii="Arial" w:hAnsi="Arial"/>
          <w:color w:val="000000"/>
          <w:sz w:val="20"/>
        </w:rPr>
      </w:pPr>
      <w:r>
        <w:rPr>
          <w:rFonts w:ascii="Arial" w:hAnsi="Arial"/>
          <w:color w:val="000000"/>
          <w:sz w:val="20"/>
        </w:rPr>
        <w:t>On September 10, 2025, the Board of Directors approved a repricing of certain outstanding stock option awards granted under the 2021 Plan. The affected awards had exercise prices of $23.42 and $25.17. The exercise price of the affected awards was reduced to $4.18, the estimated fair value of the Company's common stock on the modification date. No other changes were made to the terms and conditions of the eligible option awards. The repricing is accounted for as an equity-classified modification and impacted 47,754 stock option awards. The modification resulted in incremental stock-based compensation expense of $0.1 million, which was recognized during the year ended December 31, 2025.</w:t>
      </w:r>
    </w:p>
    <w:p>
      <w:pPr>
        <w:pStyle w:val="TextBody"/>
        <w:bidi w:val="0"/>
        <w:spacing w:before="120" w:after="283"/>
        <w:jc w:val="center"/>
        <w:rPr>
          <w:rFonts w:ascii="Arial" w:hAnsi="Arial"/>
          <w:color w:val="000000"/>
          <w:sz w:val="20"/>
        </w:rPr>
      </w:pPr>
      <w:r>
        <w:rPr>
          <w:rFonts w:ascii="Arial" w:hAnsi="Arial"/>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Heading2"/>
        <w:bidi w:val="0"/>
        <w:spacing w:before="240" w:after="283"/>
        <w:jc w:val="both"/>
        <w:rPr>
          <w:rFonts w:ascii="Arial" w:hAnsi="Arial"/>
          <w:i/>
          <w:color w:val="000000"/>
          <w:sz w:val="20"/>
        </w:rPr>
      </w:pPr>
      <w:r>
        <w:rPr>
          <w:rFonts w:ascii="Arial" w:hAnsi="Arial"/>
          <w:i/>
          <w:color w:val="000000"/>
          <w:sz w:val="20"/>
        </w:rPr>
        <w:t>Restricted Stock</w:t>
      </w:r>
    </w:p>
    <w:p>
      <w:pPr>
        <w:pStyle w:val="TextBody"/>
        <w:bidi w:val="0"/>
        <w:spacing w:before="240" w:after="283"/>
        <w:jc w:val="both"/>
        <w:rPr>
          <w:rFonts w:ascii="Arial" w:hAnsi="Arial"/>
          <w:color w:val="000000"/>
          <w:sz w:val="20"/>
        </w:rPr>
      </w:pPr>
      <w:r>
        <w:rPr>
          <w:rFonts w:ascii="Arial" w:hAnsi="Arial"/>
          <w:color w:val="000000"/>
          <w:sz w:val="20"/>
        </w:rPr>
        <w:t>The summary of restricted stock award activity for the year ended December 31, 2025, is as follows:</w:t>
      </w:r>
    </w:p>
    <w:p>
      <w:pPr>
        <w:pStyle w:val="TextBody"/>
        <w:bidi w:val="0"/>
        <w:jc w:val="left"/>
        <w:rPr/>
      </w:pPr>
      <w:r>
        <w:rPr/>
        <w:t> </w:t>
      </w:r>
    </w:p>
    <w:tbl>
      <w:tblPr>
        <w:tblW w:w="6295" w:type="dxa"/>
        <w:jc w:val="left"/>
        <w:tblInd w:w="0" w:type="dxa"/>
        <w:tblLayout w:type="fixed"/>
        <w:tblCellMar>
          <w:top w:w="28" w:type="dxa"/>
          <w:left w:w="28" w:type="dxa"/>
          <w:bottom w:w="28" w:type="dxa"/>
          <w:right w:w="28" w:type="dxa"/>
        </w:tblCellMar>
      </w:tblPr>
      <w:tblGrid>
        <w:gridCol w:w="3206"/>
        <w:gridCol w:w="146"/>
        <w:gridCol w:w="167"/>
        <w:gridCol w:w="913"/>
        <w:gridCol w:w="166"/>
        <w:gridCol w:w="146"/>
        <w:gridCol w:w="328"/>
        <w:gridCol w:w="752"/>
        <w:gridCol w:w="47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Grant Date</w:t>
              <w:b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Early exercises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166,550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aggregate fair value of restricted stock awards vested during the years ended December 31, 2025 and 2024, was $1.0 million and $3.4 million, respectively. The Company recorded stock compensation expense of a de minimis amount and $0.5 million, related to the restricted stock awards during the years ended December 31, 2025 and 2024, respectively.</w:t>
      </w:r>
    </w:p>
    <w:p>
      <w:pPr>
        <w:pStyle w:val="TextBody"/>
        <w:bidi w:val="0"/>
        <w:spacing w:before="240" w:after="283"/>
        <w:jc w:val="both"/>
        <w:rPr>
          <w:rFonts w:ascii="Arial" w:hAnsi="Arial"/>
          <w:color w:val="000000"/>
          <w:sz w:val="20"/>
        </w:rPr>
      </w:pPr>
      <w:r>
        <w:rPr>
          <w:rFonts w:ascii="Arial" w:hAnsi="Arial"/>
          <w:color w:val="000000"/>
          <w:sz w:val="20"/>
        </w:rPr>
        <w:t>The following table summarizes unrecognized stock-based compensation expense as of December 31, 2025 by type of awards, and the weighted-average period over which that expense is expected to be recognized. The total unrecognized stock-based compensation expense will be adjusted for actual forfeitures as they occur.</w:t>
      </w:r>
    </w:p>
    <w:p>
      <w:pPr>
        <w:pStyle w:val="TextBody"/>
        <w:bidi w:val="0"/>
        <w:jc w:val="left"/>
        <w:rPr/>
      </w:pPr>
      <w:r>
        <w:rPr/>
        <w:t> </w:t>
      </w:r>
    </w:p>
    <w:tbl>
      <w:tblPr>
        <w:tblW w:w="5477" w:type="dxa"/>
        <w:jc w:val="left"/>
        <w:tblInd w:w="0" w:type="dxa"/>
        <w:tblLayout w:type="fixed"/>
        <w:tblCellMar>
          <w:top w:w="28" w:type="dxa"/>
          <w:left w:w="28" w:type="dxa"/>
          <w:bottom w:w="28" w:type="dxa"/>
          <w:right w:w="28" w:type="dxa"/>
        </w:tblCellMar>
      </w:tblPr>
      <w:tblGrid>
        <w:gridCol w:w="2221"/>
        <w:gridCol w:w="146"/>
        <w:gridCol w:w="326"/>
        <w:gridCol w:w="1070"/>
        <w:gridCol w:w="146"/>
        <w:gridCol w:w="146"/>
        <w:gridCol w:w="286"/>
        <w:gridCol w:w="945"/>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Unrecognized</w:t>
              <w:br/>
              <w:t>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Recognition</w:t>
              <w:br/>
              <w:t>Period</w:t>
              <w:b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following table summarizes stock-based compensation expense included in operating expenses for the periods presented:</w:t>
      </w:r>
    </w:p>
    <w:p>
      <w:pPr>
        <w:pStyle w:val="TextBody"/>
        <w:bidi w:val="0"/>
        <w:jc w:val="both"/>
        <w:rPr/>
      </w:pPr>
      <w:r>
        <w:rPr/>
        <w:t> </w:t>
      </w:r>
    </w:p>
    <w:tbl>
      <w:tblPr>
        <w:tblW w:w="5330" w:type="dxa"/>
        <w:jc w:val="left"/>
        <w:tblInd w:w="0" w:type="dxa"/>
        <w:tblLayout w:type="fixed"/>
        <w:tblCellMar>
          <w:top w:w="28" w:type="dxa"/>
          <w:left w:w="28" w:type="dxa"/>
          <w:bottom w:w="28" w:type="dxa"/>
          <w:right w:w="28" w:type="dxa"/>
        </w:tblCellMar>
      </w:tblPr>
      <w:tblGrid>
        <w:gridCol w:w="2491"/>
        <w:gridCol w:w="146"/>
        <w:gridCol w:w="265"/>
        <w:gridCol w:w="869"/>
        <w:gridCol w:w="183"/>
        <w:gridCol w:w="183"/>
        <w:gridCol w:w="265"/>
        <w:gridCol w:w="737"/>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14,322</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Arial" w:hAnsi="Arial"/>
          <w:b/>
          <w:color w:val="000000"/>
          <w:sz w:val="20"/>
        </w:rPr>
      </w:pPr>
      <w:r>
        <w:rPr>
          <w:rFonts w:ascii="Arial" w:hAnsi="Arial"/>
          <w:b/>
          <w:color w:val="000000"/>
          <w:sz w:val="20"/>
        </w:rPr>
        <w:t>14.</w:t>
      </w:r>
    </w:p>
    <w:p>
      <w:pPr>
        <w:pStyle w:val="TextBody"/>
        <w:bidi w:val="0"/>
        <w:spacing w:before="40" w:after="283"/>
        <w:jc w:val="both"/>
        <w:rPr>
          <w:rFonts w:ascii="Arial" w:hAnsi="Arial"/>
          <w:b/>
          <w:color w:val="000000"/>
          <w:sz w:val="20"/>
        </w:rPr>
      </w:pPr>
      <w:r>
        <w:rPr>
          <w:rFonts w:ascii="Arial" w:hAnsi="Arial"/>
          <w:b/>
          <w:color w:val="000000"/>
          <w:sz w:val="20"/>
        </w:rPr>
        <w:t>Commitments and Contingencies</w:t>
      </w:r>
    </w:p>
    <w:p>
      <w:pPr>
        <w:pStyle w:val="TextBody"/>
        <w:bidi w:val="0"/>
        <w:spacing w:before="240" w:after="283"/>
        <w:jc w:val="both"/>
        <w:rPr>
          <w:rFonts w:ascii="Arial" w:hAnsi="Arial"/>
          <w:b/>
          <w:i/>
          <w:color w:val="000000"/>
          <w:sz w:val="20"/>
        </w:rPr>
      </w:pPr>
      <w:r>
        <w:rPr>
          <w:rFonts w:ascii="Arial" w:hAnsi="Arial"/>
          <w:b/>
          <w:i/>
          <w:color w:val="000000"/>
          <w:sz w:val="20"/>
        </w:rPr>
        <w:t>Contingent Consideration</w:t>
      </w:r>
    </w:p>
    <w:p>
      <w:pPr>
        <w:pStyle w:val="TextBody"/>
        <w:bidi w:val="0"/>
        <w:spacing w:before="240" w:after="283"/>
        <w:jc w:val="both"/>
        <w:rPr>
          <w:rFonts w:ascii="Arial" w:hAnsi="Arial"/>
          <w:color w:val="000000"/>
          <w:sz w:val="20"/>
        </w:rPr>
      </w:pPr>
      <w:r>
        <w:rPr>
          <w:rFonts w:ascii="Arial" w:hAnsi="Arial"/>
          <w:color w:val="000000"/>
          <w:sz w:val="20"/>
        </w:rPr>
        <w:t>In connection with the IFM acquisition, the Company is required to make future payments to the shareholders of IFM based on the occurrence of certain development, commercial, regulatory and sales milestones (see Note 5).</w:t>
      </w:r>
    </w:p>
    <w:p>
      <w:pPr>
        <w:pStyle w:val="TextBody"/>
        <w:bidi w:val="0"/>
        <w:spacing w:before="240" w:after="283"/>
        <w:jc w:val="both"/>
        <w:rPr>
          <w:rFonts w:ascii="Times New Roman" w:hAnsi="Times New Roman"/>
          <w:sz w:val="20"/>
        </w:rPr>
      </w:pPr>
      <w:r>
        <w:rPr>
          <w:rFonts w:ascii="Arial" w:hAnsi="Arial"/>
          <w:color w:val="000000"/>
          <w:sz w:val="20"/>
        </w:rPr>
        <w:t>In connection with the Rahko acquisition, the Company has a contingent payment obligation to the shareholders of Rahko upon the occurrence of certain qualifying events. No qualifying event has occurred as of December 31, 2025 (see Note 5).</w:t>
      </w:r>
      <w:r>
        <w:rPr>
          <w:rFonts w:ascii="Times New Roman" w:hAnsi="Times New Roman"/>
          <w:color w:val="000000"/>
          <w:sz w:val="20"/>
        </w:rPr>
        <w:t xml:space="preserve"> </w:t>
      </w:r>
    </w:p>
    <w:p>
      <w:pPr>
        <w:pStyle w:val="Heading2"/>
        <w:bidi w:val="0"/>
        <w:spacing w:before="240" w:after="283"/>
        <w:jc w:val="both"/>
        <w:rPr>
          <w:rFonts w:ascii="Arial" w:hAnsi="Arial"/>
          <w:i/>
          <w:color w:val="000000"/>
          <w:sz w:val="20"/>
        </w:rPr>
      </w:pPr>
      <w:r>
        <w:rPr>
          <w:rFonts w:ascii="Arial" w:hAnsi="Arial"/>
          <w:i/>
          <w:color w:val="000000"/>
          <w:sz w:val="20"/>
        </w:rPr>
        <w:t>Legal Proceedings</w:t>
      </w:r>
    </w:p>
    <w:p>
      <w:pPr>
        <w:pStyle w:val="TextBody"/>
        <w:bidi w:val="0"/>
        <w:spacing w:before="240" w:after="283"/>
        <w:jc w:val="both"/>
        <w:rPr>
          <w:rFonts w:ascii="Arial" w:hAnsi="Arial"/>
          <w:color w:val="000000"/>
          <w:sz w:val="20"/>
        </w:rPr>
      </w:pPr>
      <w:r>
        <w:rPr>
          <w:rFonts w:ascii="Arial" w:hAnsi="Arial"/>
          <w:color w:val="000000"/>
          <w:sz w:val="20"/>
        </w:rPr>
        <w:t>The Company is not currently a party to any material legal proceedings. At each reporting date, the Company evaluates whether a potential loss or a potential range of loss is probable and reasonably estimable under the provisions of the authoritative guidance that addresses accounting for contingencies. The Company expenses the costs related to its legal proceedings as incurred.</w:t>
      </w:r>
    </w:p>
    <w:p>
      <w:pPr>
        <w:pStyle w:val="TextBody"/>
        <w:bidi w:val="0"/>
        <w:spacing w:before="120" w:after="283"/>
        <w:jc w:val="center"/>
        <w:rPr>
          <w:rFonts w:ascii="Arial" w:hAnsi="Arial"/>
          <w:color w:val="000000"/>
          <w:sz w:val="20"/>
        </w:rPr>
      </w:pPr>
      <w:r>
        <w:rPr>
          <w:rFonts w:ascii="Arial" w:hAnsi="Arial"/>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15.</w:t>
      </w:r>
    </w:p>
    <w:p>
      <w:pPr>
        <w:pStyle w:val="TextBody"/>
        <w:bidi w:val="0"/>
        <w:spacing w:before="240" w:after="283"/>
        <w:jc w:val="both"/>
        <w:rPr>
          <w:rFonts w:ascii="Arial" w:hAnsi="Arial"/>
          <w:b/>
          <w:color w:val="000000"/>
          <w:sz w:val="20"/>
        </w:rPr>
      </w:pPr>
      <w:r>
        <w:rPr>
          <w:rFonts w:ascii="Arial" w:hAnsi="Arial"/>
          <w:b/>
          <w:color w:val="000000"/>
          <w:sz w:val="20"/>
        </w:rPr>
        <w:t>401(k) Savings Plan</w:t>
      </w:r>
    </w:p>
    <w:p>
      <w:pPr>
        <w:pStyle w:val="TextBody"/>
        <w:bidi w:val="0"/>
        <w:spacing w:before="240" w:after="283"/>
        <w:jc w:val="both"/>
        <w:rPr>
          <w:rFonts w:ascii="Arial" w:hAnsi="Arial"/>
          <w:color w:val="000000"/>
          <w:sz w:val="20"/>
        </w:rPr>
      </w:pPr>
      <w:r>
        <w:rPr>
          <w:rFonts w:ascii="Arial" w:hAnsi="Arial"/>
          <w:color w:val="000000"/>
          <w:sz w:val="20"/>
        </w:rPr>
        <w:t>The Company has a defined-contribution savings plan under Section 401(k) of the Internal Revenue Code (the “401(k) Plan”). The 401(k) Plan covers all employees who meet defined minimum age and service requirements and allows participants to defer a portion of their annual compensation on a pretax basis. As currently established, the Company is not required to make and has not made any contributions to the 401(k) Plan.</w:t>
      </w:r>
    </w:p>
    <w:p>
      <w:pPr>
        <w:pStyle w:val="TextBody"/>
        <w:bidi w:val="0"/>
        <w:spacing w:before="240" w:after="283"/>
        <w:jc w:val="both"/>
        <w:rPr>
          <w:rFonts w:ascii="Arial" w:hAnsi="Arial"/>
          <w:b/>
          <w:color w:val="000000"/>
          <w:sz w:val="20"/>
        </w:rPr>
      </w:pPr>
      <w:r>
        <w:rPr>
          <w:rFonts w:ascii="Arial" w:hAnsi="Arial"/>
          <w:b/>
          <w:color w:val="000000"/>
          <w:sz w:val="20"/>
        </w:rPr>
        <w:t>16.</w:t>
      </w:r>
    </w:p>
    <w:p>
      <w:pPr>
        <w:pStyle w:val="TextBody"/>
        <w:bidi w:val="0"/>
        <w:spacing w:before="240" w:after="283"/>
        <w:jc w:val="both"/>
        <w:rPr>
          <w:rFonts w:ascii="Arial" w:hAnsi="Arial"/>
          <w:b/>
          <w:color w:val="000000"/>
          <w:sz w:val="20"/>
        </w:rPr>
      </w:pPr>
      <w:r>
        <w:rPr>
          <w:rFonts w:ascii="Arial" w:hAnsi="Arial"/>
          <w:b/>
          <w:color w:val="000000"/>
          <w:sz w:val="20"/>
        </w:rPr>
        <w:t>Income Taxes</w:t>
      </w:r>
    </w:p>
    <w:p>
      <w:pPr>
        <w:pStyle w:val="TextBody"/>
        <w:bidi w:val="0"/>
        <w:spacing w:before="240" w:after="283"/>
        <w:jc w:val="both"/>
        <w:rPr>
          <w:rFonts w:ascii="Arial" w:hAnsi="Arial"/>
          <w:color w:val="000000"/>
          <w:sz w:val="20"/>
        </w:rPr>
      </w:pPr>
      <w:r>
        <w:rPr>
          <w:rFonts w:ascii="Arial" w:hAnsi="Arial"/>
          <w:color w:val="000000"/>
          <w:sz w:val="20"/>
        </w:rPr>
        <w:t>The following table presents the components of loss before income taxes:</w:t>
      </w:r>
    </w:p>
    <w:p>
      <w:pPr>
        <w:pStyle w:val="TextBody"/>
        <w:bidi w:val="0"/>
        <w:jc w:val="left"/>
        <w:rPr/>
      </w:pPr>
      <w:r>
        <w:rPr/>
        <w:t> </w:t>
      </w:r>
    </w:p>
    <w:tbl>
      <w:tblPr>
        <w:tblW w:w="5308" w:type="dxa"/>
        <w:jc w:val="left"/>
        <w:tblInd w:w="0" w:type="dxa"/>
        <w:tblLayout w:type="fixed"/>
        <w:tblCellMar>
          <w:top w:w="28" w:type="dxa"/>
          <w:left w:w="28" w:type="dxa"/>
          <w:bottom w:w="28" w:type="dxa"/>
          <w:right w:w="28" w:type="dxa"/>
        </w:tblCellMar>
      </w:tblPr>
      <w:tblGrid>
        <w:gridCol w:w="2371"/>
        <w:gridCol w:w="211"/>
        <w:gridCol w:w="856"/>
        <w:gridCol w:w="306"/>
        <w:gridCol w:w="286"/>
        <w:gridCol w:w="211"/>
        <w:gridCol w:w="856"/>
        <w:gridCol w:w="211"/>
      </w:tblGrid>
      <w:tr>
        <w:trPr/>
        <w:tc>
          <w:tcPr>
            <w:tcW w:w="23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Domestic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(144,253</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(129,615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(5,321</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(149,574</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(128,852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income tax provision is as follows:</w:t>
      </w:r>
    </w:p>
    <w:p>
      <w:pPr>
        <w:pStyle w:val="TextBody"/>
        <w:bidi w:val="0"/>
        <w:jc w:val="both"/>
        <w:rPr/>
      </w:pPr>
      <w:r>
        <w:rPr/>
        <w:t> </w:t>
      </w:r>
    </w:p>
    <w:tbl>
      <w:tblPr>
        <w:tblW w:w="5721" w:type="dxa"/>
        <w:jc w:val="left"/>
        <w:tblInd w:w="0" w:type="dxa"/>
        <w:tblLayout w:type="fixed"/>
        <w:tblCellMar>
          <w:top w:w="28" w:type="dxa"/>
          <w:left w:w="28" w:type="dxa"/>
          <w:bottom w:w="28" w:type="dxa"/>
          <w:right w:w="28" w:type="dxa"/>
        </w:tblCellMar>
      </w:tblPr>
      <w:tblGrid>
        <w:gridCol w:w="2776"/>
        <w:gridCol w:w="251"/>
        <w:gridCol w:w="768"/>
        <w:gridCol w:w="364"/>
        <w:gridCol w:w="340"/>
        <w:gridCol w:w="251"/>
        <w:gridCol w:w="500"/>
        <w:gridCol w:w="471"/>
      </w:tblGrid>
      <w:tr>
        <w:trPr/>
        <w:tc>
          <w:tcPr>
            <w:tcW w:w="27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income tax provision:</w:t>
            </w:r>
          </w:p>
        </w:tc>
        <w:tc>
          <w:tcPr>
            <w:tcW w:w="10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state</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Foreign</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(1,003</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income tax provision:</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Foreign</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provision</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Company is subject to taxation in the U.S and in various state, local and foreign jurisdictions. The Company’s tax returns for years 2022 through present are open to tax examinations by U.S. federal, state, local and foreign tax authorities. For federal, state, local and foreign income taxes, deferred tax assets and liabilities are recognized based upon temporary differences between the financial statement and the tax basis of assets and liabilities. Deferred income taxes are based upon prescribed rates and enacted laws applicable to periods in which differences are expected to reverse. A valuation allowance is recorded when it is more likely than not that some portion or all of the deferred tax assets will not be realized. As of December 31, 2025 and 2024, the Company performed an evaluation to determine whether a valuation allowance was needed. The Company considered all available evidence, both positive and negative, which included the results of operations for the current and preceding years. The Company determined that it was more likely than not that the deferred tax assets in the U.S., U.K., Germany and Australia will not be realized. Accordingly, the Company recorded a valuation allowance of $158.7 million and $122.5 million as of December 31, 2025 and 2024, respectively.</w:t>
      </w:r>
    </w:p>
    <w:p>
      <w:pPr>
        <w:pStyle w:val="TextBody"/>
        <w:bidi w:val="0"/>
        <w:spacing w:before="240" w:after="283"/>
        <w:jc w:val="both"/>
        <w:rPr>
          <w:rFonts w:ascii="Arial" w:hAnsi="Arial"/>
          <w:color w:val="000000"/>
          <w:sz w:val="20"/>
        </w:rPr>
      </w:pPr>
      <w:r>
        <w:rPr>
          <w:rFonts w:ascii="Arial" w:hAnsi="Arial"/>
          <w:color w:val="000000"/>
          <w:sz w:val="20"/>
        </w:rPr>
        <w:t>The tax positions taken or expected to be taken in the course of preparing the Company tax returns are required to be evaluated to determine whether the tax positions are “more-likely-than-not” of being sustained by the applicable tax authority. Tax positions not deemed to meet a more-likely-than-not threshold would be recorded as a tax expense in the current year. There were no uncertain tax positions that require accrual or disclosure in the consolidated financial statements as of December 31, 2025 and 2024.</w:t>
      </w:r>
    </w:p>
    <w:p>
      <w:pPr>
        <w:pStyle w:val="TextBody"/>
        <w:bidi w:val="0"/>
        <w:spacing w:before="120" w:after="283"/>
        <w:jc w:val="center"/>
        <w:rPr>
          <w:rFonts w:ascii="Arial" w:hAnsi="Arial"/>
          <w:color w:val="000000"/>
          <w:sz w:val="20"/>
        </w:rPr>
      </w:pPr>
      <w:r>
        <w:rPr>
          <w:rFonts w:ascii="Arial" w:hAnsi="Arial"/>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 reconciliation of income tax expense computed at the statutory federal income tax rate and statutory federal income tax rate to the income tax provision included in the accompanying consolidated statements of operations and comprehensive loss for the Company and effective income tax rate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671"/>
        <w:gridCol w:w="211"/>
        <w:gridCol w:w="751"/>
        <w:gridCol w:w="166"/>
        <w:gridCol w:w="146"/>
        <w:gridCol w:w="172"/>
        <w:gridCol w:w="639"/>
        <w:gridCol w:w="326"/>
        <w:gridCol w:w="146"/>
        <w:gridCol w:w="211"/>
        <w:gridCol w:w="751"/>
        <w:gridCol w:w="166"/>
        <w:gridCol w:w="146"/>
        <w:gridCol w:w="172"/>
        <w:gridCol w:w="639"/>
        <w:gridCol w:w="892"/>
      </w:tblGrid>
      <w:tr>
        <w:trPr/>
        <w:tc>
          <w:tcPr>
            <w:tcW w:w="4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Percent</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Percent</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tax expense (benefit) at the statutory federal income tax rate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State and local income taxes, net of federal income tax effect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Tax Effects</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Germany</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Changes in valuation allowances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89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Other items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89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foreign jurisdictions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valuation allowances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Nontaxable or nondeductible items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credits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adjustments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8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Effective income tax rate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effective income tax rate differs from the U.S. federal statutory rate of 21.0% primarily due to the valuation allowance maintained against the Company’s net deferred tax assets.</w:t>
      </w:r>
    </w:p>
    <w:p>
      <w:pPr>
        <w:pStyle w:val="TextBody"/>
        <w:bidi w:val="0"/>
        <w:spacing w:before="240" w:after="240"/>
        <w:jc w:val="both"/>
        <w:rPr>
          <w:rFonts w:ascii="Arial" w:hAnsi="Arial"/>
          <w:color w:val="000000"/>
          <w:sz w:val="20"/>
        </w:rPr>
      </w:pPr>
      <w:r>
        <w:rPr>
          <w:rFonts w:ascii="Arial" w:hAnsi="Arial"/>
          <w:color w:val="000000"/>
          <w:sz w:val="20"/>
        </w:rPr>
        <w:t>The amounts of income tax payments, net of refunds, were as follows:</w:t>
      </w:r>
    </w:p>
    <w:tbl>
      <w:tblPr>
        <w:tblW w:w="5851" w:type="dxa"/>
        <w:jc w:val="left"/>
        <w:tblInd w:w="0" w:type="dxa"/>
        <w:tblLayout w:type="fixed"/>
        <w:tblCellMar>
          <w:top w:w="28" w:type="dxa"/>
          <w:left w:w="28" w:type="dxa"/>
          <w:bottom w:w="28" w:type="dxa"/>
          <w:right w:w="28" w:type="dxa"/>
        </w:tblCellMar>
      </w:tblPr>
      <w:tblGrid>
        <w:gridCol w:w="2906"/>
        <w:gridCol w:w="288"/>
        <w:gridCol w:w="514"/>
        <w:gridCol w:w="418"/>
        <w:gridCol w:w="391"/>
        <w:gridCol w:w="288"/>
        <w:gridCol w:w="575"/>
        <w:gridCol w:w="471"/>
      </w:tblGrid>
      <w:tr>
        <w:trPr/>
        <w:tc>
          <w:tcPr>
            <w:tcW w:w="290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State and local</w:t>
            </w:r>
          </w:p>
        </w:tc>
        <w:tc>
          <w:tcPr>
            <w:tcW w:w="8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Massachusetts</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All other U.S. state and local</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Germany</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558</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Company's change in its valuation allowance account with respect to deferred tax assets is as follows:</w:t>
      </w:r>
    </w:p>
    <w:p>
      <w:pPr>
        <w:pStyle w:val="TextBody"/>
        <w:bidi w:val="0"/>
        <w:jc w:val="both"/>
        <w:rPr/>
      </w:pPr>
      <w:r>
        <w:rPr/>
        <w:t> </w:t>
      </w:r>
    </w:p>
    <w:tbl>
      <w:tblPr>
        <w:tblW w:w="4425" w:type="dxa"/>
        <w:jc w:val="left"/>
        <w:tblInd w:w="0" w:type="dxa"/>
        <w:tblLayout w:type="fixed"/>
        <w:tblCellMar>
          <w:top w:w="28" w:type="dxa"/>
          <w:left w:w="28" w:type="dxa"/>
          <w:bottom w:w="28" w:type="dxa"/>
          <w:right w:w="28" w:type="dxa"/>
        </w:tblCellMar>
      </w:tblPr>
      <w:tblGrid>
        <w:gridCol w:w="1711"/>
        <w:gridCol w:w="216"/>
        <w:gridCol w:w="876"/>
        <w:gridCol w:w="170"/>
        <w:gridCol w:w="149"/>
        <w:gridCol w:w="216"/>
        <w:gridCol w:w="876"/>
        <w:gridCol w:w="211"/>
      </w:tblGrid>
      <w:tr>
        <w:trPr/>
        <w:tc>
          <w:tcPr>
            <w:tcW w:w="17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(122,486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(82,504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(36,172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(158,658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(122,486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both"/>
        <w:rPr>
          <w:rFonts w:ascii="Arial" w:hAnsi="Arial"/>
          <w:color w:val="000000"/>
          <w:sz w:val="20"/>
        </w:rPr>
      </w:pPr>
      <w:r>
        <w:rPr>
          <w:rFonts w:ascii="Arial" w:hAnsi="Arial"/>
          <w:color w:val="000000"/>
          <w:sz w:val="20"/>
        </w:rPr>
        <w:t>The valuation allowance increased during the year ended December 31, 2025 primarily as a result of the operating losses incurred and an increase in the deferred tax asset related to tax credits generated.</w:t>
      </w:r>
    </w:p>
    <w:p>
      <w:pPr>
        <w:pStyle w:val="TextBody"/>
        <w:bidi w:val="0"/>
        <w:spacing w:before="240" w:after="240"/>
        <w:jc w:val="both"/>
        <w:rPr>
          <w:rFonts w:ascii="Arial" w:hAnsi="Arial"/>
          <w:color w:val="000000"/>
          <w:sz w:val="20"/>
        </w:rPr>
      </w:pPr>
      <w:r>
        <w:rPr>
          <w:rFonts w:ascii="Arial" w:hAnsi="Arial"/>
          <w:color w:val="000000"/>
          <w:sz w:val="20"/>
        </w:rPr>
        <w:t>In determining the need for a valuation allowance, the Company considers the cumulative book income and loss position. The Company has assessed, on a jurisdictional basis, the available means of recovering deferred tax assets, including the ability to carryback net operating losses, or NOLs, the existence of reversing taxable temporary differences, the availability of tax planning strategies, and forecasted future taxable income. At December 31, 2025, the Company maintained a full valuation allowance against its net deferred tax assets, as it has concluded that it is more likely than not that the deferred assets will not be utilized.</w:t>
      </w:r>
    </w:p>
    <w:p>
      <w:pPr>
        <w:pStyle w:val="TextBody"/>
        <w:bidi w:val="0"/>
        <w:spacing w:before="120" w:after="283"/>
        <w:jc w:val="center"/>
        <w:rPr>
          <w:rFonts w:ascii="Arial" w:hAnsi="Arial"/>
          <w:color w:val="000000"/>
          <w:sz w:val="20"/>
        </w:rPr>
      </w:pPr>
      <w:r>
        <w:rPr>
          <w:rFonts w:ascii="Arial" w:hAnsi="Arial"/>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pStyle w:val="TextBody"/>
        <w:bidi w:val="0"/>
        <w:jc w:val="both"/>
        <w:rPr/>
      </w:pPr>
      <w:r>
        <w:rPr/>
        <w:t> </w:t>
      </w:r>
    </w:p>
    <w:tbl>
      <w:tblPr>
        <w:tblW w:w="6913" w:type="dxa"/>
        <w:jc w:val="left"/>
        <w:tblInd w:w="0" w:type="dxa"/>
        <w:tblLayout w:type="fixed"/>
        <w:tblCellMar>
          <w:top w:w="28" w:type="dxa"/>
          <w:left w:w="28" w:type="dxa"/>
          <w:bottom w:w="28" w:type="dxa"/>
          <w:right w:w="28" w:type="dxa"/>
        </w:tblCellMar>
      </w:tblPr>
      <w:tblGrid>
        <w:gridCol w:w="3976"/>
        <w:gridCol w:w="211"/>
        <w:gridCol w:w="856"/>
        <w:gridCol w:w="306"/>
        <w:gridCol w:w="286"/>
        <w:gridCol w:w="211"/>
        <w:gridCol w:w="856"/>
        <w:gridCol w:w="211"/>
      </w:tblGrid>
      <w:tr>
        <w:trPr/>
        <w:tc>
          <w:tcPr>
            <w:tcW w:w="3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asset:</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64,943</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credit carryforwards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22,657</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Capitalized research and development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61,894</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1,424</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5,075</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Contingent consideration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In-process 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6,740</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temporary differences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deferred tax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163,756</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130,986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valuation allowance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(158,658</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(122,486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deferred tax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5,098</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(4,680</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4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deferred tax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4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deferred tax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(5,098</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net deferred tax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As of December 31, 2025 and 2024, the Company had U.S. federal net operating loss carryforwards of approximately $240.4 million and $91.3 million, respectively. Federal net operating losses can be carried forward indefinitely and can be utilized to offset taxable income subject to an 80% taxable income limitation. As of December 31, 2025 and 2024, the Company had U.S. federal tax credit carryforwards of $16.8 and $13.1 million, respectively. Federal research and development credits can be carried forward 20 years and begin to expire in 2043.</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As of December 31, 2025 and 2024, the Company had $171.0 million and $73.6 million of state NOLs, respectively. These NOLs were generated in various states and expire at various dates through 2045. As of December 31, 2025 and 2024, the Company had U.S. state tax credit carryforwards of $7.4 million and $5.3 million that expire at various dates through 2040, respectively.</w:t>
      </w:r>
    </w:p>
    <w:p>
      <w:pPr>
        <w:pStyle w:val="TextBody"/>
        <w:bidi w:val="0"/>
        <w:spacing w:before="0" w:after="240"/>
        <w:jc w:val="both"/>
        <w:rPr>
          <w:rFonts w:ascii="Arial" w:hAnsi="Arial"/>
          <w:color w:val="000000"/>
          <w:sz w:val="20"/>
        </w:rPr>
      </w:pPr>
      <w:r>
        <w:rPr>
          <w:rFonts w:ascii="Arial" w:hAnsi="Arial"/>
          <w:color w:val="000000"/>
          <w:sz w:val="20"/>
        </w:rPr>
        <w:t>As of December 31, 2025, the Company has net operating loss carryforwards in the United Kingdom of $0.7 million and net operating loss carryforwards in Germany of $10.9 million, which can be carried forward indefinitely. As of December 2024, the Company had net operating loss carryforwards in the United Kingdom of $0.4 million.</w:t>
      </w:r>
    </w:p>
    <w:p>
      <w:pPr>
        <w:pStyle w:val="TextBody"/>
        <w:bidi w:val="0"/>
        <w:spacing w:before="0" w:after="240"/>
        <w:jc w:val="both"/>
        <w:rPr>
          <w:rFonts w:ascii="Arial" w:hAnsi="Arial"/>
          <w:color w:val="000000"/>
          <w:sz w:val="20"/>
        </w:rPr>
      </w:pPr>
      <w:r>
        <w:rPr>
          <w:rFonts w:ascii="Arial" w:hAnsi="Arial"/>
          <w:color w:val="000000"/>
          <w:sz w:val="20"/>
        </w:rPr>
        <w:t>Utilization of net operating losses and credits may be subject to substantial annual limitations due to the “change in ownership” provisions of the Internal Revenue Code of 1986, and similar state provisions. The annual limitations may result in the expiration of net operating losses before utilization.</w:t>
      </w:r>
    </w:p>
    <w:p>
      <w:pPr>
        <w:pStyle w:val="TextBody"/>
        <w:bidi w:val="0"/>
        <w:spacing w:before="0" w:after="240"/>
        <w:jc w:val="both"/>
        <w:rPr>
          <w:rFonts w:ascii="Arial" w:hAnsi="Arial"/>
          <w:color w:val="000000"/>
          <w:sz w:val="20"/>
        </w:rPr>
      </w:pPr>
      <w:r>
        <w:rPr>
          <w:rFonts w:ascii="Arial" w:hAnsi="Arial"/>
          <w:color w:val="000000"/>
          <w:sz w:val="20"/>
        </w:rPr>
        <w:t>Under Internal Revenue Code Section 382, if a corporation undergoes an “ownership change,” the corporation’s ability to use its pre-change net operating loss carryforwards and other pre-change tax attributes to offset its post-change income may be limited. The Company has not completed a study to assess whether an “ownership change” has occurred or whether there have been multiple ownership changes since we became a “loss corporation” as defined in Section 382. Future changes in the Company's stock ownership, which may be outside of the Company's control, may trigger an “ownership change.” In addition, future equity offerings or acquisitions that have equity as a component of the purchase price could result in an “ownership change.” If an “ownership change” has occurred or does occur in the future, utilization of the net operating loss carryforwards or other tax attributes may be limited, which could potentially result in increased future tax liability to the Company. In addition, at the state level, there may be periods during which the use of net operating loss carryforwards is suspended or otherwise limited, which could accelerate or permanently increase the Company's state taxes owed. As a result, even if profitability is attained, the Company may be unable to use all or a material portion of the net operating loss carryforwards and other tax attributes, which could adversely affect future cash flows.</w:t>
      </w:r>
    </w:p>
    <w:p>
      <w:pPr>
        <w:pStyle w:val="TextBody"/>
        <w:bidi w:val="0"/>
        <w:spacing w:before="120" w:after="283"/>
        <w:jc w:val="center"/>
        <w:rPr>
          <w:rFonts w:ascii="Arial" w:hAnsi="Arial"/>
          <w:color w:val="000000"/>
          <w:sz w:val="20"/>
        </w:rPr>
      </w:pPr>
      <w:r>
        <w:rPr>
          <w:rFonts w:ascii="Arial" w:hAnsi="Arial"/>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40"/>
        <w:jc w:val="both"/>
        <w:rPr>
          <w:rFonts w:ascii="Arial" w:hAnsi="Arial"/>
          <w:color w:val="000000"/>
          <w:sz w:val="20"/>
        </w:rPr>
      </w:pPr>
      <w:r>
        <w:rPr>
          <w:rFonts w:ascii="Arial" w:hAnsi="Arial"/>
          <w:color w:val="000000"/>
          <w:sz w:val="20"/>
        </w:rPr>
        <w:t>The Company has not provided for deferred income taxes on the undistributed earnings of foreign subsidiaries. The amount the Company would expect to repatriate is based on a variety of factors including current year earnings of the foreign subsidiaries, foreign investment needs, and U.S. cash flow considerations. The Company considers the remaining undistributed foreign earnings that are not specifically identified to be indefinitely reinvested. As of December 31, 2025, the Company does not accrue taxes of foreign earnings which remain indefinitely reinvested outside the U.S and unrecognized deferred tax liabilities are immaterial.</w:t>
      </w:r>
    </w:p>
    <w:p>
      <w:pPr>
        <w:pStyle w:val="TextBody"/>
        <w:bidi w:val="0"/>
        <w:spacing w:before="0" w:after="0"/>
        <w:jc w:val="both"/>
        <w:rPr>
          <w:rFonts w:ascii="Arial" w:hAnsi="Arial"/>
          <w:b/>
          <w:color w:val="000000"/>
          <w:sz w:val="20"/>
        </w:rPr>
      </w:pPr>
      <w:r>
        <w:rPr>
          <w:rFonts w:ascii="Arial" w:hAnsi="Arial"/>
          <w:b/>
          <w:color w:val="000000"/>
          <w:sz w:val="20"/>
        </w:rPr>
        <w:t>17.</w:t>
      </w:r>
    </w:p>
    <w:p>
      <w:pPr>
        <w:pStyle w:val="TextBody"/>
        <w:bidi w:val="0"/>
        <w:jc w:val="both"/>
        <w:rPr>
          <w:rFonts w:ascii="Arial" w:hAnsi="Arial"/>
          <w:b/>
          <w:color w:val="000000"/>
          <w:sz w:val="20"/>
        </w:rPr>
      </w:pPr>
      <w:r>
        <w:rPr>
          <w:rFonts w:ascii="Arial" w:hAnsi="Arial"/>
          <w:b/>
          <w:color w:val="000000"/>
          <w:sz w:val="20"/>
        </w:rPr>
        <w:t>Net Loss Per Share</w:t>
      </w:r>
    </w:p>
    <w:p>
      <w:pPr>
        <w:pStyle w:val="TextBody"/>
        <w:bidi w:val="0"/>
        <w:spacing w:before="240" w:after="283"/>
        <w:jc w:val="both"/>
        <w:rPr>
          <w:rFonts w:ascii="Times New Roman" w:hAnsi="Times New Roman"/>
          <w:sz w:val="20"/>
        </w:rPr>
      </w:pPr>
      <w:r>
        <w:rPr>
          <w:rFonts w:ascii="Arial" w:hAnsi="Arial"/>
          <w:color w:val="000000"/>
          <w:sz w:val="20"/>
        </w:rPr>
        <w:t>The following table sets forth the computation of the Company’s basic and diluted net loss per share attributable to common stockholders for the periods presented:</w:t>
      </w:r>
      <w:r>
        <w:rPr>
          <w:rFonts w:ascii="Times New Roman" w:hAnsi="Times New Roman"/>
          <w:color w:val="000000"/>
          <w:sz w:val="20"/>
        </w:rPr>
        <w:t xml:space="preserve"> </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7163"/>
        <w:gridCol w:w="211"/>
        <w:gridCol w:w="961"/>
        <w:gridCol w:w="166"/>
        <w:gridCol w:w="146"/>
        <w:gridCol w:w="211"/>
        <w:gridCol w:w="856"/>
        <w:gridCol w:w="491"/>
      </w:tblGrid>
      <w:tr>
        <w:trPr/>
        <w:tc>
          <w:tcPr>
            <w:tcW w:w="71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Numerator:</w:t>
            </w:r>
          </w:p>
        </w:tc>
        <w:tc>
          <w:tcPr>
            <w:tcW w:w="2551" w:type="dxa"/>
            <w:gridSpan w:val="6"/>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7163"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(129,321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163"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Deemed dividend upon convertible preferred stock down round adjustment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7163"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loss attributable to common stockholders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(130,401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1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Denominator:</w:t>
            </w:r>
          </w:p>
        </w:tc>
        <w:tc>
          <w:tcPr>
            <w:tcW w:w="2551" w:type="dxa"/>
            <w:gridSpan w:val="6"/>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Weighted-average number of common shares used in computing net loss, basic and diluted per share—basic and diluted </w:t>
            </w:r>
            <w:r>
              <w:rPr>
                <w:rFonts w:ascii="Arial" w:hAnsi="Arial"/>
                <w:color w:val="000000"/>
                <w:sz w:val="13"/>
              </w:rPr>
              <w:t>(1)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3,038,064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879,834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(148.21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0" w:after="283"/>
        <w:jc w:val="left"/>
        <w:rPr/>
      </w:pPr>
      <w:r>
        <w:rPr/>
      </w:r>
    </w:p>
    <w:p>
      <w:pPr>
        <w:pStyle w:val="TextBody"/>
        <w:bidi w:val="0"/>
        <w:spacing w:before="240" w:after="283"/>
        <w:jc w:val="both"/>
        <w:rPr>
          <w:rFonts w:ascii="Times New Roman" w:hAnsi="Times New Roman"/>
          <w:sz w:val="20"/>
        </w:rPr>
      </w:pPr>
      <w:r>
        <w:rPr>
          <w:rFonts w:ascii="Arial" w:hAnsi="Arial"/>
          <w:color w:val="000000"/>
          <w:sz w:val="13"/>
        </w:rPr>
        <w:t xml:space="preserve">(1) </w:t>
      </w:r>
      <w:r>
        <w:rPr>
          <w:rFonts w:ascii="Arial" w:hAnsi="Arial"/>
          <w:color w:val="000000"/>
          <w:sz w:val="20"/>
        </w:rPr>
        <w:t>The weighted-average number of common shares used in computing net loss basic and diluted per share for the year ended December 31, 2025 includes 4,056,164 Common Warrants issued as part of the Series D preferred stock financing during 2025.</w:t>
      </w:r>
    </w:p>
    <w:p>
      <w:pPr>
        <w:pStyle w:val="TextBody"/>
        <w:bidi w:val="0"/>
        <w:spacing w:before="240" w:after="283"/>
        <w:jc w:val="both"/>
        <w:rPr>
          <w:rFonts w:ascii="Arial" w:hAnsi="Arial"/>
          <w:color w:val="000000"/>
          <w:sz w:val="20"/>
        </w:rPr>
      </w:pPr>
      <w:r>
        <w:rPr>
          <w:rFonts w:ascii="Arial" w:hAnsi="Arial"/>
          <w:color w:val="000000"/>
          <w:sz w:val="20"/>
        </w:rPr>
        <w:t>The following outstanding potentially dilutive securities have been excluded from the calculation of diluted net loss per share attributable to common stockholders, as their effect is antidilutive:</w:t>
      </w:r>
    </w:p>
    <w:p>
      <w:pPr>
        <w:pStyle w:val="TextBody"/>
        <w:bidi w:val="0"/>
        <w:spacing w:before="240" w:after="283"/>
        <w:jc w:val="both"/>
        <w:rPr/>
      </w:pPr>
      <w:r>
        <w:rPr/>
        <w:t> </w:t>
      </w:r>
    </w:p>
    <w:tbl>
      <w:tblPr>
        <w:tblW w:w="9193" w:type="dxa"/>
        <w:jc w:val="left"/>
        <w:tblInd w:w="0" w:type="dxa"/>
        <w:tblLayout w:type="fixed"/>
        <w:tblCellMar>
          <w:top w:w="28" w:type="dxa"/>
          <w:left w:w="28" w:type="dxa"/>
          <w:bottom w:w="28" w:type="dxa"/>
          <w:right w:w="28" w:type="dxa"/>
        </w:tblCellMar>
      </w:tblPr>
      <w:tblGrid>
        <w:gridCol w:w="6286"/>
        <w:gridCol w:w="146"/>
        <w:gridCol w:w="1066"/>
        <w:gridCol w:w="146"/>
        <w:gridCol w:w="146"/>
        <w:gridCol w:w="146"/>
        <w:gridCol w:w="1066"/>
        <w:gridCol w:w="19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4,631,713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2,316,982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 convertible preferred stock (as converted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2,918,391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3,091,478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A-1 convertible preferred stock (as converted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804,893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A-2 convertible preferred stock (as converted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836,190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B convertible preferred stock (as converted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2,865,384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2,865,387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C convertible preferred stock (as converted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2,412,468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2,412,468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C-1 convertible preferred stock (as converted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150,211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D convertible preferred stock (as converted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14,608,456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A-2 warrants (as converted to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29,396,005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12,511,307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pStyle w:val="TextBody"/>
        <w:bidi w:val="0"/>
        <w:jc w:val="left"/>
        <w:rPr/>
      </w:pPr>
      <w:r>
        <w:rPr/>
        <w:t> </w:t>
      </w:r>
    </w:p>
    <w:p>
      <w:pPr>
        <w:pStyle w:val="TextBody"/>
        <w:bidi w:val="0"/>
        <w:spacing w:before="40" w:after="283"/>
        <w:jc w:val="both"/>
        <w:rPr>
          <w:rFonts w:ascii="Arial" w:hAnsi="Arial"/>
          <w:b/>
          <w:color w:val="000000"/>
          <w:sz w:val="20"/>
        </w:rPr>
      </w:pPr>
      <w:r>
        <w:rPr>
          <w:rFonts w:ascii="Arial" w:hAnsi="Arial"/>
          <w:b/>
          <w:color w:val="000000"/>
          <w:sz w:val="20"/>
        </w:rPr>
        <w:t>18.</w:t>
      </w:r>
    </w:p>
    <w:p>
      <w:pPr>
        <w:pStyle w:val="TextBody"/>
        <w:bidi w:val="0"/>
        <w:spacing w:before="40" w:after="283"/>
        <w:jc w:val="both"/>
        <w:rPr>
          <w:rFonts w:ascii="Arial" w:hAnsi="Arial"/>
          <w:b/>
          <w:color w:val="000000"/>
          <w:sz w:val="20"/>
        </w:rPr>
      </w:pPr>
      <w:r>
        <w:rPr>
          <w:rFonts w:ascii="Arial" w:hAnsi="Arial"/>
          <w:b/>
          <w:color w:val="000000"/>
          <w:sz w:val="20"/>
        </w:rPr>
        <w:t>Segment Information</w:t>
      </w:r>
    </w:p>
    <w:p>
      <w:pPr>
        <w:pStyle w:val="TextBody"/>
        <w:bidi w:val="0"/>
        <w:spacing w:before="240" w:after="283"/>
        <w:jc w:val="both"/>
        <w:rPr>
          <w:rFonts w:ascii="Arial" w:hAnsi="Arial"/>
          <w:color w:val="000000"/>
          <w:sz w:val="20"/>
        </w:rPr>
      </w:pPr>
      <w:r>
        <w:rPr>
          <w:rFonts w:ascii="Arial" w:hAnsi="Arial"/>
          <w:color w:val="000000"/>
          <w:sz w:val="20"/>
        </w:rPr>
        <w:t>The Company operates and manages its business as one reportable segment and one operating segment, which is focused on the standard of care for patients suffering from autoimmune and inflammatory diseases. The CODM manages the Company’s operations on a consolidated basis, assesses performance for the operating segment and decides how to allocate resources based on consolidated net loss, which is reported on the consolidated statements of operations and comprehensive loss.</w:t>
      </w:r>
    </w:p>
    <w:p>
      <w:pPr>
        <w:pStyle w:val="TextBody"/>
        <w:bidi w:val="0"/>
        <w:spacing w:before="240" w:after="283"/>
        <w:jc w:val="both"/>
        <w:rPr>
          <w:rFonts w:ascii="Times New Roman" w:hAnsi="Times New Roman"/>
          <w:sz w:val="20"/>
        </w:rPr>
      </w:pPr>
      <w:r>
        <w:rPr>
          <w:rFonts w:ascii="Arial" w:hAnsi="Arial"/>
          <w:color w:val="000000"/>
          <w:sz w:val="20"/>
        </w:rPr>
        <w:t>The CODM uses consolidated net loss to evaluate the Company’s spend and monitor budget versus actual results. The monitoring of budgeted versus actual results is used in assessing the performance of the operating segment and in establishing resource allocation across the organization.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2 of the notes to the consolidated financial statements.</w:t>
      </w:r>
    </w:p>
    <w:p>
      <w:pPr>
        <w:pStyle w:val="TextBody"/>
        <w:bidi w:val="0"/>
        <w:spacing w:before="240" w:after="283"/>
        <w:jc w:val="both"/>
        <w:rPr>
          <w:rFonts w:ascii="Arial" w:hAnsi="Arial"/>
          <w:color w:val="000000"/>
          <w:sz w:val="20"/>
        </w:rPr>
      </w:pPr>
      <w:r>
        <w:rPr>
          <w:rFonts w:ascii="Arial" w:hAnsi="Arial"/>
          <w:color w:val="000000"/>
          <w:sz w:val="20"/>
        </w:rPr>
        <w:t>The measure of segment assets is reported on the consolidated balance sheets as total assets. The following table presents certain financial data for the Company’s reportable segment:</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7111"/>
        <w:gridCol w:w="146"/>
        <w:gridCol w:w="226"/>
        <w:gridCol w:w="855"/>
        <w:gridCol w:w="156"/>
        <w:gridCol w:w="156"/>
        <w:gridCol w:w="226"/>
        <w:gridCol w:w="855"/>
        <w:gridCol w:w="474"/>
      </w:tblGrid>
      <w:tr>
        <w:trPr/>
        <w:tc>
          <w:tcPr>
            <w:tcW w:w="7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Year Ended December 31,</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2024</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center"/>
              <w:rPr/>
            </w:pPr>
            <w:r>
              <w:rPr/>
              <w:t> </w:t>
            </w:r>
          </w:p>
        </w:tc>
      </w:tr>
      <w:tr>
        <w:trPr/>
        <w:tc>
          <w:tcPr>
            <w:tcW w:w="711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2,976</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4,472</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11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 xml:space="preserve">Research and development expenses associated with preclinical and clinical studies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64,540</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55,002</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 xml:space="preserve">Facilities and related expenses, excluding depreciation and amortization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11,992</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1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 xml:space="preserve">General and corporate expenses </w:t>
            </w:r>
            <w:r>
              <w:rPr>
                <w:rFonts w:ascii="Arial" w:hAnsi="Arial"/>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11,527</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Personnel-related expenses, excluding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47,296</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7111" w:type="dxa"/>
            <w:tcBorders/>
            <w:shd w:fill="CFF0FC" w:val="clear"/>
            <w:tcMar>
              <w:top w:w="0" w:type="dxa"/>
              <w:left w:w="0" w:type="dxa"/>
              <w:bottom w:w="0" w:type="dxa"/>
              <w:right w:w="0" w:type="dxa"/>
            </w:tcMar>
            <w:vAlign w:val="center"/>
          </w:tcPr>
          <w:p>
            <w:pPr>
              <w:pStyle w:val="TableContents"/>
              <w:bidi w:val="0"/>
              <w:spacing w:before="0" w:after="283"/>
              <w:ind w:left="280" w:right="0" w:firstLine="280"/>
              <w:jc w:val="left"/>
              <w:rPr>
                <w:rFonts w:ascii="Times New Roman" w:hAnsi="Times New Roman"/>
                <w:sz w:val="20"/>
              </w:rPr>
            </w:pPr>
            <w:r>
              <w:rPr>
                <w:rFonts w:ascii="Arial" w:hAnsi="Arial"/>
                <w:color w:val="000000"/>
                <w:sz w:val="20"/>
              </w:rPr>
              <w:t xml:space="preserve">Other segment items </w:t>
            </w:r>
            <w:r>
              <w:rPr>
                <w:rFonts w:ascii="Arial" w:hAnsi="Arial"/>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6,725</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7,976</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148,647</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129,321</w:t>
            </w:r>
          </w:p>
        </w:tc>
        <w:tc>
          <w:tcPr>
            <w:tcW w:w="4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color w:val="000000"/>
          <w:sz w:val="13"/>
        </w:rPr>
        <w:t xml:space="preserve">(1) </w:t>
      </w:r>
      <w:r>
        <w:rPr>
          <w:rFonts w:ascii="Arial" w:hAnsi="Arial"/>
          <w:color w:val="000000"/>
          <w:sz w:val="20"/>
        </w:rPr>
        <w:t>Research and development expenses associated with preclinical and clinical studies includes research software, professional services and laboratory operations supporting our research and development programs.</w:t>
      </w:r>
    </w:p>
    <w:p>
      <w:pPr>
        <w:pStyle w:val="TextBody"/>
        <w:bidi w:val="0"/>
        <w:spacing w:before="240" w:after="283"/>
        <w:jc w:val="both"/>
        <w:rPr>
          <w:rFonts w:ascii="Times New Roman" w:hAnsi="Times New Roman"/>
          <w:sz w:val="20"/>
        </w:rPr>
      </w:pPr>
      <w:r>
        <w:rPr>
          <w:rFonts w:ascii="Arial" w:hAnsi="Arial"/>
          <w:color w:val="000000"/>
          <w:sz w:val="13"/>
        </w:rPr>
        <w:t xml:space="preserve">(2) </w:t>
      </w:r>
      <w:r>
        <w:rPr>
          <w:rFonts w:ascii="Arial" w:hAnsi="Arial"/>
          <w:color w:val="000000"/>
          <w:sz w:val="20"/>
        </w:rPr>
        <w:t>Facilities and related expenses includes rent, common area maintenance costs, repairs and maintenance, utilities and real estate taxes.</w:t>
      </w:r>
    </w:p>
    <w:p>
      <w:pPr>
        <w:pStyle w:val="TextBody"/>
        <w:bidi w:val="0"/>
        <w:spacing w:before="240" w:after="283"/>
        <w:jc w:val="both"/>
        <w:rPr>
          <w:rFonts w:ascii="Times New Roman" w:hAnsi="Times New Roman"/>
          <w:sz w:val="20"/>
        </w:rPr>
      </w:pPr>
      <w:r>
        <w:rPr>
          <w:rFonts w:ascii="Arial" w:hAnsi="Arial"/>
          <w:color w:val="000000"/>
          <w:sz w:val="13"/>
        </w:rPr>
        <w:t>(3)</w:t>
      </w:r>
      <w:r>
        <w:rPr>
          <w:rFonts w:ascii="Times New Roman" w:hAnsi="Times New Roman"/>
          <w:color w:val="000000"/>
          <w:sz w:val="20"/>
        </w:rPr>
        <w:t xml:space="preserve"> </w:t>
      </w:r>
      <w:r>
        <w:rPr>
          <w:rFonts w:ascii="Arial" w:hAnsi="Arial"/>
          <w:color w:val="000000"/>
          <w:sz w:val="20"/>
        </w:rPr>
        <w:t>General and corporate expenses include general and administrative costs associated with professional and consulting fees and other overhead costs.</w:t>
      </w:r>
    </w:p>
    <w:p>
      <w:pPr>
        <w:pStyle w:val="TextBody"/>
        <w:bidi w:val="0"/>
        <w:spacing w:before="240" w:after="283"/>
        <w:jc w:val="both"/>
        <w:rPr>
          <w:rFonts w:ascii="Times New Roman" w:hAnsi="Times New Roman"/>
          <w:sz w:val="20"/>
        </w:rPr>
      </w:pPr>
      <w:r>
        <w:rPr>
          <w:rFonts w:ascii="Arial" w:hAnsi="Arial"/>
          <w:color w:val="000000"/>
          <w:sz w:val="13"/>
        </w:rPr>
        <w:t>(4)</w:t>
      </w:r>
      <w:r>
        <w:rPr>
          <w:rFonts w:ascii="Arial" w:hAnsi="Arial"/>
          <w:color w:val="000000"/>
          <w:sz w:val="20"/>
        </w:rPr>
        <w:t>For the year ended December 31, 2025, other segment items consist of interest income, stock-based compensation expense, depreciation and amortization expense, change in fair value of contingent consideration expense, income tax (benefit) provision and other (income) expense, net. Interest income consists of interest income earned on cash equivalents and marketable securities. Interest expense consists of interest expense on our finance leases. Other (income) expense, net primarily consists of realized and unrealized gains and losses on marketable securities.</w:t>
      </w:r>
    </w:p>
    <w:p>
      <w:pPr>
        <w:pStyle w:val="TextBody"/>
        <w:bidi w:val="0"/>
        <w:spacing w:before="240" w:after="283"/>
        <w:jc w:val="both"/>
        <w:rPr>
          <w:rFonts w:ascii="Arial" w:hAnsi="Arial"/>
          <w:b/>
          <w:color w:val="000000"/>
          <w:sz w:val="20"/>
        </w:rPr>
      </w:pPr>
      <w:r>
        <w:rPr>
          <w:rFonts w:ascii="Arial" w:hAnsi="Arial"/>
          <w:b/>
          <w:color w:val="000000"/>
          <w:sz w:val="20"/>
        </w:rPr>
        <w:t>19.</w:t>
      </w:r>
    </w:p>
    <w:p>
      <w:pPr>
        <w:pStyle w:val="TextBody"/>
        <w:bidi w:val="0"/>
        <w:spacing w:before="240" w:after="283"/>
        <w:jc w:val="both"/>
        <w:rPr>
          <w:rFonts w:ascii="Arial" w:hAnsi="Arial"/>
          <w:b/>
          <w:color w:val="000000"/>
          <w:sz w:val="20"/>
        </w:rPr>
      </w:pPr>
      <w:r>
        <w:rPr>
          <w:rFonts w:ascii="Arial" w:hAnsi="Arial"/>
          <w:b/>
          <w:color w:val="000000"/>
          <w:sz w:val="20"/>
        </w:rPr>
        <w:t>Subsequent Events</w:t>
      </w:r>
    </w:p>
    <w:p>
      <w:pPr>
        <w:pStyle w:val="TextBody"/>
        <w:bidi w:val="0"/>
        <w:spacing w:before="240" w:after="283"/>
        <w:jc w:val="both"/>
        <w:rPr>
          <w:rFonts w:ascii="Arial" w:hAnsi="Arial"/>
          <w:color w:val="000000"/>
          <w:sz w:val="20"/>
        </w:rPr>
      </w:pPr>
      <w:r>
        <w:rPr>
          <w:rFonts w:ascii="Arial" w:hAnsi="Arial"/>
          <w:color w:val="000000"/>
          <w:sz w:val="20"/>
        </w:rPr>
        <w:t>The Company has evaluated subsequent events through March 16, 2026, the date these audited consolidated financial statements were originally available to be issued (except for the reverse stock split described below, as to which the date is May 4, 2026).</w:t>
      </w:r>
    </w:p>
    <w:p>
      <w:pPr>
        <w:pStyle w:val="TextBody"/>
        <w:bidi w:val="0"/>
        <w:spacing w:before="240" w:after="283"/>
        <w:jc w:val="both"/>
        <w:rPr>
          <w:rFonts w:ascii="Arial" w:hAnsi="Arial"/>
          <w:b/>
          <w:i/>
          <w:color w:val="000000"/>
          <w:sz w:val="20"/>
        </w:rPr>
      </w:pPr>
      <w:r>
        <w:rPr>
          <w:rFonts w:ascii="Arial" w:hAnsi="Arial"/>
          <w:b/>
          <w:i/>
          <w:color w:val="000000"/>
          <w:sz w:val="20"/>
        </w:rPr>
        <w:t>Reverse Stock Split</w:t>
      </w:r>
    </w:p>
    <w:p>
      <w:pPr>
        <w:pStyle w:val="TextBody"/>
        <w:bidi w:val="0"/>
        <w:spacing w:before="240" w:after="240"/>
        <w:jc w:val="both"/>
        <w:rPr>
          <w:rFonts w:ascii="Arial" w:hAnsi="Arial"/>
          <w:color w:val="000000"/>
          <w:sz w:val="20"/>
        </w:rPr>
      </w:pPr>
      <w:r>
        <w:rPr>
          <w:rFonts w:ascii="Arial" w:hAnsi="Arial"/>
          <w:color w:val="000000"/>
          <w:sz w:val="20"/>
        </w:rPr>
        <w:t>The Company’s Board approved a 1-for-9.717 reverse stock split of its issued and outstanding voting common stock, which also resulted in a proportional adjustment to the conversion ratio for its non-voting common stock, each series of its convertible preferred stock, and to the exercise prices and number of outstanding Common Warrants and stock options, which became effective on May 1, 2026. Accordingly, all shares of voting common stock, stock options and Common Warrants, the as-converted preferred stock, and per share information presented in the accompanying financial statements and notes thereto have been retroactively adjusted, where applicable, to reflect the reverse stock split. The per share par value and authorized number of shares of the Company’s common stock were not adjusted as a result of the split.</w:t>
      </w:r>
    </w:p>
    <w:p>
      <w:pPr>
        <w:pStyle w:val="TextBody"/>
        <w:bidi w:val="0"/>
        <w:spacing w:before="120" w:after="283"/>
        <w:jc w:val="center"/>
        <w:rPr>
          <w:rFonts w:ascii="Arial" w:hAnsi="Arial"/>
          <w:color w:val="000000"/>
          <w:sz w:val="20"/>
        </w:rPr>
      </w:pPr>
      <w:r>
        <w:rPr>
          <w:rFonts w:ascii="Arial" w:hAnsi="Arial"/>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top w:val="single" w:sz="18" w:space="1" w:color="000000"/>
        </w:pBdr>
        <w:bidi w:val="0"/>
        <w:spacing w:before="20" w:after="283"/>
        <w:jc w:val="center"/>
        <w:rPr/>
      </w:pPr>
      <w:r>
        <w:rPr/>
        <w:t> </w:t>
      </w:r>
    </w:p>
    <w:p>
      <w:pPr>
        <w:pStyle w:val="TextBody"/>
        <w:bidi w:val="0"/>
        <w:spacing w:before="480" w:after="283"/>
        <w:jc w:val="center"/>
        <w:rPr>
          <w:rFonts w:ascii="Times New Roman" w:hAnsi="Times New Roman"/>
          <w:sz w:val="20"/>
        </w:rPr>
      </w:pPr>
      <w:r>
        <w:rPr>
          <w:rFonts w:ascii="Arial" w:hAnsi="Arial"/>
          <w:b/>
          <w:color w:val="000000"/>
          <w:sz w:val="28"/>
        </w:rPr>
        <w:t>13,240,000 Shares</w:t>
      </w:r>
      <w:r>
        <w:rPr>
          <w:rFonts w:ascii="Times New Roman" w:hAnsi="Times New Roman"/>
          <w:color w:val="000000"/>
          <w:sz w:val="20"/>
        </w:rPr>
        <w:t xml:space="preserve"> </w:t>
      </w:r>
    </w:p>
    <w:p>
      <w:pPr>
        <w:pStyle w:val="TextBody"/>
        <w:bidi w:val="0"/>
        <w:jc w:val="center"/>
        <w:rPr/>
      </w:pPr>
      <w:r>
        <w:rPr/>
        <w:drawing>
          <wp:inline distT="0" distB="0" distL="0" distR="0">
            <wp:extent cx="2076450" cy="561975"/>
            <wp:effectExtent l="0" t="0" r="0" b="0"/>
            <wp:docPr id="7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6" descr=""/>
                    <pic:cNvPicPr>
                      <a:picLocks noChangeAspect="1" noChangeArrowheads="1"/>
                    </pic:cNvPicPr>
                  </pic:nvPicPr>
                  <pic:blipFill>
                    <a:blip r:embed="rId77"/>
                    <a:stretch>
                      <a:fillRect/>
                    </a:stretch>
                  </pic:blipFill>
                  <pic:spPr bwMode="auto">
                    <a:xfrm>
                      <a:off x="0" y="0"/>
                      <a:ext cx="2076450" cy="561975"/>
                    </a:xfrm>
                    <a:prstGeom prst="rect">
                      <a:avLst/>
                    </a:prstGeom>
                  </pic:spPr>
                </pic:pic>
              </a:graphicData>
            </a:graphic>
          </wp:inline>
        </w:drawing>
      </w:r>
    </w:p>
    <w:p>
      <w:pPr>
        <w:pStyle w:val="TextBody"/>
        <w:bidi w:val="0"/>
        <w:jc w:val="center"/>
        <w:rPr/>
      </w:pPr>
      <w:r>
        <w:rPr/>
        <w:t> </w:t>
      </w:r>
    </w:p>
    <w:p>
      <w:pPr>
        <w:pStyle w:val="TextBody"/>
        <w:bidi w:val="0"/>
        <w:spacing w:before="480" w:after="283"/>
        <w:jc w:val="center"/>
        <w:rPr>
          <w:rFonts w:ascii="Times New Roman" w:hAnsi="Times New Roman"/>
          <w:sz w:val="20"/>
        </w:rPr>
      </w:pPr>
      <w:r>
        <w:rPr>
          <w:rFonts w:ascii="Arial" w:hAnsi="Arial"/>
          <w:b/>
          <w:color w:val="000000"/>
          <w:sz w:val="36"/>
        </w:rPr>
        <w:t>Odyssey Therapeutics, Inc.</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Arial" w:hAnsi="Arial"/>
          <w:b/>
          <w:color w:val="000000"/>
          <w:sz w:val="28"/>
        </w:rPr>
        <w:t>Common Stock</w:t>
      </w:r>
      <w:r>
        <w:rPr>
          <w:rFonts w:ascii="Times New Roman" w:hAnsi="Times New Roman"/>
          <w:color w:val="000000"/>
          <w:sz w:val="20"/>
        </w:rPr>
        <w:t xml:space="preserve"> </w:t>
      </w:r>
    </w:p>
    <w:p>
      <w:pPr>
        <w:pStyle w:val="TextBody"/>
        <w:bidi w:val="0"/>
        <w:spacing w:before="200" w:after="283"/>
        <w:ind w:left="4637" w:right="4637" w:hanging="0"/>
        <w:jc w:val="center"/>
        <w:rPr>
          <w:rFonts w:ascii="Times New Roman" w:hAnsi="Times New Roman"/>
          <w:sz w:val="20"/>
        </w:rPr>
      </w:pPr>
      <w:r>
        <w:rPr>
          <w:rFonts w:ascii="Arial" w:hAnsi="Arial"/>
          <w:b/>
          <w:color w:val="000000"/>
          <w:sz w:val="28"/>
        </w:rPr>
        <w:t>PROSPECTUS</w:t>
      </w:r>
      <w:r>
        <w:rPr>
          <w:rFonts w:ascii="Times New Roman" w:hAnsi="Times New Roman"/>
          <w:color w:val="000000"/>
          <w:sz w:val="20"/>
        </w:rPr>
        <w:t xml:space="preserve"> </w:t>
      </w:r>
    </w:p>
    <w:p>
      <w:pPr>
        <w:pStyle w:val="TextBody"/>
        <w:bidi w:val="0"/>
        <w:ind w:left="4637" w:right="4637" w:hanging="0"/>
        <w:jc w:val="left"/>
        <w:rPr/>
      </w:pPr>
      <w:r>
        <w:rPr/>
        <w:t> </w:t>
      </w:r>
    </w:p>
    <w:p>
      <w:pPr>
        <w:pStyle w:val="TextBody"/>
        <w:bidi w:val="0"/>
        <w:jc w:val="left"/>
        <w:rPr/>
      </w:pPr>
      <w:r>
        <w:rPr/>
        <w:t> </w:t>
      </w:r>
    </w:p>
    <w:tbl>
      <w:tblPr>
        <w:tblW w:w="5163" w:type="dxa"/>
        <w:jc w:val="left"/>
        <w:tblInd w:w="0" w:type="dxa"/>
        <w:tblLayout w:type="fixed"/>
        <w:tblCellMar>
          <w:top w:w="28" w:type="dxa"/>
          <w:left w:w="28" w:type="dxa"/>
          <w:bottom w:w="28" w:type="dxa"/>
          <w:right w:w="28" w:type="dxa"/>
        </w:tblCellMar>
      </w:tblPr>
      <w:tblGrid>
        <w:gridCol w:w="1891"/>
        <w:gridCol w:w="1291"/>
        <w:gridCol w:w="1981"/>
      </w:tblGrid>
      <w:tr>
        <w:trPr/>
        <w:tc>
          <w:tcPr>
            <w:tcW w:w="18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J.P. Morgan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TD Cowen</w:t>
            </w:r>
          </w:p>
        </w:tc>
        <w:tc>
          <w:tcPr>
            <w:tcW w:w="19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4"/>
              </w:rPr>
            </w:pPr>
            <w:r>
              <w:rPr>
                <w:rFonts w:ascii="Arial" w:hAnsi="Arial"/>
                <w:b/>
                <w:color w:val="000000"/>
                <w:sz w:val="24"/>
              </w:rPr>
              <w:t>Cantor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Wedbush PacGrow</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8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Oppenheimer &amp; Co.</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20"/>
        </w:rPr>
        <w:t>, 2026</w:t>
      </w:r>
      <w:r>
        <w:rPr>
          <w:rFonts w:ascii="Times New Roman" w:hAnsi="Times New Roman"/>
          <w:color w:val="000000"/>
          <w:sz w:val="20"/>
        </w:rPr>
        <w:t xml:space="preserve"> </w:t>
      </w:r>
    </w:p>
    <w:p>
      <w:pPr>
        <w:pStyle w:val="TextBody"/>
        <w:bidi w:val="0"/>
        <w:spacing w:before="260" w:after="283"/>
        <w:ind w:left="0" w:right="0" w:firstLine="612"/>
        <w:jc w:val="left"/>
        <w:rPr>
          <w:rFonts w:ascii="Times New Roman" w:hAnsi="Times New Roman"/>
          <w:sz w:val="20"/>
        </w:rPr>
      </w:pPr>
      <w:r>
        <w:rPr>
          <w:rFonts w:ascii="Arial" w:hAnsi="Arial"/>
          <w:b/>
          <w:color w:val="000000"/>
          <w:sz w:val="20"/>
        </w:rPr>
        <w:t>Through and including    , 2026 (25 days after the date of this prospectus), all dealers effecting transactions in these securities, whether or not participating in this offering, may be required to deliver a prospectus. This in addition to a dealer’s obligation to deliver a prospectus when acting as an underwriter and with respect an unsold allotment or subscription.</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PART II</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INFORMATION NOT REQUIRED IN PROSPECTUS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b/>
          <w:color w:val="000000"/>
          <w:sz w:val="20"/>
        </w:rPr>
        <w:t>ITEM 13. OTHER EXPENSES OF ISSUANCE AND DISTRIBUTION.</w:t>
      </w:r>
      <w:r>
        <w:rPr>
          <w:rFonts w:ascii="Times New Roman" w:hAnsi="Times New Roman"/>
          <w:color w:val="000000"/>
          <w:sz w:val="20"/>
        </w:rPr>
        <w:t xml:space="preserve"> </w:t>
      </w:r>
    </w:p>
    <w:p>
      <w:pPr>
        <w:pStyle w:val="TextBody"/>
        <w:bidi w:val="0"/>
        <w:spacing w:before="120" w:after="283"/>
        <w:ind w:left="0" w:right="0" w:firstLine="612"/>
        <w:jc w:val="left"/>
        <w:rPr>
          <w:rFonts w:ascii="Times New Roman" w:hAnsi="Times New Roman"/>
          <w:sz w:val="20"/>
        </w:rPr>
      </w:pPr>
      <w:r>
        <w:rPr>
          <w:rFonts w:ascii="Arial" w:hAnsi="Arial"/>
          <w:color w:val="000000"/>
          <w:sz w:val="20"/>
        </w:rPr>
        <w:t>The following table sets forth all expenses to be paid by Odyssey Therapeutics, Inc., or the Registrant, other than underwriting discounts and commissions, incurred or to be incurred in connection with this offering. All amounts shown are estimates except for the SEC registration fee, the Financial Industry Regulatory Authority, Inc. filing fee and the Nasdaq Stock Market LLC listing fee.</w:t>
      </w:r>
      <w:r>
        <w:rPr>
          <w:rFonts w:ascii="Times New Roman" w:hAnsi="Times New Roman"/>
          <w:color w:val="000000"/>
          <w:sz w:val="20"/>
        </w:rPr>
        <w:t xml:space="preserve"> </w:t>
      </w:r>
    </w:p>
    <w:p>
      <w:pPr>
        <w:pStyle w:val="TextBody"/>
        <w:bidi w:val="0"/>
        <w:jc w:val="left"/>
        <w:rPr/>
      </w:pPr>
      <w:r>
        <w:rPr/>
        <w:t> </w:t>
      </w:r>
    </w:p>
    <w:tbl>
      <w:tblPr>
        <w:tblW w:w="7240" w:type="dxa"/>
        <w:jc w:val="left"/>
        <w:tblInd w:w="0" w:type="dxa"/>
        <w:tblLayout w:type="fixed"/>
        <w:tblCellMar>
          <w:top w:w="28" w:type="dxa"/>
          <w:left w:w="28" w:type="dxa"/>
          <w:bottom w:w="28" w:type="dxa"/>
          <w:right w:w="28" w:type="dxa"/>
        </w:tblCellMar>
      </w:tblPr>
      <w:tblGrid>
        <w:gridCol w:w="4741"/>
        <w:gridCol w:w="146"/>
        <w:gridCol w:w="211"/>
        <w:gridCol w:w="1231"/>
        <w:gridCol w:w="9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4741" w:type="dxa"/>
            <w:tcBorders/>
            <w:shd w:fill="CFF0FC" w:val="clear"/>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SEC registration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37,849.00</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Financial Industry Regulatory Authority, Inc. filing fee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41,610.20</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Nasdaq listing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75,000.00</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Printing and engraving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265,000.00</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Legal fees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2,500,000.00</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Accounting fees and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625,000.00</w:t>
            </w:r>
          </w:p>
        </w:tc>
        <w:tc>
          <w:tcPr>
            <w:tcW w:w="91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Transfer agent and registrar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3,500.00</w:t>
            </w:r>
          </w:p>
        </w:tc>
        <w:tc>
          <w:tcPr>
            <w:tcW w:w="911"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7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Miscellaneous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552,040.80</w:t>
            </w:r>
          </w:p>
        </w:tc>
        <w:tc>
          <w:tcPr>
            <w:tcW w:w="911" w:type="dxa"/>
            <w:tcBorders>
              <w:bottom w:val="single" w:sz="4" w:space="0" w:color="000000"/>
            </w:tcBorders>
            <w:tcMar>
              <w:top w:w="0" w:type="dxa"/>
              <w:left w:w="0" w:type="dxa"/>
              <w:right w:w="0" w:type="dxa"/>
            </w:tcMar>
            <w:vAlign w:val="center"/>
          </w:tcPr>
          <w:p>
            <w:pPr>
              <w:pStyle w:val="TableContents"/>
              <w:bidi w:val="0"/>
              <w:spacing w:before="0" w:after="283"/>
              <w:ind w:left="0" w:right="0" w:firstLine="720"/>
              <w:jc w:val="right"/>
              <w:rPr/>
            </w:pPr>
            <w:r>
              <w:rPr/>
              <w:t> </w:t>
            </w:r>
          </w:p>
        </w:tc>
      </w:tr>
      <w:tr>
        <w:trPr/>
        <w:tc>
          <w:tcPr>
            <w:tcW w:w="4741" w:type="dxa"/>
            <w:tcBorders/>
            <w:shd w:fill="CFF0FC" w:val="clear"/>
            <w:tcMar>
              <w:top w:w="0" w:type="dxa"/>
              <w:left w:w="0" w:type="dxa"/>
              <w:bottom w:w="0" w:type="dxa"/>
              <w:right w:w="0" w:type="dxa"/>
            </w:tcMar>
            <w:vAlign w:val="center"/>
          </w:tcPr>
          <w:p>
            <w:pPr>
              <w:pStyle w:val="TableContents"/>
              <w:pBdr/>
              <w:bidi w:val="0"/>
              <w:spacing w:before="0" w:after="283"/>
              <w:ind w:left="480" w:right="0" w:hanging="24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3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4,100,000.00</w:t>
            </w:r>
          </w:p>
        </w:tc>
        <w:tc>
          <w:tcPr>
            <w:tcW w:w="911" w:type="dxa"/>
            <w:tcBorders>
              <w:bottom w:val="doub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pBdr/>
        <w:bidi w:val="0"/>
        <w:ind w:left="115" w:right="0" w:hanging="245"/>
        <w:jc w:val="left"/>
        <w:rPr/>
      </w:pPr>
      <w:r>
        <w:rPr/>
        <w:t> </w:t>
      </w:r>
    </w:p>
    <w:p>
      <w:pPr>
        <w:pStyle w:val="TextBody"/>
        <w:bidi w:val="0"/>
        <w:spacing w:before="40" w:after="283"/>
        <w:jc w:val="left"/>
        <w:rPr>
          <w:rFonts w:ascii="Times New Roman" w:hAnsi="Times New Roman"/>
          <w:sz w:val="20"/>
        </w:rPr>
      </w:pPr>
      <w:r>
        <w:rPr>
          <w:rFonts w:ascii="Arial" w:hAnsi="Arial"/>
          <w:b/>
          <w:color w:val="000000"/>
          <w:sz w:val="20"/>
        </w:rPr>
        <w:t>ITEM 14. INDEMNIFICATION OF DIRECTORS AND OFFICERS.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Section 145 of the DGCL, authorizes a corporation’s board of directors to grant, and authorizes a court to award, indemnity to officers, directors and other corporate agents.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Prior to the completion of the offering, the Registrant expects to adopt a Certificate of Incorporation and Bylaws, which will become effective immediately prior to the completion of the offering, and which will contain provisions that limit the liability of the Registrant’s directors and officers for monetary damages to the fullest extent permitted by law.</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or officers of corporations, then the personal liability of the Registrant’s directors and officers will be further limited to the greatest extent permitted by the DGCL.</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Registrant’s Certificate of Incorporation will also provide that the Registrant will indemnify, to the fullest extent permitted by law, each person who is or was made a party or is threatened to be made a party to or is otherwise involved in any threatened, pending or completed action, suit or proceeding, whether civil, criminal, administrative or investigative by reason of the fact that he or she is or was a director or officer of the Registrant or, while a director or officer of the Registrant, is or was serving at the request of the Registrant as a director, officer, employee or agent of another corporation or of a partnership, joint venture, trust, other enterprise or nonprofit entity. In addition, the Registrant’s Certificate of Incorporation will provide that the Registrant must advance expenses incurred by or on behalf of a director or officer in advance of the final disposition of any action or proceeding, subject to very limited exceptions.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Further, prior to the completion of this offering, the Registrant expects to enter into indemnification agreements with each of its directors and executive officers that may be broader than the specific indemnification provisions contained in the DGCL. These indemnification agreements will require the Registrant, among other things, to indemnify its directors and executive officers against liabilities that may arise by reason of their status or service. These indemnification agreements will also require the Registrant to advance all expenses incurred by the directors and executive officers in investigating or defending any such action, suit or proceeding, subject to certain exceptions. The Registrant believes that these agreements are necessary to attract and retain qualified individuals to serve as directors and executive officers.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limitation of liability and indemnification provisions that will be included in the Registrant’s Certificate of Incorporation, Bylaws and in indemnification agreements that the Registrant enters into with its directors and executive officers may discourage stockholders from bringing a lawsuit against its directors and executive officers for breach of their fiduciary duties. They may also reduce the likelihood of derivative litigation against the Registrant’s directors and executive officers even though an action, if successful, might benefit the Registrant and other stockholders. Further, a stockholder’s investment may be adversely affected to the extent that the Registrant pays the costs of settlement and damage awards against directors and executive officers as required by these indemnification provisions. At present, the Registrant is not aware of any pending litigation or proceeding involving any person who is or was one of its directors, officers, employees or other agents or is or was serving at its request as a director, officer, employee or agent of another corporation, partnership, joint venture, trust or other enterprise, for which indemnification is sought, and the Registrant is not aware of any threatened litigation that may result in claims for indemnification.</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II-1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Registrant’s Bylaws will provide that the Registrant may purchase and maintain insurance, at its expense, to protect itself and any person who is or was a director, officer, employee or agent of the Registrant or is or was serving at its request as a director, officer, employee or agent of another corporation, partnership, joint venture, trust or other enterprise against any expense, liability or loss, whether or not the Registrant would have the power to indemnity such person against such expense, liability or loss under the DGCL. The Registrant will obtain prior to the closing of this offering insurance under which, subject to the limitations of the insurance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the Registrant’s indemnification obligations or otherwise as a matter of law.</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underwriting agreement filed as Exhibit 1.1 to this registration statement provides for indemnification by the underwriters of the Registrant and its officers and directors for certain liabilities arising under the Securities Act and otherwise.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color w:val="000000"/>
          <w:sz w:val="20"/>
        </w:rPr>
        <w:t>ITEM 15. RECENT SALES OF UNREGISTERED SECURITIES.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Since January 1, 2023, the Registrant has issued the following securities that were not registered under the Securities 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Issuances of Options to Purchase Common Stock and Common Stock Upon Exercise of Options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From January 1, 2023 through the date of this registration statement, the Registrant granted options to purchase an aggregate of 6,865,844 shares of the Registrant’s common stock to certain of the Registrant’s employees, consultants and directors under 2021 Equity Incentive Plan, as amended to date, or the 2021 Plan, having exercise prices ranging from $3.98 to $32.07 per share.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From January 1, 2023 through the date of this registration statement, the Registrant issued to certain of the Registrant’s employees, consultants and directors an aggregate of 1,000,333 shares of the Registrant’s common stock at a per share price ranging from $3.98 to $32.07 per share pursuant to exercises of options under the 2021 Plan for an aggregate purchase price of $5.1 million.</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offers, sales and issuances of the securities described in the preceding paragraphs were deemed to be exempt from registration either under Rule 701 promulgated under the Securities Act, or Rule 701, in that the transactions were under compensatory benefit plans and contracts relating to compensation, or under Section 4(a)(2) of the Securities Act in that the transactions were between an issuer and members of its senior executive management and did not involve any public offering within the meaning of Section 4(a)(2). The recipients of such securities were the Registrant’s employees, directors or consultants and received the securities under the 2021 Plan. Appropriate legends were affixed to the securities issued in these transactions. Each of the recipients of securities in these transactions had adequate access, through employment, business or other relationships, to information about the Registrant.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Issuances of Convertible Preferred Stock</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 multiple closings held between January 1, 2023 and the date hereof, the Registrant issued and sold an aggregate of (i) 23,442,000 shares of its Series C convertible preferred stock at a purchase price of $5.00 per share for an aggregate purchase price of approximately $117.2 million, (ii) 1,459,598 shares of its Series C-1 convertible preferred stock at a price per share of $5.1384 for an aggregate purchase price of approximately $7.5 million to one accredited investor and (iii) (A) 141,950,377 shares of its Series D convertible preferred stock at a purchase price of $1.50497 per share, for an aggregate purchase price of approximately $213.6 million and (B) warrants to purchase an aggregate of 4,056,164 shares of common stock at an exercise price of $0.10 per share.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offers, sales and issuances of the securities described in the preceding paragraphs were deemed to be exempt from registration under the Securities Act in reliance on Section 4(a)(2) of the Securities Act or Rule 506 of Regulation D promulgated thereunder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either an accredited investor within the meaning of Rule 501 of Regulation D under the Securities Act or had adequate access, through employment, business or other relationships, to information about the Registrant. No underwriters were involved in these transactions.</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II-2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color w:val="000000"/>
          <w:sz w:val="20"/>
        </w:rPr>
        <w:t>ITEM 16. EXHIBITS AND FINANCIAL STATEMENT SCHEDULES.</w:t>
      </w:r>
      <w:r>
        <w:rPr>
          <w:rFonts w:ascii="Times New Roman" w:hAnsi="Times New Roman"/>
          <w:color w:val="000000"/>
          <w:sz w:val="20"/>
        </w:rPr>
        <w:t xml:space="preserve"> </w:t>
      </w:r>
    </w:p>
    <w:p>
      <w:pPr>
        <w:pStyle w:val="TextBody"/>
        <w:bidi w:val="0"/>
        <w:spacing w:before="120" w:after="283"/>
        <w:ind w:left="619" w:right="0" w:hanging="0"/>
        <w:jc w:val="left"/>
        <w:rPr>
          <w:rFonts w:ascii="Arial" w:hAnsi="Arial"/>
          <w:i/>
          <w:color w:val="000000"/>
          <w:sz w:val="20"/>
        </w:rPr>
      </w:pPr>
      <w:r>
        <w:rPr>
          <w:rFonts w:ascii="Arial" w:hAnsi="Arial"/>
          <w:i/>
          <w:color w:val="000000"/>
          <w:sz w:val="20"/>
        </w:rPr>
        <w:t>(a)</w:t>
      </w:r>
    </w:p>
    <w:p>
      <w:pPr>
        <w:pStyle w:val="TextBody"/>
        <w:bidi w:val="0"/>
        <w:spacing w:before="120" w:after="283"/>
        <w:jc w:val="left"/>
        <w:rPr>
          <w:rFonts w:ascii="Arial" w:hAnsi="Arial"/>
          <w:i/>
          <w:color w:val="000000"/>
          <w:sz w:val="20"/>
        </w:rPr>
      </w:pPr>
      <w:r>
        <w:rPr>
          <w:rFonts w:ascii="Arial" w:hAnsi="Arial"/>
          <w:i/>
          <w:color w:val="000000"/>
          <w:sz w:val="20"/>
        </w:rPr>
        <w:t xml:space="preserve">Exhibits.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08"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tcMar>
              <w:top w:w="0" w:type="dxa"/>
              <w:left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Exhibit</w:t>
            </w:r>
          </w:p>
          <w:p>
            <w:pPr>
              <w:pStyle w:val="TableContents"/>
              <w:bidi w:val="0"/>
              <w:spacing w:before="0" w:after="283"/>
              <w:jc w:val="left"/>
              <w:rPr>
                <w:rFonts w:ascii="Arial" w:hAnsi="Arial"/>
                <w:b/>
                <w:color w:val="000000"/>
                <w:sz w:val="16"/>
              </w:rPr>
            </w:pPr>
            <w:r>
              <w:rPr>
                <w:rFonts w:ascii="Arial" w:hAnsi="Arial"/>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 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odtx-ex1_1.htm">
              <w:r>
                <w:rPr>
                  <w:rStyle w:val="InternetLink"/>
                  <w:rFonts w:ascii="Arial" w:hAnsi="Arial"/>
                  <w:color w:val="0000FF"/>
                  <w:sz w:val="20"/>
                  <w:u w:val="single"/>
                </w:rPr>
                <w:t>Form of Underwriting Agreement.</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3.1</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odtx-ex3_1.htm">
              <w:r>
                <w:rPr>
                  <w:rStyle w:val="InternetLink"/>
                  <w:rFonts w:ascii="Arial" w:hAnsi="Arial"/>
                  <w:color w:val="0000FF"/>
                  <w:sz w:val="20"/>
                  <w:u w:val="single"/>
                </w:rPr>
                <w:t>Eighth Amended and Restated Certificate of Incorporation, as amended, as currently in effect.</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3.2*</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78">
              <w:r>
                <w:rPr>
                  <w:rStyle w:val="InternetLink"/>
                  <w:rFonts w:ascii="Arial" w:hAnsi="Arial"/>
                  <w:color w:val="0000FF"/>
                  <w:sz w:val="20"/>
                  <w:u w:val="single"/>
                </w:rPr>
                <w:t>Bylaws, as currently in effect.</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3.3*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79">
              <w:r>
                <w:rPr>
                  <w:rStyle w:val="InternetLink"/>
                  <w:rFonts w:ascii="Arial" w:hAnsi="Arial"/>
                  <w:color w:val="0000FF"/>
                  <w:sz w:val="20"/>
                  <w:u w:val="single"/>
                </w:rPr>
                <w:t>Form of Ninth Amended and Restated Certificate of Incorporation, to be effective immediately prior to the closing of this offering.</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80">
              <w:r>
                <w:rPr>
                  <w:rStyle w:val="InternetLink"/>
                  <w:rFonts w:ascii="Arial" w:hAnsi="Arial"/>
                  <w:color w:val="0000FF"/>
                  <w:sz w:val="20"/>
                  <w:u w:val="single"/>
                </w:rPr>
                <w:t>Form of Amended and Restated Bylaws, to be effective immediately prior to the closing of this offering.</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81">
              <w:r>
                <w:rPr>
                  <w:rStyle w:val="InternetLink"/>
                  <w:rFonts w:ascii="Arial" w:hAnsi="Arial"/>
                  <w:color w:val="0000FF"/>
                  <w:sz w:val="20"/>
                  <w:u w:val="single"/>
                </w:rPr>
                <w:t>Form of Common Stock Certificate.</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82">
              <w:r>
                <w:rPr>
                  <w:rStyle w:val="InternetLink"/>
                  <w:rFonts w:ascii="Arial" w:hAnsi="Arial"/>
                  <w:color w:val="0000FF"/>
                  <w:sz w:val="20"/>
                  <w:u w:val="single"/>
                </w:rPr>
                <w:t>Warrant to Purchase Stock, issued to Banc of California (formerly Pacific Western Bank).</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4.3*</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83">
              <w:r>
                <w:rPr>
                  <w:rStyle w:val="InternetLink"/>
                  <w:rFonts w:ascii="Arial" w:hAnsi="Arial"/>
                  <w:color w:val="0000FF"/>
                  <w:sz w:val="20"/>
                  <w:u w:val="single"/>
                </w:rPr>
                <w:t>Third Amended and Restated Investors’ Rights Agreement, dated June 16, 2025, by and among Odyssey Therapeutics, Inc. and the investors thereto, as amended.</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84">
              <w:r>
                <w:rPr>
                  <w:rStyle w:val="InternetLink"/>
                  <w:rFonts w:ascii="Arial" w:hAnsi="Arial"/>
                  <w:color w:val="0000FF"/>
                  <w:sz w:val="20"/>
                  <w:u w:val="single"/>
                </w:rPr>
                <w:t>Form of Common Stock Warrant.</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odtx-ex5_1.htm">
              <w:r>
                <w:rPr>
                  <w:rStyle w:val="InternetLink"/>
                  <w:rFonts w:ascii="Arial" w:hAnsi="Arial"/>
                  <w:color w:val="0000FF"/>
                  <w:sz w:val="20"/>
                  <w:u w:val="single"/>
                </w:rPr>
                <w:t>Opinion of Covington &amp; Burling LLP.</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85">
              <w:r>
                <w:rPr>
                  <w:rStyle w:val="InternetLink"/>
                  <w:rFonts w:ascii="Arial" w:hAnsi="Arial"/>
                  <w:color w:val="0000FF"/>
                  <w:sz w:val="20"/>
                  <w:u w:val="single"/>
                </w:rPr>
                <w:t>Odyssey Therapeutics, Inc. 2021 Equity Incentive Plan, as amended, and forms of agreement thereunder.</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odtx-ex10_2.htm">
              <w:r>
                <w:rPr>
                  <w:rStyle w:val="InternetLink"/>
                  <w:rFonts w:ascii="Arial" w:hAnsi="Arial"/>
                  <w:color w:val="0000FF"/>
                  <w:sz w:val="20"/>
                  <w:u w:val="single"/>
                </w:rPr>
                <w:t>Odyssey Therapeutics, Inc. 2026 Long-Term Incentive Plan, and forms of agreement thereunder.</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odtx-ex10_3.htm">
              <w:r>
                <w:rPr>
                  <w:rStyle w:val="InternetLink"/>
                  <w:rFonts w:ascii="Arial" w:hAnsi="Arial"/>
                  <w:color w:val="0000FF"/>
                  <w:sz w:val="20"/>
                  <w:u w:val="single"/>
                </w:rPr>
                <w:t>Odyssey Therapeutics, Inc. 2026 Employee Stock Purchase Plan.</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86">
              <w:r>
                <w:rPr>
                  <w:rStyle w:val="InternetLink"/>
                  <w:rFonts w:ascii="Arial" w:hAnsi="Arial"/>
                  <w:color w:val="0000FF"/>
                  <w:sz w:val="20"/>
                  <w:u w:val="single"/>
                </w:rPr>
                <w:t>Form of Indemnification Agreement by and between Odyssey Therapeutics, Inc. and its directors and executive officers.</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10.5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odtx-ex10_5.htm">
              <w:r>
                <w:rPr>
                  <w:rStyle w:val="InternetLink"/>
                  <w:rFonts w:ascii="Arial" w:hAnsi="Arial"/>
                  <w:color w:val="0000FF"/>
                  <w:sz w:val="20"/>
                  <w:u w:val="single"/>
                </w:rPr>
                <w:t>Executive Employment Agreement, dated as of April 28, 2026, between Gary D. Glick, Ph.D. and Odyssey Therapeutics, Inc.</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10.6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odtx-ex10_6.htm">
              <w:r>
                <w:rPr>
                  <w:rStyle w:val="InternetLink"/>
                  <w:rFonts w:ascii="Arial" w:hAnsi="Arial"/>
                  <w:color w:val="0000FF"/>
                  <w:sz w:val="20"/>
                  <w:u w:val="single"/>
                </w:rPr>
                <w:t>Form of Executive Employment Agreement.</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10.7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87">
              <w:r>
                <w:rPr>
                  <w:rStyle w:val="InternetLink"/>
                  <w:rFonts w:ascii="Arial" w:hAnsi="Arial"/>
                  <w:color w:val="0000FF"/>
                  <w:sz w:val="20"/>
                  <w:u w:val="single"/>
                </w:rPr>
                <w:t>Stock Restriction Agreement, dated August 30, 2021, between Gary D. Glick, Ph.D. and Odyssey Therapeutics, Inc.</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10.8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88">
              <w:r>
                <w:rPr>
                  <w:rStyle w:val="InternetLink"/>
                  <w:rFonts w:ascii="Arial" w:hAnsi="Arial"/>
                  <w:color w:val="0000FF"/>
                  <w:sz w:val="20"/>
                  <w:u w:val="single"/>
                </w:rPr>
                <w:t>Collaboration and License Agreement, dated September 11, 2024, by and between Odyssey Therapeutics, Inc. and Terray Therapeutics, Inc.</w:t>
              </w:r>
            </w:hyperlink>
            <w:hyperlink r:id="rId89">
              <w:r>
                <w:rPr>
                  <w:rStyle w:val="InternetLink"/>
                  <w:rFonts w:ascii="Times New Roman" w:hAnsi="Times New Roman"/>
                  <w:color w:val="0000FF"/>
                  <w:sz w:val="20"/>
                </w:rPr>
                <w:t xml:space="preserve"> </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10.9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90">
              <w:r>
                <w:rPr>
                  <w:rStyle w:val="InternetLink"/>
                  <w:rFonts w:ascii="Arial" w:hAnsi="Arial"/>
                  <w:color w:val="0000FF"/>
                  <w:sz w:val="20"/>
                  <w:u w:val="single"/>
                </w:rPr>
                <w:t>Share Purchase Agreement, dated October 6, 2021, by and among Odyssey Therapeutics, Inc., Rahko Limited, the seller parties thereto and Robert Ian Horobin and Miriam Cha, as sellers’ representatives.</w:t>
              </w:r>
            </w:hyperlink>
            <w:hyperlink r:id="rId91">
              <w:r>
                <w:rPr>
                  <w:rStyle w:val="InternetLink"/>
                  <w:rFonts w:ascii="Times New Roman" w:hAnsi="Times New Roman"/>
                  <w:color w:val="0000FF"/>
                  <w:sz w:val="20"/>
                </w:rPr>
                <w:t xml:space="preserve"> </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10.10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92">
              <w:r>
                <w:rPr>
                  <w:rStyle w:val="InternetLink"/>
                  <w:rFonts w:ascii="Arial" w:hAnsi="Arial"/>
                  <w:color w:val="0000FF"/>
                  <w:sz w:val="20"/>
                  <w:u w:val="single"/>
                </w:rPr>
                <w:t>Share Purchase Agreement, dated October 6, 2021, by and among Odyssey Therapeutics, Inc., Rahko Limited, Balderton Capital General Partner VI S.L.P and Robert Ian Horobin and Miriam Cha, as sellers’ representatives.</w:t>
              </w:r>
            </w:hyperlink>
            <w:hyperlink r:id="rId93">
              <w:r>
                <w:rPr>
                  <w:rStyle w:val="InternetLink"/>
                  <w:rFonts w:ascii="Times New Roman" w:hAnsi="Times New Roman"/>
                  <w:color w:val="0000FF"/>
                  <w:sz w:val="20"/>
                </w:rPr>
                <w:t xml:space="preserve"> </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10.11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r:id="rId94">
              <w:r>
                <w:rPr>
                  <w:rStyle w:val="InternetLink"/>
                  <w:rFonts w:ascii="Arial" w:hAnsi="Arial"/>
                  <w:color w:val="0000FF"/>
                  <w:sz w:val="20"/>
                  <w:u w:val="single"/>
                </w:rPr>
                <w:t>Membership Interest Purchase Agreement, dated May 6, 2022, by and among Odyssey Therapeutics, Inc., IFM Therapeutics, LLC, IFM Management, Inc., IFM Therapeutics GmbH, IFM Quattro, Inc., IFM Cinque, Inc. and IFM Continua, Inc.</w:t>
              </w:r>
            </w:hyperlink>
            <w:hyperlink r:id="rId95">
              <w:r>
                <w:rPr>
                  <w:rStyle w:val="InternetLink"/>
                  <w:rFonts w:ascii="Times New Roman" w:hAnsi="Times New Roman"/>
                  <w:color w:val="0000FF"/>
                  <w:sz w:val="20"/>
                </w:rPr>
                <w:t xml:space="preserve"> </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rFonts w:ascii="Arial" w:hAnsi="Arial"/>
          <w:color w:val="000000"/>
          <w:sz w:val="20"/>
        </w:rPr>
      </w:pPr>
      <w:r>
        <w:rPr>
          <w:rFonts w:ascii="Arial" w:hAnsi="Arial"/>
          <w:color w:val="000000"/>
          <w:sz w:val="20"/>
        </w:rPr>
        <w:t>II-3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6"/>
        <w:gridCol w:w="146"/>
        <w:gridCol w:w="9283"/>
      </w:tblGrid>
      <w:tr>
        <w:trPr/>
        <w:tc>
          <w:tcPr>
            <w:tcW w:w="7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83" w:type="dxa"/>
            <w:tcBorders/>
            <w:shd w:fill="FFFFFF" w:val="clear"/>
            <w:vAlign w:val="center"/>
          </w:tcPr>
          <w:p>
            <w:pPr>
              <w:pStyle w:val="TableContents"/>
              <w:bidi w:val="0"/>
              <w:spacing w:before="0" w:after="283"/>
              <w:jc w:val="left"/>
              <w:rPr>
                <w:sz w:val="4"/>
                <w:szCs w:val="4"/>
              </w:rPr>
            </w:pPr>
            <w:r>
              <w:rPr>
                <w:sz w:val="4"/>
                <w:szCs w:val="4"/>
              </w:rPr>
            </w:r>
          </w:p>
        </w:tc>
      </w:tr>
      <w:tr>
        <w:trPr/>
        <w:tc>
          <w:tcPr>
            <w:tcW w:w="776" w:type="dxa"/>
            <w:tcBorders>
              <w:bottom w:val="single" w:sz="4" w:space="0" w:color="000000"/>
            </w:tcBorders>
            <w:tcMar>
              <w:top w:w="0" w:type="dxa"/>
              <w:left w:w="0" w:type="dxa"/>
              <w:right w:w="0" w:type="dxa"/>
            </w:tcMar>
            <w:vAlign w:val="center"/>
          </w:tcPr>
          <w:p>
            <w:pPr>
              <w:pStyle w:val="TableContents"/>
              <w:bidi w:val="0"/>
              <w:jc w:val="left"/>
              <w:rPr>
                <w:rFonts w:ascii="Arial" w:hAnsi="Arial"/>
                <w:b/>
                <w:color w:val="000000"/>
                <w:sz w:val="16"/>
              </w:rPr>
            </w:pPr>
            <w:r>
              <w:rPr>
                <w:rFonts w:ascii="Arial" w:hAnsi="Arial"/>
                <w:b/>
                <w:color w:val="000000"/>
                <w:sz w:val="16"/>
              </w:rPr>
              <w:t>Exhibit</w:t>
            </w:r>
          </w:p>
          <w:p>
            <w:pPr>
              <w:pStyle w:val="TableContents"/>
              <w:bidi w:val="0"/>
              <w:spacing w:before="0" w:after="283"/>
              <w:jc w:val="left"/>
              <w:rPr>
                <w:rFonts w:ascii="Arial" w:hAnsi="Arial"/>
                <w:b/>
                <w:color w:val="000000"/>
                <w:sz w:val="16"/>
              </w:rPr>
            </w:pPr>
            <w:r>
              <w:rPr>
                <w:rFonts w:ascii="Arial" w:hAnsi="Arial"/>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 Description</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odtx-ex10_12.htm">
              <w:r>
                <w:rPr>
                  <w:rStyle w:val="InternetLink"/>
                  <w:rFonts w:ascii="Arial" w:hAnsi="Arial"/>
                  <w:color w:val="0000FF"/>
                  <w:sz w:val="20"/>
                  <w:u w:val="single"/>
                </w:rPr>
                <w:t>Form of Stock Restriction Agreement, dated December 30, 2025, between Ian F. Smith and Odyssey Therapeutics, Inc.</w:t>
              </w:r>
            </w:hyperlink>
          </w:p>
        </w:tc>
      </w:tr>
      <w:tr>
        <w:trPr/>
        <w:tc>
          <w:tcPr>
            <w:tcW w:w="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21.1*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r:id="rId96">
              <w:r>
                <w:rPr>
                  <w:rStyle w:val="InternetLink"/>
                  <w:rFonts w:ascii="Arial" w:hAnsi="Arial"/>
                  <w:color w:val="0000FF"/>
                  <w:sz w:val="20"/>
                  <w:u w:val="single"/>
                </w:rPr>
                <w:t>Subsidiaries of Odyssey Therapeutics, Inc.</w:t>
              </w:r>
            </w:hyperlink>
          </w:p>
        </w:tc>
      </w:tr>
      <w:tr>
        <w:trPr/>
        <w:tc>
          <w:tcPr>
            <w:tcW w:w="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23.1 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odtx-ex23_1.htm">
              <w:r>
                <w:rPr>
                  <w:rStyle w:val="InternetLink"/>
                  <w:rFonts w:ascii="Arial" w:hAnsi="Arial"/>
                  <w:color w:val="0000FF"/>
                  <w:sz w:val="20"/>
                  <w:u w:val="single"/>
                </w:rPr>
                <w:t>Consent of Deloitte &amp; Touche LLP, Independent Registered Public Accounting Firm.</w:t>
              </w:r>
            </w:hyperlink>
          </w:p>
        </w:tc>
      </w:tr>
      <w:tr>
        <w:trPr/>
        <w:tc>
          <w:tcPr>
            <w:tcW w:w="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odtx-ex5_1.htm">
              <w:r>
                <w:rPr>
                  <w:rStyle w:val="InternetLink"/>
                  <w:rFonts w:ascii="Arial" w:hAnsi="Arial"/>
                  <w:color w:val="0000FF"/>
                  <w:sz w:val="20"/>
                  <w:u w:val="single"/>
                </w:rPr>
                <w:t>Consent of Covington &amp; Burling LLP (included in Exhibit 5.1).</w:t>
              </w:r>
            </w:hyperlink>
          </w:p>
        </w:tc>
      </w:tr>
      <w:tr>
        <w:trPr/>
        <w:tc>
          <w:tcPr>
            <w:tcW w:w="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24.1*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Arial" w:hAnsi="Arial"/>
                <w:color w:val="0000FF"/>
              </w:rPr>
              <w:instrText xml:space="preserve"> HYPERLINK "https://www.sec.gov/Archives/edgar/data/1882782/000119312526161514/odtx-20260417.htm" \l "power_of_attorney"</w:instrText>
            </w:r>
            <w:r>
              <w:rPr>
                <w:rStyle w:val="InternetLink"/>
                <w:sz w:val="20"/>
                <w:u w:val="single"/>
                <w:rFonts w:ascii="Arial" w:hAnsi="Arial"/>
                <w:color w:val="0000FF"/>
              </w:rPr>
              <w:fldChar w:fldCharType="separate"/>
            </w:r>
            <w:r>
              <w:rPr>
                <w:rStyle w:val="InternetLink"/>
                <w:rFonts w:ascii="Arial" w:hAnsi="Arial"/>
                <w:color w:val="0000FF"/>
                <w:sz w:val="20"/>
                <w:u w:val="single"/>
              </w:rPr>
              <w:t>Power of Attorney</w:t>
            </w:r>
            <w:r>
              <w:rPr>
                <w:rStyle w:val="InternetLink"/>
                <w:sz w:val="20"/>
                <w:u w:val="single"/>
                <w:rFonts w:ascii="Arial" w:hAnsi="Arial"/>
                <w:color w:val="0000FF"/>
              </w:rPr>
              <w:fldChar w:fldCharType="end"/>
            </w:r>
            <w:r>
              <w:rPr>
                <w:rFonts w:ascii="Arial" w:hAnsi="Arial"/>
                <w:color w:val="000000"/>
                <w:sz w:val="20"/>
              </w:rPr>
              <w:t>.</w:t>
            </w:r>
          </w:p>
        </w:tc>
      </w:tr>
      <w:tr>
        <w:trPr/>
        <w:tc>
          <w:tcPr>
            <w:tcW w:w="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107 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83" w:type="dxa"/>
            <w:tcBorders/>
            <w:tcMar>
              <w:top w:w="0" w:type="dxa"/>
              <w:left w:w="0" w:type="dxa"/>
              <w:bottom w:w="0" w:type="dxa"/>
              <w:right w:w="0" w:type="dxa"/>
            </w:tcMar>
            <w:vAlign w:val="center"/>
          </w:tcPr>
          <w:p>
            <w:pPr>
              <w:pStyle w:val="TableContents"/>
              <w:bidi w:val="0"/>
              <w:spacing w:before="0" w:after="283"/>
              <w:jc w:val="left"/>
              <w:rPr/>
            </w:pPr>
            <w:hyperlink w:anchor="odtx-exfiling_fees.htm">
              <w:r>
                <w:rPr>
                  <w:rStyle w:val="InternetLink"/>
                  <w:rFonts w:ascii="Arial" w:hAnsi="Arial"/>
                  <w:color w:val="0000FF"/>
                  <w:sz w:val="20"/>
                  <w:u w:val="single"/>
                </w:rPr>
                <w:t>Fee Table.</w:t>
              </w:r>
            </w:hyperlink>
          </w:p>
        </w:tc>
      </w:tr>
    </w:tbl>
    <w:p>
      <w:pPr>
        <w:pStyle w:val="TextBody"/>
        <w:bidi w:val="0"/>
        <w:spacing w:before="0" w:after="283"/>
        <w:jc w:val="left"/>
        <w:rPr/>
      </w:pPr>
      <w:r>
        <w:rPr/>
      </w:r>
    </w:p>
    <w:p>
      <w:pPr>
        <w:pStyle w:val="TextBody"/>
        <w:pBdr/>
        <w:bidi w:val="0"/>
        <w:ind w:left="0" w:right="0" w:hanging="619"/>
        <w:jc w:val="left"/>
        <w:rPr>
          <w:rFonts w:ascii="Times New Roman" w:hAnsi="Times New Roman"/>
          <w:sz w:val="20"/>
        </w:rPr>
      </w:pPr>
      <w:r>
        <w:rPr>
          <w:rFonts w:ascii="Arial" w:hAnsi="Arial"/>
          <w:color w:val="000000"/>
          <w:sz w:val="20"/>
        </w:rPr>
        <w:t>* Previously filed.</w:t>
      </w:r>
      <w:r>
        <w:rPr>
          <w:rFonts w:ascii="Times New Roman" w:hAnsi="Times New Roman"/>
          <w:color w:val="000000"/>
          <w:sz w:val="20"/>
        </w:rPr>
        <w:t xml:space="preserve"> </w:t>
      </w:r>
    </w:p>
    <w:p>
      <w:pPr>
        <w:pStyle w:val="TextBody"/>
        <w:pBdr/>
        <w:bidi w:val="0"/>
        <w:ind w:left="0" w:right="0" w:hanging="619"/>
        <w:jc w:val="left"/>
        <w:rPr>
          <w:rFonts w:ascii="Times New Roman" w:hAnsi="Times New Roman"/>
          <w:sz w:val="20"/>
        </w:rPr>
      </w:pPr>
      <w:r>
        <w:rPr>
          <w:rFonts w:ascii="Arial" w:hAnsi="Arial"/>
          <w:color w:val="000000"/>
          <w:sz w:val="20"/>
        </w:rPr>
        <w:t>+ Indicates management contract or compensatory plan or arrangement.</w:t>
      </w:r>
      <w:r>
        <w:rPr>
          <w:rFonts w:ascii="Times New Roman" w:hAnsi="Times New Roman"/>
          <w:color w:val="000000"/>
          <w:sz w:val="20"/>
        </w:rPr>
        <w:t xml:space="preserve"> </w:t>
      </w:r>
    </w:p>
    <w:p>
      <w:pPr>
        <w:pStyle w:val="TextBody"/>
        <w:pBdr/>
        <w:bidi w:val="0"/>
        <w:ind w:left="0" w:right="0" w:hanging="619"/>
        <w:jc w:val="left"/>
        <w:rPr>
          <w:rFonts w:ascii="Times New Roman" w:hAnsi="Times New Roman"/>
          <w:sz w:val="20"/>
        </w:rPr>
      </w:pPr>
      <w:r>
        <w:rPr>
          <w:rFonts w:ascii="Arial" w:hAnsi="Arial"/>
          <w:color w:val="000000"/>
          <w:sz w:val="20"/>
        </w:rPr>
        <w:t> Portions of this exhibit (indicated by [* * *]) have been omitted because the Registrant has determined that the information is both (i) not material and (ii) of the type that the Registrant treats as private and confidential.</w:t>
      </w:r>
      <w:r>
        <w:rPr>
          <w:rFonts w:ascii="Times New Roman" w:hAnsi="Times New Roman"/>
          <w:color w:val="000000"/>
          <w:sz w:val="20"/>
        </w:rPr>
        <w:t xml:space="preserve"> </w:t>
      </w:r>
    </w:p>
    <w:p>
      <w:pPr>
        <w:pStyle w:val="TextBody"/>
        <w:bidi w:val="0"/>
        <w:spacing w:before="120" w:after="283"/>
        <w:ind w:left="619" w:right="0" w:hanging="0"/>
        <w:jc w:val="left"/>
        <w:rPr>
          <w:rFonts w:ascii="Arial" w:hAnsi="Arial"/>
          <w:i/>
          <w:color w:val="000000"/>
          <w:sz w:val="20"/>
        </w:rPr>
      </w:pPr>
      <w:r>
        <w:rPr>
          <w:rFonts w:ascii="Arial" w:hAnsi="Arial"/>
          <w:i/>
          <w:color w:val="000000"/>
          <w:sz w:val="20"/>
        </w:rPr>
        <w:t>(b)</w:t>
      </w:r>
    </w:p>
    <w:p>
      <w:pPr>
        <w:pStyle w:val="TextBody"/>
        <w:bidi w:val="0"/>
        <w:spacing w:before="120" w:after="283"/>
        <w:jc w:val="left"/>
        <w:rPr/>
      </w:pPr>
      <w:r>
        <w:rPr>
          <w:rFonts w:ascii="Arial" w:hAnsi="Arial"/>
          <w:i/>
          <w:color w:val="000000"/>
          <w:sz w:val="20"/>
        </w:rPr>
        <w:t xml:space="preserve">Financial Statement Schedules. </w:t>
      </w:r>
      <w:r>
        <w:rPr>
          <w:rFonts w:ascii="Arial" w:hAnsi="Arial"/>
          <w:color w:val="000000"/>
          <w:sz w:val="20"/>
        </w:rPr>
        <w:t xml:space="preserve">All financial statement schedules are omitted because the information called for is not required or is shown either in the financial statements or in the notes thereto. </w:t>
      </w:r>
    </w:p>
    <w:p>
      <w:pPr>
        <w:pStyle w:val="TextBody"/>
        <w:bidi w:val="0"/>
        <w:spacing w:before="120" w:after="283"/>
        <w:ind w:left="619" w:right="0" w:hanging="0"/>
        <w:jc w:val="left"/>
        <w:rPr>
          <w:rFonts w:ascii="Arial" w:hAnsi="Arial"/>
          <w:i/>
          <w:color w:val="000000"/>
          <w:sz w:val="20"/>
        </w:rPr>
      </w:pPr>
      <w:r>
        <w:rPr>
          <w:rFonts w:ascii="Arial" w:hAnsi="Arial"/>
          <w:i/>
          <w:color w:val="000000"/>
          <w:sz w:val="20"/>
        </w:rPr>
        <w:t>(c)</w:t>
      </w:r>
    </w:p>
    <w:p>
      <w:pPr>
        <w:pStyle w:val="TextBody"/>
        <w:bidi w:val="0"/>
        <w:spacing w:before="120" w:after="283"/>
        <w:jc w:val="left"/>
        <w:rPr/>
      </w:pPr>
      <w:r>
        <w:rPr>
          <w:rFonts w:ascii="Arial" w:hAnsi="Arial"/>
          <w:i/>
          <w:color w:val="000000"/>
          <w:sz w:val="20"/>
        </w:rPr>
        <w:t xml:space="preserve">Filing Fee Table. </w:t>
      </w:r>
      <w:r>
        <w:rPr>
          <w:rFonts w:ascii="Arial" w:hAnsi="Arial"/>
          <w:color w:val="000000"/>
          <w:sz w:val="20"/>
        </w:rPr>
        <w:t xml:space="preserve">The information required to be furnished by paragraph (c) of this Item is incorporated herein by reference to Exhibit 107. </w:t>
      </w:r>
    </w:p>
    <w:p>
      <w:pPr>
        <w:pStyle w:val="TextBody"/>
        <w:bidi w:val="0"/>
        <w:spacing w:before="240" w:after="283"/>
        <w:jc w:val="left"/>
        <w:rPr>
          <w:rFonts w:ascii="Times New Roman" w:hAnsi="Times New Roman"/>
          <w:sz w:val="20"/>
        </w:rPr>
      </w:pPr>
      <w:r>
        <w:rPr>
          <w:rFonts w:ascii="Arial" w:hAnsi="Arial"/>
          <w:b/>
          <w:color w:val="000000"/>
          <w:sz w:val="20"/>
        </w:rPr>
        <w:t>ITEM 17. UNDERTAKINGS.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The undersigned registrant hereby undertakes that:</w:t>
      </w:r>
      <w:r>
        <w:rPr>
          <w:rFonts w:ascii="Times New Roman" w:hAnsi="Times New Roman"/>
          <w:color w:val="000000"/>
          <w:sz w:val="20"/>
        </w:rPr>
        <w:t xml:space="preser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p>
      <w:pPr>
        <w:pStyle w:val="TextBody"/>
        <w:bidi w:val="0"/>
        <w:spacing w:before="120" w:after="283"/>
        <w:ind w:left="0" w:right="0" w:firstLine="619"/>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283"/>
        <w:jc w:val="center"/>
        <w:rPr>
          <w:rFonts w:ascii="Arial" w:hAnsi="Arial"/>
          <w:color w:val="000000"/>
          <w:sz w:val="20"/>
        </w:rPr>
      </w:pPr>
      <w:r>
        <w:rPr>
          <w:rFonts w:ascii="Arial" w:hAnsi="Arial"/>
          <w:color w:val="000000"/>
          <w:sz w:val="20"/>
        </w:rPr>
        <w:t>II-4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SIGNATURES</w:t>
      </w:r>
      <w:r>
        <w:rPr>
          <w:rFonts w:ascii="Times New Roman" w:hAnsi="Times New Roman"/>
          <w:color w:val="000000"/>
          <w:sz w:val="20"/>
        </w:rPr>
        <w:t xml:space="preserve"> </w:t>
      </w:r>
    </w:p>
    <w:p>
      <w:pPr>
        <w:pStyle w:val="TextBody"/>
        <w:bidi w:val="0"/>
        <w:spacing w:before="120" w:after="283"/>
        <w:ind w:left="0" w:right="0" w:firstLine="619"/>
        <w:jc w:val="left"/>
        <w:rPr>
          <w:rFonts w:ascii="Times New Roman" w:hAnsi="Times New Roman"/>
          <w:sz w:val="20"/>
        </w:rPr>
      </w:pPr>
      <w:r>
        <w:rPr>
          <w:rFonts w:ascii="Arial" w:hAnsi="Arial"/>
          <w:color w:val="000000"/>
          <w:sz w:val="20"/>
        </w:rPr>
        <w:t>Pursuant to the requirements of the Securities Act of 1933, as amended, the registrant has duly caused this amendment to the registration statement on Form S-1 to be signed on its behalf by the undersigned, thereunto duly authorized, in Boston, Massachusetts, on the 4th day of May, 2026.</w:t>
      </w:r>
      <w:r>
        <w:rPr>
          <w:rFonts w:ascii="Times New Roman" w:hAnsi="Times New Roman"/>
          <w:color w:val="000000"/>
          <w:sz w:val="20"/>
        </w:rPr>
        <w:t xml:space="preserve"> </w:t>
      </w:r>
    </w:p>
    <w:p>
      <w:pPr>
        <w:pStyle w:val="TextBody"/>
        <w:bidi w:val="0"/>
        <w:jc w:val="left"/>
        <w:rPr/>
      </w:pPr>
      <w:r>
        <w:rPr/>
        <w:t> </w:t>
      </w:r>
    </w:p>
    <w:tbl>
      <w:tblPr>
        <w:tblW w:w="3857" w:type="dxa"/>
        <w:jc w:val="left"/>
        <w:tblInd w:w="0" w:type="dxa"/>
        <w:tblLayout w:type="fixed"/>
        <w:tblCellMar>
          <w:top w:w="28" w:type="dxa"/>
          <w:left w:w="28" w:type="dxa"/>
          <w:bottom w:w="28" w:type="dxa"/>
          <w:right w:w="28" w:type="dxa"/>
        </w:tblCellMar>
      </w:tblPr>
      <w:tblGrid>
        <w:gridCol w:w="421"/>
        <w:gridCol w:w="3436"/>
      </w:tblGrid>
      <w:tr>
        <w:trPr/>
        <w:tc>
          <w:tcPr>
            <w:tcW w:w="421"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57"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Odyssey Therapeutics,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Gary D. Glick</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Gary D. Glick, Ph.D.</w:t>
            </w:r>
          </w:p>
          <w:p>
            <w:pPr>
              <w:pStyle w:val="TableContents"/>
              <w:bidi w:val="0"/>
              <w:spacing w:before="0" w:after="283"/>
              <w:jc w:val="left"/>
              <w:rPr>
                <w:rFonts w:ascii="Arial" w:hAnsi="Arial"/>
                <w:i/>
                <w:color w:val="000000"/>
                <w:sz w:val="20"/>
              </w:rPr>
            </w:pPr>
            <w:r>
              <w:rPr>
                <w:rFonts w:ascii="Arial" w:hAnsi="Arial"/>
                <w:i/>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ind w:left="0" w:right="0" w:firstLine="619"/>
        <w:jc w:val="left"/>
        <w:rPr>
          <w:rFonts w:ascii="Times New Roman" w:hAnsi="Times New Roman"/>
          <w:sz w:val="20"/>
        </w:rPr>
      </w:pPr>
      <w:r>
        <w:rPr>
          <w:rFonts w:ascii="Arial" w:hAnsi="Arial"/>
          <w:color w:val="000000"/>
          <w:sz w:val="20"/>
        </w:rPr>
        <w:t>Pursuant to the requirements of the Securities Act of 1933, as amended, this registration statement on Form S-1 has been signed by the following persons in the capacities and on the dates indicated.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74"/>
        <w:gridCol w:w="6343"/>
        <w:gridCol w:w="1188"/>
      </w:tblGrid>
      <w:tr>
        <w:trPr/>
        <w:tc>
          <w:tcPr>
            <w:tcW w:w="2674" w:type="dxa"/>
            <w:tcBorders/>
            <w:shd w:fill="FFFFFF" w:val="clear"/>
            <w:vAlign w:val="center"/>
          </w:tcPr>
          <w:p>
            <w:pPr>
              <w:pStyle w:val="TableContents"/>
              <w:bidi w:val="0"/>
              <w:spacing w:before="0" w:after="283"/>
              <w:jc w:val="left"/>
              <w:rPr>
                <w:sz w:val="4"/>
                <w:szCs w:val="4"/>
              </w:rPr>
            </w:pPr>
            <w:r>
              <w:rPr>
                <w:sz w:val="4"/>
                <w:szCs w:val="4"/>
              </w:rPr>
            </w:r>
          </w:p>
        </w:tc>
        <w:tc>
          <w:tcPr>
            <w:tcW w:w="6343" w:type="dxa"/>
            <w:tcBorders/>
            <w:shd w:fill="FFFFFF" w:val="clear"/>
            <w:vAlign w:val="center"/>
          </w:tcPr>
          <w:p>
            <w:pPr>
              <w:pStyle w:val="TableContents"/>
              <w:bidi w:val="0"/>
              <w:spacing w:before="0" w:after="283"/>
              <w:jc w:val="left"/>
              <w:rPr>
                <w:sz w:val="4"/>
                <w:szCs w:val="4"/>
              </w:rPr>
            </w:pPr>
            <w:r>
              <w:rPr>
                <w:sz w:val="4"/>
                <w:szCs w:val="4"/>
              </w:rPr>
            </w:r>
          </w:p>
        </w:tc>
        <w:tc>
          <w:tcPr>
            <w:tcW w:w="1188" w:type="dxa"/>
            <w:tcBorders/>
            <w:shd w:fill="FFFFFF" w:val="clear"/>
            <w:vAlign w:val="center"/>
          </w:tcPr>
          <w:p>
            <w:pPr>
              <w:pStyle w:val="TableContents"/>
              <w:bidi w:val="0"/>
              <w:spacing w:before="0" w:after="283"/>
              <w:jc w:val="left"/>
              <w:rPr>
                <w:sz w:val="4"/>
                <w:szCs w:val="4"/>
              </w:rPr>
            </w:pPr>
            <w:r>
              <w:rPr>
                <w:sz w:val="4"/>
                <w:szCs w:val="4"/>
              </w:rPr>
            </w:r>
          </w:p>
        </w:tc>
      </w:tr>
      <w:tr>
        <w:trPr/>
        <w:tc>
          <w:tcPr>
            <w:tcW w:w="2674"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Signature</w:t>
            </w:r>
          </w:p>
        </w:tc>
        <w:tc>
          <w:tcPr>
            <w:tcW w:w="6343"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w:t>
            </w:r>
          </w:p>
        </w:tc>
        <w:tc>
          <w:tcPr>
            <w:tcW w:w="1188"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Gary D. Glick</w:t>
            </w:r>
          </w:p>
        </w:tc>
        <w:tc>
          <w:tcPr>
            <w:tcW w:w="6343"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President, Chief Executive Officer and Director (Principal Executive Officer)</w:t>
            </w:r>
          </w:p>
        </w:tc>
        <w:tc>
          <w:tcPr>
            <w:tcW w:w="118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May 4, 2026</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Gary D. Glick, Ph.D.</w:t>
            </w:r>
          </w:p>
        </w:tc>
        <w:tc>
          <w:tcPr>
            <w:tcW w:w="634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1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Jason Haas</w:t>
            </w:r>
          </w:p>
        </w:tc>
        <w:tc>
          <w:tcPr>
            <w:tcW w:w="6343"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 (Principal Financial and Accounting Officer)</w:t>
            </w:r>
          </w:p>
        </w:tc>
        <w:tc>
          <w:tcPr>
            <w:tcW w:w="118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May 4, 2026</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Jason Haas</w:t>
            </w:r>
          </w:p>
        </w:tc>
        <w:tc>
          <w:tcPr>
            <w:tcW w:w="634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1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63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Chairman, Director</w:t>
            </w:r>
          </w:p>
        </w:tc>
        <w:tc>
          <w:tcPr>
            <w:tcW w:w="118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May 4, 2026</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Jeffrey M. Leiden, M.D., Ph.D.</w:t>
            </w:r>
          </w:p>
        </w:tc>
        <w:tc>
          <w:tcPr>
            <w:tcW w:w="63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63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18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May 4, 2026</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Shelley Chu, M.D., Ph.D.</w:t>
            </w:r>
          </w:p>
        </w:tc>
        <w:tc>
          <w:tcPr>
            <w:tcW w:w="63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63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18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May 4, 2026</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Jill Carroll</w:t>
            </w:r>
          </w:p>
        </w:tc>
        <w:tc>
          <w:tcPr>
            <w:tcW w:w="63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63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18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May 4, 2026</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Carl L. Gordon, Ph.D., CFA</w:t>
            </w:r>
          </w:p>
        </w:tc>
        <w:tc>
          <w:tcPr>
            <w:tcW w:w="63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63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18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May 4, 2026</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Paulina Hill, Ph.D.</w:t>
            </w:r>
          </w:p>
        </w:tc>
        <w:tc>
          <w:tcPr>
            <w:tcW w:w="63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63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18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May 4, 2026</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Nan Li</w:t>
            </w:r>
          </w:p>
        </w:tc>
        <w:tc>
          <w:tcPr>
            <w:tcW w:w="63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63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18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May 4, 2026</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Carolyn Ng, Ph.D.</w:t>
            </w:r>
          </w:p>
        </w:tc>
        <w:tc>
          <w:tcPr>
            <w:tcW w:w="63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63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18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May 4, 2026</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Ian F. Smith</w:t>
            </w:r>
          </w:p>
        </w:tc>
        <w:tc>
          <w:tcPr>
            <w:tcW w:w="63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63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18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May 4, 2026</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Valerie Odegard, Ph.D.</w:t>
            </w:r>
          </w:p>
        </w:tc>
        <w:tc>
          <w:tcPr>
            <w:tcW w:w="63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63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18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May 4, 2026</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Ksenija Pavletic</w:t>
            </w:r>
          </w:p>
        </w:tc>
        <w:tc>
          <w:tcPr>
            <w:tcW w:w="63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63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18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May 4, 2026</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Nia Tatsis, Ph.D.</w:t>
            </w:r>
          </w:p>
        </w:tc>
        <w:tc>
          <w:tcPr>
            <w:tcW w:w="63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w:t>
            </w:r>
          </w:p>
        </w:tc>
        <w:tc>
          <w:tcPr>
            <w:tcW w:w="634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18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May 4, 2026</w:t>
            </w:r>
          </w:p>
        </w:tc>
      </w:tr>
      <w:tr>
        <w:trPr/>
        <w:tc>
          <w:tcPr>
            <w:tcW w:w="267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Timothy P. Walbert</w:t>
            </w:r>
          </w:p>
        </w:tc>
        <w:tc>
          <w:tcPr>
            <w:tcW w:w="63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2447" w:type="dxa"/>
        <w:jc w:val="left"/>
        <w:tblInd w:w="0" w:type="dxa"/>
        <w:tblLayout w:type="fixed"/>
        <w:tblCellMar>
          <w:top w:w="28" w:type="dxa"/>
          <w:left w:w="28" w:type="dxa"/>
          <w:bottom w:w="28" w:type="dxa"/>
          <w:right w:w="28" w:type="dxa"/>
        </w:tblCellMar>
      </w:tblPr>
      <w:tblGrid>
        <w:gridCol w:w="496"/>
        <w:gridCol w:w="1951"/>
      </w:tblGrid>
      <w:tr>
        <w:trPr/>
        <w:tc>
          <w:tcPr>
            <w:tcW w:w="49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195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 Gary D. Glick</w:t>
            </w:r>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Gary D. Glick, Ph.D.</w:t>
            </w:r>
          </w:p>
        </w:tc>
      </w:tr>
      <w:tr>
        <w:trPr/>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Attorney-in-Fact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odtx-ex1_1.htm"/>
      <w:bookmarkStart w:id="33" w:name="ksodtxex1_1"/>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1.1</w:t>
      </w:r>
    </w:p>
    <w:p>
      <w:pPr>
        <w:pStyle w:val="TextBody"/>
        <w:bidi w:val="0"/>
        <w:spacing w:before="240" w:after="283"/>
        <w:jc w:val="center"/>
        <w:rPr>
          <w:rFonts w:ascii="Times New Roman" w:hAnsi="Times New Roman"/>
          <w:sz w:val="20"/>
        </w:rPr>
      </w:pPr>
      <w:r>
        <w:rPr>
          <w:rFonts w:ascii="Times New Roman" w:hAnsi="Times New Roman"/>
          <w:b/>
          <w:color w:val="000000"/>
          <w:sz w:val="20"/>
        </w:rPr>
        <w:t>Odyssey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Common Stock, par value $0.0001 per share</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240" w:after="283"/>
        <w:jc w:val="center"/>
        <w:rPr>
          <w:rFonts w:ascii="Times New Roman" w:hAnsi="Times New Roman"/>
          <w:sz w:val="20"/>
        </w:rPr>
      </w:pPr>
      <w:r>
        <w:rPr>
          <w:rFonts w:ascii="Times New Roman" w:hAnsi="Times New Roman"/>
          <w:b/>
          <w:i/>
          <w:color w:val="000000"/>
          <w:sz w:val="20"/>
          <w:u w:val="single"/>
        </w:rPr>
        <w:t>Underwriting Agreement</w:t>
      </w:r>
      <w:r>
        <w:rPr>
          <w:rFonts w:ascii="Times New Roman" w:hAnsi="Times New Roman"/>
          <w:color w:val="000000"/>
          <w:sz w:val="20"/>
        </w:rPr>
        <w:t xml:space="preserve"> </w:t>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 xml:space="preserve">[●],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J.P. Morgan Securities LLC</w:t>
      </w:r>
    </w:p>
    <w:p>
      <w:pPr>
        <w:pStyle w:val="TextBody"/>
        <w:bidi w:val="0"/>
        <w:jc w:val="both"/>
        <w:rPr>
          <w:rFonts w:ascii="Times New Roman" w:hAnsi="Times New Roman"/>
          <w:color w:val="000000"/>
          <w:sz w:val="20"/>
        </w:rPr>
      </w:pPr>
      <w:r>
        <w:rPr>
          <w:rFonts w:ascii="Times New Roman" w:hAnsi="Times New Roman"/>
          <w:color w:val="000000"/>
          <w:sz w:val="20"/>
        </w:rPr>
        <w:t>TD Securities (USA) LLC</w:t>
      </w:r>
    </w:p>
    <w:p>
      <w:pPr>
        <w:pStyle w:val="TextBody"/>
        <w:bidi w:val="0"/>
        <w:jc w:val="both"/>
        <w:rPr>
          <w:rFonts w:ascii="Times New Roman" w:hAnsi="Times New Roman"/>
          <w:color w:val="000000"/>
          <w:sz w:val="20"/>
        </w:rPr>
      </w:pPr>
      <w:r>
        <w:rPr>
          <w:rFonts w:ascii="Times New Roman" w:hAnsi="Times New Roman"/>
          <w:color w:val="000000"/>
          <w:sz w:val="20"/>
        </w:rPr>
        <w:t>Cantor Fitzgerald &amp; Co.</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representatives (the “Representatives”) of the several Underwriters </w:t>
      </w:r>
    </w:p>
    <w:p>
      <w:pPr>
        <w:pStyle w:val="TextBody"/>
        <w:bidi w:val="0"/>
        <w:jc w:val="both"/>
        <w:rPr>
          <w:rFonts w:ascii="Times New Roman" w:hAnsi="Times New Roman"/>
          <w:color w:val="000000"/>
          <w:sz w:val="20"/>
        </w:rPr>
      </w:pPr>
      <w:r>
        <w:rPr>
          <w:rFonts w:ascii="Times New Roman" w:hAnsi="Times New Roman"/>
          <w:color w:val="000000"/>
          <w:sz w:val="20"/>
        </w:rPr>
        <w:t xml:space="preserve">named in Schedule I hereto,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 J.P. Morgan Securities LLC </w:t>
      </w:r>
    </w:p>
    <w:p>
      <w:pPr>
        <w:pStyle w:val="TextBody"/>
        <w:bidi w:val="0"/>
        <w:jc w:val="both"/>
        <w:rPr>
          <w:rFonts w:ascii="Times New Roman" w:hAnsi="Times New Roman"/>
          <w:color w:val="000000"/>
          <w:sz w:val="20"/>
        </w:rPr>
      </w:pPr>
      <w:r>
        <w:rPr>
          <w:rFonts w:ascii="Times New Roman" w:hAnsi="Times New Roman"/>
          <w:color w:val="000000"/>
          <w:sz w:val="20"/>
        </w:rPr>
        <w:t>270 Park Avenue</w:t>
      </w:r>
    </w:p>
    <w:p>
      <w:pPr>
        <w:pStyle w:val="TextBody"/>
        <w:bidi w:val="0"/>
        <w:jc w:val="both"/>
        <w:rPr>
          <w:rFonts w:ascii="Times New Roman" w:hAnsi="Times New Roman"/>
          <w:color w:val="000000"/>
          <w:sz w:val="20"/>
        </w:rPr>
      </w:pPr>
      <w:r>
        <w:rPr>
          <w:rFonts w:ascii="Times New Roman" w:hAnsi="Times New Roman"/>
          <w:color w:val="000000"/>
          <w:sz w:val="20"/>
        </w:rPr>
        <w:t xml:space="preserve">New York, New York 10017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 TD Securities (USA) LLC </w:t>
      </w:r>
    </w:p>
    <w:p>
      <w:pPr>
        <w:pStyle w:val="TextBody"/>
        <w:bidi w:val="0"/>
        <w:jc w:val="both"/>
        <w:rPr>
          <w:rFonts w:ascii="Times New Roman" w:hAnsi="Times New Roman"/>
          <w:color w:val="000000"/>
          <w:sz w:val="20"/>
        </w:rPr>
      </w:pPr>
      <w:r>
        <w:rPr>
          <w:rFonts w:ascii="Times New Roman" w:hAnsi="Times New Roman"/>
          <w:color w:val="000000"/>
          <w:sz w:val="20"/>
        </w:rPr>
        <w:t xml:space="preserve">1 Vanderbilt Avenue </w:t>
      </w:r>
    </w:p>
    <w:p>
      <w:pPr>
        <w:pStyle w:val="TextBody"/>
        <w:bidi w:val="0"/>
        <w:jc w:val="both"/>
        <w:rPr>
          <w:rFonts w:ascii="Times New Roman" w:hAnsi="Times New Roman"/>
          <w:color w:val="000000"/>
          <w:sz w:val="20"/>
        </w:rPr>
      </w:pPr>
      <w:r>
        <w:rPr>
          <w:rFonts w:ascii="Times New Roman" w:hAnsi="Times New Roman"/>
          <w:color w:val="000000"/>
          <w:sz w:val="20"/>
        </w:rPr>
        <w:t xml:space="preserve">New York, New York 10017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 Cantor Fitzgerald &amp; Co. </w:t>
      </w:r>
    </w:p>
    <w:p>
      <w:pPr>
        <w:pStyle w:val="TextBody"/>
        <w:bidi w:val="0"/>
        <w:jc w:val="both"/>
        <w:rPr>
          <w:rFonts w:ascii="Times New Roman" w:hAnsi="Times New Roman"/>
          <w:sz w:val="20"/>
        </w:rPr>
      </w:pPr>
      <w:r>
        <w:rPr>
          <w:rFonts w:ascii="Times New Roman" w:hAnsi="Times New Roman"/>
          <w:color w:val="000000"/>
          <w:sz w:val="20"/>
        </w:rPr>
        <w:t>110 East 59</w:t>
      </w:r>
      <w:r>
        <w:rPr>
          <w:rFonts w:ascii="Times New Roman" w:hAnsi="Times New Roman"/>
          <w:color w:val="000000"/>
          <w:sz w:val="13"/>
        </w:rPr>
        <w:t>th</w:t>
      </w:r>
      <w:r>
        <w:rPr>
          <w:rFonts w:ascii="Times New Roman" w:hAnsi="Times New Roman"/>
          <w:color w:val="000000"/>
          <w:sz w:val="20"/>
        </w:rPr>
        <w:t xml:space="preserve"> Street</w:t>
      </w:r>
    </w:p>
    <w:p>
      <w:pPr>
        <w:pStyle w:val="TextBody"/>
        <w:bidi w:val="0"/>
        <w:jc w:val="both"/>
        <w:rPr>
          <w:rFonts w:ascii="Times New Roman" w:hAnsi="Times New Roman"/>
          <w:color w:val="000000"/>
          <w:sz w:val="20"/>
        </w:rPr>
      </w:pPr>
      <w:r>
        <w:rPr>
          <w:rFonts w:ascii="Times New Roman" w:hAnsi="Times New Roman"/>
          <w:color w:val="000000"/>
          <w:sz w:val="20"/>
        </w:rPr>
        <w:t xml:space="preserve">New York, New York 10022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Ladies and Gentlemen: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Odyssey Therapeutics, Inc., a Delaware corporation (the “Company”), proposes, subject to the terms and conditions stated in this agreement (this “Agreement”), to issue and sell to the Underwriters named in Schedule I hereto (the “Underwriters”) an aggregate of [●] shares (the “Firm Shares”) and, at the election of the Underwriters, up to [●] additional shares (the “Optional Shares”) of common stock, par value $0.0001 (“Stock”) of the Company. The Firm Shares and the Optional Shares that the Underwriters elect to purchase pursuant to Section 2 hereof are herein collectively called the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 The Company represents and warrants to, and agrees with, each of the Underwriters that: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A registration statement on Form S-1 (File No. 333-295141) (the “Initial Registration Statement”) in respect of the Shares has been filed 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of the Act has been initiated or, to the Company’s knowledge,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any Testing-the-Waters Communication that is a written communication within the meaning of Rule 405 under the Act is hereinafter called a “Written Testing-the-Waters Communication”; any “issuer free writing prospectus” as defined in Rule 433 under the Act relating to the Shares is hereinafter called an “Issuer Free Writing Prospectus”; and any “bona fide electronic road show” as defined in Rule 433(h)(5) under the Act that has been made available without restriction to any person is hereinafter called a “broadly available road show”);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 (A) No order preventing or suspending the use of any Preliminary Prospectus or any Issuer Free Writing Prospectus has been issued by the Commission, (B) no proceeding for that purpose or pursuant to Section 8A of the Act against the Company or related to the offering of the Shares has been initiated or, to the Company’s knowledge, threatened by the Commission, and (C)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of this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 For the purposes of this Agreement, the “Applicable Time” is [●] p.m., New York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each broadly available road show and each Written Testing-the-Waters Communication does not conflict with the information contained in the Registration Statement, the Pricing Prospectus or the Prospectus, and each Issuer Free Writing Prospectus, each broadly available road show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 No documents were filed by the Company with the Commission since the Commission’s close of business on the business day immediately prior to the date of this Agreement and prior to the execution of this Agreement, except as set forth on Schedule II(b) hereto;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 The Registration Statement, at the time it became effective, conformed, and the Prospectus and any further amendments or supplements to the Registration Statement and the Prospectus, as of the date of the Prospectus or such amendment or supplement,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(with respect to the Prospectus, in the light of the circumstances under which they were made) not misleading; provided, however, that this representation and warranty shall not apply to any statements or omissions made in reliance upon and in conformity with the Underwriter Information;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 Neither the Company nor any of its subsidiaries has, since the date of the latest audited financial statements included in the Pricing Prospectus, (i) sustained any material loss or material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(A) the exercise, vesting, settlement or forfeiture, if any, of any equity awards or the award, if any, of any equity awards in the ordinary course of business pursuant to the Company’s equity plans that are described in the Pricing Prospectus and the Prospectus or (B) the issuance, if any, of stock upon conversion or exercise of the Company’s securities as described in the Pricing Prospectus and the Prospectus, except, in the case of (A) and (B), as disclosed in the Pricing Prospectus) or long-term debt of the Company or any of its subsidiaries, or (y) any Material Adverse Effect (as defined below); as used in this Agreement, “Material Adverse Effect” shall mean any material adverse change or effect, or any development involving a prospective material adverse change or effect, in or affecting (1) the business, properties, general affairs, management, financial position, stockholders’ equity, prospects or results of operations of the Company and its subsidiaries, taken as a whole, or (2) the ability of the Company to perform its obligations under this Agreement, including the issuance and sale of the Shares, or to consummate the transactions contemplated in the Pricing Prospectus and the Prospectus;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 The Company and its subsidiaries have good and marketable title in fee simple to any real property owned by them and good and marketable title to all personal property owned by them, in each case free and clear of all liens, encumbrances and defects except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 Each of the Company and each of its subsidiaries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or other business entity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has been listed in Exhibit 21.1 to the Registration Statement;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The Company has an authorized capitalization as set forth in the Pricing Prospectus and all of the issued shares of capital stock of the Company have been duly and validly authorized and issued, are fully paid and non-assessable and conform, in all material respects, to the description of the Stock contained in the Pricing Disclosure Package and the Prospectus; and all of the issued shares of capital stock or similar equity interests of each subsidiary of the Company have been duly and validly authorized and issued, are fully paid and non-assessable (where applicable) and (except, in the case of any foreign subsidiary, for directors’ qualifying shares) are owned directly or indirectly by the Company, free and clear of all liens, encumbrances, equities or claims; and none of the outstanding capital stock or equity interest in any subsidiary was issued in violation of preemptive or similar rights of any security holder of such subsidiary;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(j) The Shares to be issued and sold by the Company to the Underwriters hereunder have been duly and validly authorized and, when issued and delivered against payment therefor as provided herein, will be duly and validly issued and fully paid and non-assessable and will conform, in all material respects, to the description of the Stock contained in the Pricing Disclosure Package and the Prospectus; and the issuance of the Shares is not subject to any preemptive or similar rights;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(k) The issue and sale of the Shares and the compliance by the Company with this Agreement and the consummation of the transactions contemplated in this Agreement and the Pricing Prospectus will not conflict with or result in a breach or violation of any of the terms or provisions of, or constitute a default under, (A)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and (C), for such conflicts, breaches, violations or defaults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by the Financial Industry Regulatory Authority (“FINRA”) of the underwriting terms and arrangements, the approval for listing the Shares on The Nasdaq Capital Market (the “Exchange”) and such consents, approvals, authorizations, orders, registrations or qualifications as may be required under state securities or Blue Sky laws in connection with the purchase and distribution of the Shares by the Underwriters;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 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 The statements set forth in the Pricing Prospectus and the Prospectus under the captions “Description of Capital Stock” and “Shares Eligible for Future Sale”, insofar as they purport to constitute a summary of the terms of the Stock, and under the captions “Material U.S. Federal Income Tax Consequences to Non-U.S. Holders” and “Underwriting”, insofar as they purport to describe the provisions of the laws and documents referred to therein, are accurate and complete in all material respects and fairly summarize the matters referred to therein;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 Other than as set forth in the Pricing Prospectus, there are no legal, governmental or regulatory investigations, actions, demands, claims, suits, arbitrations, inquiries or proceedings (“Actions”) pending to which the Company or any of its subsidiaries or any of their properties or assets or, to the Company’s knowledge, any officer or director of the Company is a party or of which any property or assets of the Company or any of its subsidiaries or any of their properties or assets or, to the Company’s knowledge, any officer or director of the Company is the subject which, if determined adversely to the Company or any of its subsidiaries or any of their properties or assets (or such officer or director), would, individually or in the aggregate, reasonably be expected to have a Material Adverse Effect; and no such proceedings are, to the Company’s knowledge, threatened or contemplated by governmental authorities or others; there are no current or pending Actions that are required under the Act to be described in the Registration Statement or the Pricing Prospectus that are not so described therein; and there are no statutes, regulations or contracts or other documents that are required under the Act to be filed as exhibits to the Registration Statement or described in the Registration Statement, the Pricing Prospectus that are not so filed as exhibits to the Registration Statement or described in the Registration Statement and the Pricing Prospectus;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 The Company is not and, after giving effect to the offering and sale of the Shares and the application of the proceeds thereof as described in the Pricing Prospectus and the Prospectus, will not be an “investment company”, as such term is defined in the Investment Company Act of 1940, as amended (the “Investment Company Act”);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 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under Rule 405 under the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(q) Deloitte &amp; Touche LLP, who have certified certain financial statements of the Company and its subsidiaries, are independent public accountants as required by the Act and the rules and regulations of the Commission thereunder;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 The Company maintains a system of internal control over financial reporting (as such term is defined in Rule 13a-15(f) under the Securities Exchange Act of 1934, as amended (the “Exchange Act”)) that (i) complies with the requirements of the Exchange Act, as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U.S. generally accepted accounting principles (“GAAP”) and (iii) is designed to provide reasonable assurance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disclosed in the Pricing Prospectus, (i) the Company’s internal control over financial reporting is effective and (ii) there are no material weaknesses in the Company’s internal control over financial reporting. The Company’s auditors and the audit committee of the board of directors of the Company have been advised of: (i) all significant deficiencies and material weaknesses in the design or operation of internal control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 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except as disclosed in the Pricing Prospectus, such disclosure controls and procedures are effective;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 This Agreement has been duly authorized, executed and delivered by the Company;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(v) The Company has full right, power and authority to execute and deliver this Agreement and to perform its obligations hereunder; and all action required to be taken for the due and proper authorization, execution and delivery by the Company of this Agreement and the consummation by the Company of the transactions contemplated hereby has been duly and validly taken;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 (A) None of the Company or any of its subsidiaries, or any director or officer thereof, or to the Company’s knowledge, any affiliate, employee, agent or other person acting on behalf of the Company or any of its subsidiaries or controlled affiliates has (i) made, offered, promised or authorized any unlawful contribution, gift, entertainment or other unlawful expense (or taken any act in furtherance thereof), (ii) taken or will take any action in furtherance of an offer, payment, promise to pay, or authorization or approval of the payment, giving or receipt of money, property, gifts, entertainment, other expense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improperly influence official action, or to any person in violation of any applicable anti-corruption laws; or (iii) violated or is in violation of any provision of the Foreign Corrupt Practices Act of 1977, the Bribery Act 2010 of the United Kingdom or any other applicable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anti-bribery or anti-corruption laws; (B) the Company and its subsidiaries and controlled affiliates have conducted their businesses in compliance with applicable anti-bribery and anti-corruption laws and have instituted and maintain, and will continue to maintain, policies and procedures reasonably designed to promote and achieve compliance with such laws; and (C) neither the Company nor any of its subsidiaries will use, directly or indirectly, the proceeds of the offering of the Shares hereunder in furtherance of any unlawful expense or any direct or indirect unlawful payment or in violation of any applicable anti-bribery or anti-corruption laws;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(x) The operations of the Company and its subsidiaries are and have been conducted at all times in compliance with the requirements of applicable anti-money laundering laws, including, but not limited to, the Bank Secrecy Act of 1970, as amended by the USA PATRIOT ACT of 2001, and the rules and regulations promulgated thereunder, and any similar rules, regulations or guidelines issued, administered or enforced by any governmental agency, of the various jurisdictions in which the Company and its subsidiaries conduct business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(y) (A) None of the Company or any of its subsidiaries, or any director or officer thereof, or to the Company’s knowledge, any employee, agent, affiliate or other person acting on behalf of the Company or any of its subsidiaries is a person or entity that is, or is 50% or more owned or controlled by one or more persons or entities that are,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European Union, His Majesty’s Treasury, the United Nations Security Council, or other relevant sanctions authority (collectively, “Sanctions”), or located, organized, or resident in a country or territory that is the subject or target of country-wide or territory-wide Sanctions (currently, Crimea, Cuba, Iran, North Korea, Syria, the so-called Donetsk People’s Republic and so-called Luhansk People’s Republic and the non-government controlled areas of Zaporizhzhia and Kherson regions of Ukraine (each a “Sanctioned Jurisdiction”)); (B)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in any Sanctioned Jurisdiction or with any person or entity, that, at the time of such funding or facilitation, is the subject or the target of Sanctions or (ii) in any other manner that will result in a violation by any person or entity (including any person or entity participating in the transaction, whether as underwriter, advisor, investor or otherwise) of Sanctions; and (C) the Company and its subsidiaries have not, since the Company’s incorporation on April 13, 2021, knowingly engaged in, are not now knowingly engaged in and will not knowingly engage in any dealings or transactions involving any Sanctioned Jurisdiction or any person or entity, that, at the time of such dealing or transaction, is or was the subject or the target of Sanctions;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(z) The financial statements included in the Registration Statement, the Pricing Prospectus and the Prospectus, together with the related schedules and notes, present fairly, in all material respects, the financial position of the Company and its subsidiaries at the dates indicated and the statement of operations and comprehensive loss, convertible preferred stock and stockholders’ deficit and cash flows of the Company and its subsidiaries for the periods specified; said financial statements have been prepared in conformity with GAAP applied on a consistent basis throughout the periods involved, except in the case of any unaudited financial statements, which are subject to normal year-end adjustments and do not contain certain footnotes as permitted by the applicable rules of the Commission. The supporting schedules, if any, present fairly in all material respects and in accordance with GAAP the information required to be stated therein. The summary financial information included in the Registration Statement, the Pricing Prospectus and the Prospectus present fairly in all material respects the information shown therein and has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with Regulation G of the Exchange Act and Item 10 of Regulation S-K of the Act, to the extent applicable;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(aa) The Company and its subsidiaries (i) are in compliance with any and all applicable foreign, federal, state and local laws and regulations relating to the protection of human health and safety, the environment or hazardous or toxic substances or wastes, pollutants or contaminants (“Environmental Laws”), (ii) have received all permits, licenses or other approvals required of them under applicable Environmental Laws to conduct their respective businesses and (iii) are in compliance with all terms and conditions of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(bb)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reasonably be expected to have a Material Adverse Effect;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(cc) There are no contracts, agreements or understandings between the Company and any person granting such person (i) the right to require the Company to file a registration statement under the Act with respect to any securities of the Company, except as disclosed in the Pricing Prospectus or (ii) that require the Company to include such securities with the Shares registered pursuant to the Registration Statement, except such contracts, agreements or understandings as (A) are disclosed in the Pricing Prospectus and (B) have been validly waived in connection with the issuance and sale of Shares contemplated hereby;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(dd) The Company and its subsidiaries and, to the Company’s knowledge, their respective directors, officers and employees, agents, affiliates and representatives, are, and at all times have been, in material compliance with all applicable Health Care Laws (as defined below). For purposes of this Agreement, “Health Care Laws” shall mean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287 and 1349, and the health care fraud criminal provisions under the Health Insurance Portability and Accountability Act of 1996 (42 U.S.C. §§ 1320d et seq.) (“HIPAA”), the exclusion law (42 U.S.C. § 1320a-7), the civil monetary penalties law (42 U.S.C. § 1320a-7a), HIPAA, as amended by the Health Information Technology for Economic and Clinical Health Act (42 U.S.C. §§ 17921 et seq.), the Federal Food, Drug, and Cosmetic Act (21 U.S.C. §§ 301 et seq.), the Public Health Service Act (42 U.S.C. §§ 201 et seq.), the statutes, regulations and directives of applicable federal healthcare programs, including but not limited to Medicare (Title XVIII of the Social Security Act) and Medicaid (Title XIX of the Social Security Act), any rules and regulations promulgated pursuant to the statutes listed herein, and any other applicable federal, state, or foreign health care laws. The Company is not a party to nor has any ongoing reporting obligations pursuant to any corporate integrity agreement, deferred prosecution agreement, monitoring agreement, consent decree, settlement order, plan of correction or similar agreement imposed by any governmental authority. The Company has not received any Food and Drug Administration (“FDA”) Form 483, written notice of adverse finding, warning letter, untitled letter or other written correspondence or notice from the FDA or any similar regulatory authority, or any written notification of any pending or threatened claim, suit, proceeding, hearing, enforcement, investigation, arbitration or other action, from any court, arbitrator, governmental or regulatory authority or third party, alleging potential or actual non-compliance by, or liability of, the Company under any Health Care Laws;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(ee) Each of the Company and its subsidiaries possesses, and is in compliance with the terms of, all applications, certificates, approvals, clearances, registrations, exemptions, franchises, licenses, permits, consents and other authorizations necessary to own their respective properties and conduct their respective businesses in the manner described in the Registration Statement, the Pricing Prospectus and the Prospectus issued by the appropriate governmental authorities (collectively, “Licenses”), including, without limitation, all Licenses required by the FDA, or any component thereof and/or by any other U.S., state, local or foreign government or drug regulatory agency (collectively, the “Regulatory Agencies”), except where the failure to so possess or be in compliance would not, individually or in the aggregate, reasonably be expected to have a Material Adverse Effect. All Licenses are in full force and effect, except as would not, individually or in the aggregate, reasonably be expected to have a Material Adverse Effect. To the Company’s knowledge, no event has occurred which allows, or after notice or lapse of time would allow, revocation or termination of any License or results in any other impairment of the rights of the holder of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License, except as would not, individually or in the aggregate, reasonably be expected to have a Material Adverse Effect. The Company has not received any written notice of proceedings relating to the revocation or modification of any Licenses and no Regulatory Agency has taken any action to limit, suspend or revoke any License possessed by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(ff) The pre-clinical studies and clinical trials that are described in the Registration Statement, the Pricing Prospectus and the Prospectus were and, if still pending, are being, conducted in all material respects in accordance with the protocols submitted to the FDA or any foreign governmental body exercising comparable authority and all applicable laws and regulations; the descriptions of the pre-clinical studies and clinical trials conducted by or, to the Company’s knowledge, on behalf of the Company, and the results thereof, contained in the Registration Statement, the Pricing Prospectus and the Prospectus do not contain an untrue statement of a material fact or omit to state a material fact necessary to make the statements therein not misleading; to the Company’s knowledge there are no other pre-clinical studies or clinical trials, the results of which reasonably call into question the results described in the Registration Statement, the Pricing Prospectus and the Prospectus; and the Company has not received any written notices or correspondence from the FDA, any foreign, state or local governmental body exercising comparable authority or any Institutional Review Board requiring the termination, suspension, material modification or clinical hold of any pre-clinical studies or clinical trials conducted by or on behalf of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(gg) Neither the Company nor its subsidiaries nor, to the Company’s knowledge, any of its or their respective officers, employees, directors, agents or clinical investigators, has been excluded, suspended or debarred from participation in any U.S. federal health care program or human clinical research or, is subject to a governmental inquiry, investigation, proceeding, or other similar action that would reasonably be expected to result in debarment, suspension, or exclusion, or has been convicted of any crime or engaged in any conduct that would reasonably be expected to result in debarment under 21 U.S.C. § 335a or suspension or exclusion under 42 U.S.C. § 1320a-7;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(hh) The Company and its subsidiaries own or possess valid and enforceable license rights in, all patents, patent applications, inventions, copyrights and registrations and applications thereof, works of authorship, know how (including trade secrets and other unpatented and/or unpatentable proprietary or confidential information, systems or procedures), trademarks, service marks, domain names, trade names, licenses, software, systems and technology necessary for or used in the conduct or the proposed conduct of their respective businesses in the manner described in the Registration Statement, the Pricing Prospectus and the Prospectus (collectively, “Company Intellectual Property”). To the Company’s knowledge, the Company and its subsidiaries, and the conduct of their respective businesses and the proposed conduct of their businesses, does not infringe, misappropriate or otherwise violate any intellectual property rights of others. Neither the Company nor any of its subsidiaries has received any written notice of infringement of or conflict with asserted rights of others with respect to any of the Company Intellectual Property and there is no pending or, to the Company’s knowledge, threatened action, suit, proceeding or claim by others (i) challenging the Company’s or its subsidiaries’ rights in or to any Company Intellectual Property, and the Company and its subsidiaries do not have knowledge of any facts which would form a reasonable basis for any such action, suit, proceeding or claim; (ii) challenging the validity, enforceability or scope of any Company Intellectual Property, and the Company and its subsidiaries do not have knowledge of any facts which would form a reasonable basis for any such action, suit, proceeding or claim; or (iii) asserting that the Company or any of its subsidiaries infringes or otherwise violates, or would, upon the commercialization of any product or service described in the Pricing Prospectus or the Prospectus as under development, infringe or violate, any intellectual property of third parties, and the Company and its subsidiaries have not received any notice of, and do not have knowledge of any facts which would form a reasonable basis for any such action, suit, proceeding or claim. The Company Intellectual Property is enforceable, subsisting and, to the Company’s knowledge, valid. The Company Intellectual Property owned or purported to be owned by the Company is free and clear of all material liens, security interests, or encumbrances, other than non-exclusive licenses granted in the ordinary course of business. To the Company’s knowledge, there are no material defects of form in the preparation or filing of any of the patents or patent applications, trademark applications or trademark registrations, or copyright registrations included in the Company Intellectual Property owned by the Company or its subsidiaries. To the Company’s knowledge, there is no infringement, misappropriation or other violation by third parties of any Company Intellectual Property owned by the Company or its subsidiaries. To the Company’s knowledge, the Company and its subsidiaries have complied in all material respects with the terms of each agreement pursuant to which Company Intellectual Property has been licensed to the Company or any subsidiary, and all such agreements are in full force and effect except as would not, individually or in the aggregate, reasonably be expected to have a Material Adverse Effect. The Company and its subsidiaries have taken reasonable steps to protect,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maintain and safeguard the Company Intellectual Property, including payment of applicable maintenance fees, filing of applicable statements of use, timely responding to office actions, complying with the duties of candor and good faith required by the United States Patent and Trademark Office, and the disclosure of any required information, and the execution of appropriate nondisclosure, confidentiality agreements, invention or intellectual property assignments or assignment agreements with their employees, consultants and contractors, except as would not, individually or in the aggregate, reasonably be expected to have a Material Adverse Effect. To the Company’s knowledge, no employee, consultant or independent contractor of the Company or any of its subsidiaries is in or has during their tenure with the Company been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any of its subsidiaries or actions undertaken while employed or engaged with the Company or any of its subsidiaries, except as would not, individually or in the aggregate, reasonably be expected to have a Material Adverse Effect. No technology employed by the Company or its subsidiaries has been obtained or is being used by the Company or its subsidiaries in violation of any contractual or legal obligation binding on the Company, its subsidiaries, or, to the Company’s knowledge, any of their officers, directors, employees, or contractors, which violation relates to the breach of a confidentiality obligation, an obligation to assign intellectual property to a previous employer, or an obligation otherwise not to use the intellectual property of any third party, except as would not, individually or in the aggregate, reasonably be expected to have a Material Adverse Effect. To the Company’s knowledge, there is no software licensed under an “open source” or similar licensing model that meets the definition of “open source” promulgated by the Open Source Initiative located online at http://opensource.org/osd (e.g., GNU General Public License, GNU Lesser General Public License, and GNU Affero General Public License) that is licensed by the Company or its subsidiaries that is being used by the Company or its subsidiaries: (1) in violation of any license terms applicable to the Company’s or any of its subsidiaries’ use of such open source software; or (2) in a manner that requires any software owned by the Company or any of its subsidiaries to be made available in source code form or be redistributable for no license fee, except as would not, individually or in the aggregate, reasonably be expected to have a Material Adverse Effect;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(ii) No material labor dispute with the employees of the Company or any of its subsidiaries exists or, to the knowledge of the Company, is imminent, and the Company does not have knowledge of any existing, threatened or imminent labor disturbance by the employees of any of its principal suppliers or contractors;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(jj) (A) The Company and each of its subsidiaries are insured by insurers of recognized financial responsibility against such losses and risks and in such amounts as are prudent and customary in the businesses in which they are engaged; (B) neither the Company nor any of its subsidiaries has been refused any insurance coverage sought or applied for; and (C)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taken as a whole, reasonably be expected to have a Material Adverse Effect;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(kk) Except as disclosed in the Pricing Prospectus, the Company has not sold, issued or distributed any shares of its common stock during the six-month period preceding the date of this Agreement, including any sales pursuant to Regulation D or S of the Act, other than shares issued pursuant to employee benefit plans, qualified stock option plans or other employee compensation plans or pursuant to outstanding options, rights or warrants;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(ll) The Company and each of its subsidiaries have timely filed all U.S. federal, state, local and foreign tax returns required to be filed, and have timely paid all taxes required to be paid (whether or not such taxes are shown on a tax return) (except where the failure to timely file or pay would not, individually or in the aggregate, reasonably be expected to have a Material Adverse Effect, or except for any such taxes that are currently being contested in good faith and for which reserves required by GAAP have been established in the audited financial statements included in the Pricing Prospectus), no tax deficiency has been determined adversely to the Company or any of its subsidiaries which has had (nor does the Company nor any of its subsidiaries have any knowledge of, or received any notice of, any tax deficiency that would reasonably be expected to be determined adversely to the Company or its subsidiaries and that would reasonably be expected to have) a Material Adverse Effect; to the Company’s knowledge, no audit or other governmental examination of or with respect to any tax return or taxes of the Company or any of its subsidiaries is presently in progress; neither the Company nor any of its subsidiaries has been notified in writing of any request for an audit or other governmental examination that has not been finally resolved;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(mm) From the time of initial confidential submission of a registration statement relating to the Shares with the Commission through the date of this Agreement, the Company has been and is an “emerging growth company” as defined in Section 2(a)(19) of the Act (an “Emerging Growth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(nn) The Company’s and its subsidiaries’ information technology assets and equipment, computers, systems, networks, hardware, software, websites, applications and databases, and any other information technology systems owned, licensed, leased, or otherwise used by the Company, and any such equipment or technology maintained or provided by any third parties to the Company or its subsidiaries (collectively, “IT Systems”) are (A) adequate for and operate and perform in all material respects as necessary for the operation of the business of the Company and its subsidiaries as currently conducted and as anticipated to be conducted as described in the Registration Statement, the Pricing Disclosure Package, and the Prospectus, and (B) to the Company’s knowledge, free and clear of all material bugs, errors, defects, Trojan horses, time bombs, malware, harmful code or other corruptants. The Company and its subsidiaries have at all times implemented and maintained controls, policies, procedures and safeguards reasonably designed to maintain and protect their respective confidential, proprietary, and sensitive information and the privacy, confidentiality, integrity, availability, continuous operation, redundancy and security of all IT Systems and data (including any and all (1) information that relates to an identified or identifiable individual and is defined as “personal information”, “personally identifiable information”, “personal data”, or similar term under applicable Data Protection Requirements (as defined below), and (2) confidential, sensitive, or proprietary data ((1) and (2) collectively, “Protected Information”)) used in connection with the business of the Company or its subsidiaries. The Company and its subsidiaries have at all times established and maintained reasonable disaster recovery and security plans, procedures and facilities for their business, including, without limitation, for the IT Systems, Protected Information and other data held or used by or for the Company and its subsidiaries. The security programs of the Company and its subsidiaries comply and have at all times complied, in all material respects, with all applicable Data Protection Requirements. There have been no material breaches or material security incidents resulting in the actual or reasonably suspected unlawful or unauthorized destruction of, loss of, alteration of, uses of, or accesses to, any IT Systems or Protected Information (collectively, a “Data Breach”). There are no Data Breaches under internal review or investigations relating to the same. The Company and its subsidiaries have not been notified in writing of, and have no knowledge of, any fact or circumstance that would reasonably be expected to result in any such Data Breach.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(oo) The Company and its subsidiaries have at all times complied, in all material respects, with all of the following, to the extent applicable, as they relate to the protection, collection, use, disclosure, transfer, storage, disposal, confidentiality, integrity, availability, processing, privacy and security of IT Systems and Protected Information: (A) laws, statutes, regulations, directives, self-regulatory guidelines and standards, in all relevant jurisdictions; (B) all judgments, orders, rules and regulations of any court or arbitrator or governmental or regulatory authority; (C) the Company’s policies; and (D) contractual obligations (collectively, “Data Protection Requirements”).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(pp) The Company and its subsidiaries have at all times made all material disclosures to, and obtained all material consents from, individuals as required by Data Protection Requirements for the Company’s and its subsidiaries’ collection, use, disclosure or other processing of Protected Information. None of such disclosures have been materially inaccurate, deceptive, misleading, incomplete, or in violation of Data Protection Requirements.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(qq) The Company and each of its subsidiaries (A) have not received written notice of any actual or potential liability under or relating to, or actual or potential violation of, Data Protection Requirements, (B) have no knowledge of any fact or circumstance that would reasonably indicate the Company or one of its subsidiaries is not in compliance with any of the Data Protection Requirements; (C) are not currently participating, in whole or in part, in any investigation, remediation or other corrective action imposed by any court, arbitrator or governmental or regulatory authority relating to a violation of any of the Data Protection Requirements; and (D) are not a party to any order, decree or agreement by any court, arbitrator or governmental or regulatory authority that imposes any obligation or liability relating to any Data Protection Requirements.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(rr) Nothing has come to the attention of the Company that has caused the Company to believe that the statistical and market-related data included in each of the Registration Statement, the Pricing Prospectus, the Prospectus, each Issuer Free Writing Prospectus and each Written Testing-the-Waters Communication, as supplemented by and taken together with the Pricing Disclosure Package, is not based on or derived from sources that are reliable and accurate in all material respects;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(ss) There is and has been no failure on the part of the Company or any of the Company’s directors or officers, in their capacities as such, to comply with any provision of the Sarbanes-Oxley Act of 2002, as amended and the rules and regulations promulgated in connection therewith, including Section 402 related to loans and Sections 302 and 906 related to certifications, to the extent applicable to the Company or such directors or officers;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(tt) There are no debt securities or preferred stock issued or guaranteed by the Company that are rated by a “nationally recognized statistical rating organization”, as such term is defined under Section 3(a)(62) of the Exchange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(uu) With respect to the stock options (the “Stock Options”) granted pursuant to the stock-based compensation plans of the Company (the “Company Stock Plans”), (i) each Stock Option intended to qualify as an “incentive stock option” under Section 422 of the Internal Revenue Code of 1986, as amended (the “Code”), so qualifies, (ii) each grant of a Stock Option was duly authorized no later than the date on which the grant of such Stock Option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(iii) each Stock Option was granted with an exercise price per share at least equal to the fair market value of the Company common stock on the Grant Date, (iv) each such grant was made in accordance with the terms of the Company Stock Plans, the Exchange Act (to the extent applicable) and all other applicable laws and regulatory rules or requirements, including the rules of the Exchange (to the extent applicable), and (v) each such grant was properly accounted for in accordance with GAAP in the financial statements (including the related notes) of the Company.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results of operations or prospects;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(vv) (i) Each employee benefit plan, within the meaning of Section 3(3) of the Employee Retirement Income 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 (c), (m) or (o) of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reasonably be expected to have a Material Adverse Effect;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(ww) There are no off-balance sheet arrangements (as defined in Regulation S-K Item 303(a)(4)(ii)) that have or are reasonably likely to have a material current or future effect on the Company’s financial condition, changes in financial condition, results of operations, liquidity, capital expenditures or capital resources;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(xx) Neither the Company nor any of its controlled affiliates has taken or will take, directly or indirectly, any action designed to or that could reasonably be expected to cause or result in the stabilization or manipulation of the price of any security of the Company or any of its subsidiaries in connection with the offering of the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(yy) The Company is not a party to any contract, agreement or understanding with any person (other than this Agreement) that would give rise to a valid claim against the Company or any Underwriter for a brokerage commission, finder’s fee or like payment in connection with the offering and sale of the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(zz) No relationship, direct or indirect, exists between or among the Company on the one hand, and the directors, officers, stockholders, customers or suppliers of the Company, on the other, that is required by the Act to be described in the Registration Statement and the Prospectus and that is not so described in such documents and in the Registration Statement, the Pricing Prospectus and the Prospectus;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(aaa) No forward-looking statement (within the meaning of Section 27A of the Act and Section 21E of the Exchange Act) included or incorporated by reference in any of the Registration Statement, the Pricing Prospectus or the Prospectus has been made or reaffirmed without a reasonable basis or has been disclosed other than in good faith.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(bbb)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(“Covered Activity”).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 Subject to the terms and conditions herein set forth, (a) the Company agrees to issue and sell to each of the Underwriters, and each of the Underwriters agrees, severally and not jointly, to purchase from the Company, at a purchase price per share of $[●], the number of Firm Shares set forth opposite the name of such Underwriter in </w:t>
      </w:r>
      <w:r>
        <w:rPr>
          <w:rFonts w:ascii="Times New Roman" w:hAnsi="Times New Roman"/>
          <w:color w:val="000000"/>
          <w:sz w:val="20"/>
          <w:u w:val="single"/>
        </w:rPr>
        <w:t>Schedule I</w:t>
      </w:r>
      <w:r>
        <w:rPr>
          <w:rFonts w:ascii="Times New Roman" w:hAnsi="Times New Roman"/>
          <w:color w:val="000000"/>
          <w:sz w:val="20"/>
        </w:rPr>
        <w:t xml:space="preserve">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w:t>
      </w:r>
      <w:r>
        <w:rPr>
          <w:rFonts w:ascii="Times New Roman" w:hAnsi="Times New Roman"/>
          <w:color w:val="000000"/>
          <w:sz w:val="20"/>
          <w:u w:val="single"/>
        </w:rPr>
        <w:t>Schedule I</w:t>
      </w:r>
      <w:r>
        <w:rPr>
          <w:rFonts w:ascii="Times New Roman" w:hAnsi="Times New Roman"/>
          <w:color w:val="000000"/>
          <w:sz w:val="20"/>
        </w:rPr>
        <w:t xml:space="preserve"> hereto and the denominator of which is the maximum number of Optional Shares that all of the Underwriters are entitled to purchase hereunder.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hereby grants to the Underwriters the right to purchase at their election up to [●]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and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3. Upon the authorization by you of the release of the Shares, the several Underwriters propose to offer the Shares for sale upon the terms and conditions set forth in the Pricing Disclosure Package and the Prospectus.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4. (a)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time, on [●], 2026 or such other time and date as the Representatives and the Company may agree upon in writing, and, with respect to the Optional Shares, 9:30 a.m., New York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 The documents to be delivered at each Time of Delivery by or on behalf of the parties hereto pursuant to Section 8 hereof, including the cross receipt for the Shares and any additional documents requested by the Underwriters pursuant to Section 8(l) hereof, will be delivered at the offices of Cooley LLP, 55 Hudson Yards, New York, New York 10001 (the “Closing Location”), and the Shares will be delivered at the Designated Office, all at such Time of Delivery. A meeting will be held at the Closing Location at [●] p.m., New York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5. The Company agrees with each of the Underwriters: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To prepare the Prospectus in a form approved by you and to file such Prospectus pursuant to Rule 424(b) under the Act prior to the earlier of (i) the First Time of Delivery and (ii)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suspending the effectiveness of the Registration Statement or any part thereof or preventing or suspending the use of any Issuer Free Writing Prospectus, Preliminary Prospectus or other prospectus in respect of the Shares, of the suspension of the qualification of the Shares for offering or sale in any jurisdiction, of the initiation or threatening of any proceeding for any such purpose or pursuant to Section 8A of the Act, or of any request by the Commission for the amending or supplementing of the Registration Statement or the Prospectus or for additional information; and, in the event of the issuance of any stop order suspending the effectiveness of the Registration Statement or any part thereof or of any order preventing or suspending the use of any Issuer Free Writing Prospectus, Preliminary Prospectus or other prospectus relating to the Shares or suspending any such qualification, to promptly use its best efforts to obtain the withdrawal of such order;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 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 Prior to 10:00 a.m., New York time, on the New York Business Day next succeeding the date of this Agreement (or such other time as may be agreed to between the Representatives and the Company) and from time to time, to furnish the Underwriters with written and electronic copies of the Prospectus, Preliminary Prospectus and any supplements and amendments thereto or to the Registration Statement in such quantities as the Representatives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before amending or supplementing the Registration Statement, the Pricing Disclosure Package or the Prospectus, to furnish you a copy of each such proposed amendment or supplement and not file any such proposed amendment or supplement to which you reasonably object, and upon your request to prepare and furnish without charge to each Underwriter and to any dealer in securities (whose name and address the Underwriters shall furnish to the Company)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 To make generally available to its securityholders as soon as practicable (which may be satisfied by filing with the Commission’s Electronic Data Gathering, Analysis and Retrieval System (“EDGAR”)),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 (1) During the period beginning from the date of this Agreement and continuing to and including the date 180 days after the date of the Prospectus (the “Lock-Up Period”), not to (i) offer, sell, contract to sell, pledge, grant any option to purchase, loan, hedge, make any short sale or otherwise transfer or dispose of, directly or indirectly, or file with or confidentially submit to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receive, Stock or any such substantially similar securities, (ii) enter into any hedging,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(other than the Shares to be sold hereunder, Stock to be delivered pursuant to a Company Stock Plan in place as of or prior to the date of this Agreement or upon the conversion or exchange of convertible, exercisable or exchangeable securities outstanding as of the date of this Agreement), or (iii) publicly disclose the intention to do any of the foregoing, in each case, without the prior written consent of the Representatives; provided, however, that the Company may (A) effect the transactions contemplated by this Agreement, (B)(i) issue shares of common stock, options to purchase common stock, restricted stock units or other stock-based awards pursuant to, or common stock upon exercise of options or settlement of restricted stock units or upon the exercise, vesting or settlement of other stock-based awards issued pursuant to, any employee stock option plan, incentive plan, stock plan, dividend reinvestment plan or other equity compensation arrangements in place as of or prior to the date of this Agreement and described in the Pricing Prospectus or (ii) issue common stock upon the conversion of convertible preferred stock outstanding on the date of this Agreement and described in the Pricing Prospectus, (C) issue common stock pursuant to the conversion or exchange of convertible or exchangeable securities or the exercise of warrants or options, provided, in each case, such convertible or exchangeable securities, warrants or options are outstanding on the date hereof and described in the Pricing Prospectus, (D) file a registration statement on Form S-8 or a successor form thereto to register common stock issuable pursuant to the terms of an any employee equity-based compensation plan, incentive plan, stock plan or dividend reinvestment plan adopted and approved by the Company’s board of directors prior to the Applicable Time and as described in the Pricing Prospectus, (E) issue shares of common stock, or any securities convertible into or exchangeable for, or that represent the right to receive, shares of common stock, in connection with any joint venture, commercial or collaborative relationship or the acquisition or license by the Company of the securities, businesses, property or other assets of another person or entity or pursuant to any employment benefit plan assumed by the Company in connection with any such acquisition, provided that in the case of clause (E), the aggregate number of shares that the Company may sell or issue or agree to sell or issue pursuant to clause (E), shall not exceed 7.5% of the total number of shares of common stock issued and outstanding immediately following the completion of the transactions contemplated by this Agreement, and (F) effect the offering and sale of common stock pursuant to the concurrent private placement described in each of the Registration Statement, the Pricing Disclosure Package and the Prospectus (the “Concurrent Private Placement”), and provided further that each recipient of any shares of common stock issued or sold pursuant to clause (B), (C), (E) or (F) above has executed and delivered to the Representatives an agreement having substantially the same terms as set forth in </w:t>
      </w:r>
      <w:r>
        <w:rPr>
          <w:rFonts w:ascii="Times New Roman" w:hAnsi="Times New Roman"/>
          <w:color w:val="000000"/>
          <w:sz w:val="20"/>
          <w:u w:val="single"/>
        </w:rPr>
        <w:t>Annex II</w:t>
      </w:r>
      <w:r>
        <w:rPr>
          <w:rFonts w:ascii="Times New Roman" w:hAnsi="Times New Roman"/>
          <w:color w:val="000000"/>
          <w:sz w:val="20"/>
        </w:rPr>
        <w:t xml:space="preserve"> hereto, in each case prior to, or concurrently with, such issuance or sale (as the case may be);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(2) If the Representatives, in their sole discretion, agree to release or waive the restrictions in lock-up letters delivered pursuant to Section 8(i) hereof, in each case,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w:t>
      </w:r>
      <w:r>
        <w:rPr>
          <w:rFonts w:ascii="Times New Roman" w:hAnsi="Times New Roman"/>
          <w:color w:val="000000"/>
          <w:sz w:val="20"/>
          <w:u w:val="single"/>
        </w:rPr>
        <w:t>Annex I</w:t>
      </w:r>
      <w:r>
        <w:rPr>
          <w:rFonts w:ascii="Times New Roman" w:hAnsi="Times New Roman"/>
          <w:color w:val="000000"/>
          <w:sz w:val="20"/>
        </w:rPr>
        <w:t xml:space="preserve"> hereto through a major news service at least two business days before the effective date of the release or waiver;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(3) (a) With respect to any securityholder who has not entered into an agreement with the Representatives having substantially the same terms as set forth in </w:t>
      </w:r>
      <w:r>
        <w:rPr>
          <w:rFonts w:ascii="Times New Roman" w:hAnsi="Times New Roman"/>
          <w:color w:val="000000"/>
          <w:sz w:val="20"/>
          <w:u w:val="single"/>
        </w:rPr>
        <w:t>Annex II</w:t>
      </w:r>
      <w:r>
        <w:rPr>
          <w:rFonts w:ascii="Times New Roman" w:hAnsi="Times New Roman"/>
          <w:color w:val="000000"/>
          <w:sz w:val="20"/>
        </w:rPr>
        <w:t xml:space="preserve"> hereto, to enforce all existing agreements between the Company and any such securityholder that prohibit the sale, transfer, assignment, pledge or hypothecation of any of the Company’s securities in connection with the Company’s initial public offering until the expiration of the Lock-Up Period; and (b) with respect to (i) all such securityholders described in (a) and (ii) any securityholder who has entered into an agreement with the Representatives having substantially the same terms as set forth in </w:t>
      </w:r>
      <w:r>
        <w:rPr>
          <w:rFonts w:ascii="Times New Roman" w:hAnsi="Times New Roman"/>
          <w:color w:val="000000"/>
          <w:sz w:val="20"/>
          <w:u w:val="single"/>
        </w:rPr>
        <w:t>Annex II</w:t>
      </w:r>
      <w:r>
        <w:rPr>
          <w:rFonts w:ascii="Times New Roman" w:hAnsi="Times New Roman"/>
          <w:color w:val="000000"/>
          <w:sz w:val="20"/>
        </w:rPr>
        <w:t xml:space="preserve"> hereto, to direct the transfer agent to place stop transfer restrictions upon any such securities of the Company that are bound by such existing “lock-up,” “market stand-off,” “holdback” or similar provisions of such agreements for the duration of the Lock-Up Period; and not to release or otherwise grant any waiver of such provisions in such agreements during the Lock-Up Period without the prior written consent of the Representatives, on behalf of the Underwriters;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 During a period of three years from the effective date of the Registration Statement,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that no reports, documents or other information need be furnished pursuant to this Section 5(f) to the extent that they are available on EDGAR;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 During a period of three years from the effective date of the Registration Statement, so long as the Company is subject to the reporting requirements of either Section 13 or Section 15(d) of the Exchange Act,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described in clause (i) to be on a consolidated basis to the extent the accounts of the Company and its subsidiaries are consolidated in reports furnished to its stockholders generally or to the Commission); provided that no reports, documents or other information need be furnished pursuant to this Section 5(g) to the extent that they are available on EDGAR;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 To use the net proceeds received by it from the sale of the Shares pursuant to this Agreement in the manner specified in the Pricing Prospectus under the caption “Use of Proceeds”;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To use its best efforts to list for trading, subject to official notice of issuance, the Shares on the Exchange;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(j) To file with the Commission such information on Form 10-Q or Form 10-K as may be required by Rule 463 under the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(k) If the Company elects to rely upon Rule 462(b) under the Act, the Company shall file a Rule 462(b) Registration Statement with the Commission in compliance with Rule 462(b) under the Act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 Upon reasonable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provided, however, that such electronic version shall be used solely for the purpose described above, is granted without any fee and may not be assigned or transferred;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 To promptly notify you if the Company ceases to be an Emerging Growth Company at any time prior to the later of (i) completion of the distribution of the Shares within the meaning of the Act and (ii) the last Time of Delivery;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 To deliver to each Underwriter (or its agent), on or before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 Neither the Company nor any of its subsidiaries or affiliates will take, directly or indirectly, any action designed to or that could reasonably be expected to cause or result in any stabilization or manipulation of the price of the Shares; and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 To indemnify and hold harmless the Underwriters against any documentary, stamp, registration or similar issuance tax, including any interest and penalties, on the sale, issuance or delivery of the Shares by the Company to the Underwriters and on the execution and delivery of this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6.  (a)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and any such free writing prospectus the use of which has been consented to by the Company and the Representatives is listed in Schedule II(a) hereto;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 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 show;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 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 The Company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 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7. 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documented fees and disbursements of counsel for the Underwriters in connection with such qualification and in connection with the Blue Sky survey; (iv) all fees and expenses in connection with listing the Shares on the Exchange; (v) the filing fees incident to, and the reasonable and documented fees and disbursements of counsel for the Underwriters in connection with, any required review by FINRA of the terms of the sale of the Shares; provided, however, that the reasonable and documented fees and disbursements of counsel for the Underwriters related to clauses (iii) and (v) shall not exceed $35,000, in the aggregate; (vi) the cost of preparing stock certificates; if applicable; (vii) the cost and charges of any transfer agent or registrar;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(ix) all other costs and expenses incident to the performance of its obligations hereunder which are not otherwise specifically provided for in this Section; and (x) any documentary, stamp, registration or other similar taxes on the sale, issuance and delivery of the Shares to the Underwriters and on the execution and delivery of this Agreement. It is understood, however, that, except as provided in this Section, and Sections 9 and 12 hereof, the Underwriters will pay all of their own costs and expenses, including the fees of their counsel, stock transfer taxes on the resale of any of the Shares by them, and any advertising expenses connected with any offers they may make.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8. 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under the Act;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 Cooley LLP, counsel for the Underwriters, shall have furnished to you such written opinion and negative assurance letter, dated such Time of Delivery, in form and substance satisfactory to you, and such counsel shall have received such papers and information as they may reasonably request to enable them to pass upon such matters;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 Covington &amp; Burling LLP, counsel for the Company, shall have furnished to you their written opinion and negative assurance letter, dated such Time of Delivery, in form and substance reasonably satisfactory to you;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 Wilson Sonsini Goodrich &amp; Rosati, P.C., intellectual property counsel for the Company, shall have furnished to you their written opinion and negative assurance letter, dated such Time of Delivery, in form and substance reasonably satisfactory to you;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 On the date of the Prospectus at a time prior to the execution of this Agreement, on the effective date of any post-effective amendment to the Registration Statement filed subsequent to the date of this Agreement and also at each Time of Delivery, Deloitte &amp; Touche LLP shall have furnished to you a letter or letters, dated the respective dates of delivery thereof, in form and substance reasonably satisfactory to you;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 (i)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(A) the exercise, vesting, settlement or forfeiture, if any, of any equity awards or the award, if any, of any equity awards in the ordinary course of business pursuant to the equity plans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that are described in the Pricing Prospectus and the Prospectus or (B) the issuance, if any, of stock upon conversion of the Company’s securities as described in the Pricing Prospectus and the Prospectus) or long-term debt of the Company or any of its subsidiaries or any change or effect, or any development involving a prospective change or effect, in or affecting (x) the business, properties, general affairs, management, financial position, stockholders’ equity or results of operations of the Company and its subsidiaries, taken as a whole,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 On or after the Applicable Time, there shall not have occurred any of the following: (i) a suspension or material limitation in trading in securities generally on the New York Stock Exchange or the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(h) The Shares to be sold at such Time of Delivery shall have been duly listed, subject to official notice of issuance, on the Exchange;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The Company shall have obtained and delivered to the Underwriters executed copies of an agreement from each officer and director and holders of substantially all outstanding equity securities of the Company, substantially in the form set forth in </w:t>
      </w:r>
      <w:r>
        <w:rPr>
          <w:rFonts w:ascii="Times New Roman" w:hAnsi="Times New Roman"/>
          <w:color w:val="000000"/>
          <w:sz w:val="20"/>
          <w:u w:val="single"/>
        </w:rPr>
        <w:t>Annex II</w:t>
      </w:r>
      <w:r>
        <w:rPr>
          <w:rFonts w:ascii="Times New Roman" w:hAnsi="Times New Roman"/>
          <w:color w:val="000000"/>
          <w:sz w:val="20"/>
        </w:rPr>
        <w:t xml:space="preserve"> hereto;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(j) The Company shall have complied with the provisions of Section 5(c) hereof with respect to the furnishing of prospectuses on the New York Business Day next succeeding the date of this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(k) The Company shall have delivered to the Representatives on the date of the Prospectus at a time prior to the execution of this Agreement and at such Time of Delivery a certificate of the Chief Financial Officer of the Company, in form and substance reasonably satisfactory to the Representatives;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 The Company shall have furnished or caused to be furnished to you at such Time of Delivery certificates of two officers of the Company reasonably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8 and as to such other matters as you may reasonably request.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9. (a)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 show” as defined in Rule 433(h) under the Act (a “road 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any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road show or any Testing-the-Waters Communication, in reliance upon and in conformity with the Underwriter Information.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(b) 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 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 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discount figure appearing in the fourth paragraph under the caption “Underwriting”, the information contained in the [●] paragraph, and the information contained in the [●] paragraph under the caption “Underwriting”.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(c) 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(which counsel shall not, except with the consent of the indemnified party, also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(d) 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(e) 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10. (a) If any Underwriter shall default in its obligation to purchase the Shares that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(b) 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of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 If, after giving effect to any arrangements for the purchase of the Shares of a defaulting Underwriter or Underwriters by you and the Company as provided in subsection (a) above, the aggregate number of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such Shares which remains unpurchased exceeds one-eleventh of the aggregate number of all of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11. 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broker-dealer, affiliate or controlling person of any Underwriter, or the Company, or any officer or director or controlling person of the Company, and shall survive delivery of and payment for the Shares.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12. 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or the Underwriters decline to purchase the Shares for any reason permitted under this Agreement,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13. In all dealings hereunder, the Representatives shall act on behalf of each of the Underwriters, and the parties hereto shall be entitled to act and rely upon any statement, request, notice or agreement on behalf of any Underwriter made or given by you jointly or by J.P. Morgan Securities LLC, TD Securities (USA) LLC and Cantor Fitzgerald &amp; Co. on behalf of you as the Representatives. </w:t>
      </w:r>
    </w:p>
    <w:p>
      <w:pPr>
        <w:pStyle w:val="TextBody"/>
        <w:bidi w:val="0"/>
        <w:spacing w:before="240" w:after="283"/>
        <w:jc w:val="both"/>
        <w:rPr>
          <w:rFonts w:ascii="Times New Roman" w:hAnsi="Times New Roman"/>
          <w:sz w:val="20"/>
        </w:rPr>
      </w:pPr>
      <w:r>
        <w:rPr>
          <w:rFonts w:ascii="Times New Roman" w:hAnsi="Times New Roman"/>
          <w:color w:val="000000"/>
          <w:sz w:val="20"/>
        </w:rPr>
        <w:t>All statements, requests, notices and agreements hereunder shall be in writing, and (A) if to the Underwriters shall be delivered or sent by mail, telex or facsimile transmission to the Representatives (i) in care of J.P. Morgan Securities LLC, at 270 Park Avenue, New York, New York 10017 (fax: (212) 648-0503); Attention: Equity Syndicate Desk, (ii) in care of TD Securities (USA) LLC, at 1 Vanderbilt Avenue, New York, New York 10017, Attention: Head of Equity Capital Markets, Fax: 646-562-1249 with a copy to the General Counsel, Fax: 646-562-1130 and (iii) in care of Cantor Fitzgerald &amp; Co., at 110 East 59</w:t>
      </w:r>
      <w:r>
        <w:rPr>
          <w:rFonts w:ascii="Times New Roman" w:hAnsi="Times New Roman"/>
          <w:color w:val="000000"/>
          <w:sz w:val="13"/>
        </w:rPr>
        <w:t>th</w:t>
      </w:r>
      <w:r>
        <w:rPr>
          <w:rFonts w:ascii="Times New Roman" w:hAnsi="Times New Roman"/>
          <w:color w:val="000000"/>
          <w:sz w:val="20"/>
        </w:rPr>
        <w:t xml:space="preserve"> Street, New York, New York 10022, Attention: General Counsel; (B) if to the Company shall be delivered or sent by mail to the address of the Company set forth on the cover of the Registration Statement, Attention: Secretary and Chief Executive Officer with a copy to Covington &amp; Burling LLP, 30 Hudson Yards, New York, NY 10001, Attention: Brian K. Rosenzweig and Alicia Zhang;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provided further, however, that notices under subsection 5(e) shall be in writing, and if to the Underwriters shall be delivered or sent by mail, telex or facsimile transmission to J.P. Morgan Securities LLC, at 270 Park Avenue, New York, New York 10017, Attention: Equity Syndicate Desk. Any such statements, requests, notices or agreements shall take effect upon receipt thereof.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14. This Agreement shall be binding upon, and inure solely to the benefit of, the Underwriters, the Company and, to the extent provided in Sections 9 and 11 hereof, the officers and directors of the Company and each person who controls the Company or any Underwriter, or any director, officer, employee, broker-dealer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15. Time shall be of the essence of this Agreement. As used herein, the term “business day” shall mean any day when the Commission’s office in Washington, D.C. is open for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16. The Company acknowledges and agrees that (i) the purchase and sale of the Shares pursuant to this Agreement is an arm’s-length commercial transaction between the Company, on the one hand, and the several Underwriters, on the other, and does not constitute a recommendation, investment advice or solicitation of any action by the Underwriters,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the Underwriters and their respective affiliates may be engaged in a broad range of transactions that involve interests that differ from those of the Company, (v) the Underwriters have not provided any legal, accounting, regulatory, investment or tax advice with respect to the offering of the Shares and the Company has consulted its own legal, accounting, financial, regulatory and tax advisors to the extent it deemed appropriate, and (vi) none of the activities of the Underwriters in connection with the transactions contemplated herein constitutes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17. This Agreement supersedes all prior agreements and understandings (whether written or oral) between the Company and the Underwriters, or any of them, with respect to the subject matter hereof.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18. </w:t>
      </w:r>
      <w:r>
        <w:rPr>
          <w:rFonts w:ascii="Times New Roman" w:hAnsi="Times New Roman"/>
          <w:b/>
          <w:color w:val="000000"/>
          <w:sz w:val="20"/>
        </w:rPr>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19. The Company and each of the Underwriters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20. 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21. 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22. Recognition of the U.S. Special Resolution Regimes.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and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 As used in this section: </w:t>
      </w:r>
    </w:p>
    <w:p>
      <w:pPr>
        <w:pStyle w:val="TextBody"/>
        <w:bidi w:val="0"/>
        <w:spacing w:before="240" w:after="283"/>
        <w:jc w:val="both"/>
        <w:rPr/>
      </w:pPr>
      <w:r>
        <w:rPr>
          <w:color w:val="000000"/>
        </w:rPr>
        <w:t>“</w:t>
      </w:r>
      <w:r>
        <w:rPr>
          <w:rFonts w:ascii="Times New Roman" w:hAnsi="Times New Roman"/>
          <w:color w:val="000000"/>
          <w:sz w:val="20"/>
        </w:rPr>
        <w:t xml:space="preserve">BHC Act Affiliate” has the meaning assigned to the term “affiliate” in, and shall be interpreted in accordance with, 12 U.S.C. § 1841(k). </w:t>
      </w:r>
    </w:p>
    <w:p>
      <w:pPr>
        <w:pStyle w:val="TextBody"/>
        <w:bidi w:val="0"/>
        <w:spacing w:before="240" w:after="283"/>
        <w:jc w:val="both"/>
        <w:rPr/>
      </w:pPr>
      <w:r>
        <w:rPr>
          <w:color w:val="000000"/>
        </w:rPr>
        <w:t>“</w:t>
      </w:r>
      <w:r>
        <w:rPr>
          <w:rFonts w:ascii="Times New Roman" w:hAnsi="Times New Roman"/>
          <w:color w:val="000000"/>
          <w:sz w:val="20"/>
        </w:rPr>
        <w:t xml:space="preserve">Covered Entity” means any of the following: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a “covered entity” as that term is defined in, and interpreted in accordance with, 12 C.F.R. § 252.82(b);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(ii) a “covered bank” as that term is defined in, and interpreted in accordance with, 12 C.F.R. § 47.3(b); or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(iii) a “covered FSI” as that term is defined in, and interpreted in accordance with, 12 C.F.R. § 382.2(b). </w:t>
      </w:r>
    </w:p>
    <w:p>
      <w:pPr>
        <w:pStyle w:val="TextBody"/>
        <w:bidi w:val="0"/>
        <w:spacing w:before="240" w:after="283"/>
        <w:jc w:val="both"/>
        <w:rPr/>
      </w:pPr>
      <w:r>
        <w:rPr>
          <w:color w:val="000000"/>
        </w:rPr>
        <w:t>“</w:t>
      </w:r>
      <w:r>
        <w:rPr>
          <w:rFonts w:ascii="Times New Roman" w:hAnsi="Times New Roman"/>
          <w:color w:val="000000"/>
          <w:sz w:val="20"/>
        </w:rPr>
        <w:t xml:space="preserve">Default Right” has the meaning assigned to that term in, and shall be interpreted in accordance with, 12 C.F.R. §§ 252.81, 47.2 or 382.1, as applicable. </w:t>
      </w:r>
    </w:p>
    <w:p>
      <w:pPr>
        <w:pStyle w:val="TextBody"/>
        <w:bidi w:val="0"/>
        <w:spacing w:before="240" w:after="283"/>
        <w:jc w:val="both"/>
        <w:rPr/>
      </w:pPr>
      <w:r>
        <w:rPr>
          <w:color w:val="000000"/>
        </w:rPr>
        <w:t>“</w:t>
      </w:r>
      <w:r>
        <w:rPr>
          <w:rFonts w:ascii="Times New Roman" w:hAnsi="Times New Roman"/>
          <w:color w:val="000000"/>
          <w:sz w:val="20"/>
        </w:rPr>
        <w:t xml:space="preserve">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foregoing is in accordance with your understanding, please sign and return to us one for the Company and each of the Representatives plus one for each counsel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430" w:type="dxa"/>
        <w:jc w:val="left"/>
        <w:tblInd w:w="0" w:type="dxa"/>
        <w:tblLayout w:type="fixed"/>
        <w:tblCellMar>
          <w:top w:w="28" w:type="dxa"/>
          <w:left w:w="28" w:type="dxa"/>
          <w:bottom w:w="28" w:type="dxa"/>
          <w:right w:w="28" w:type="dxa"/>
        </w:tblCellMar>
      </w:tblPr>
      <w:tblGrid>
        <w:gridCol w:w="1876"/>
        <w:gridCol w:w="554"/>
      </w:tblGrid>
      <w:tr>
        <w:trPr/>
        <w:tc>
          <w:tcPr>
            <w:tcW w:w="187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4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Very truly yours,</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Odyssey Therapeutics, Inc.</w:t>
            </w:r>
          </w:p>
        </w:tc>
      </w:tr>
      <w:tr>
        <w:trPr/>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5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655" w:type="dxa"/>
        <w:jc w:val="left"/>
        <w:tblInd w:w="0" w:type="dxa"/>
        <w:tblLayout w:type="fixed"/>
        <w:tblCellMar>
          <w:top w:w="28" w:type="dxa"/>
          <w:left w:w="28" w:type="dxa"/>
          <w:bottom w:w="28" w:type="dxa"/>
          <w:right w:w="28" w:type="dxa"/>
        </w:tblCellMar>
      </w:tblPr>
      <w:tblGrid>
        <w:gridCol w:w="2002"/>
        <w:gridCol w:w="653"/>
      </w:tblGrid>
      <w:tr>
        <w:trPr/>
        <w:tc>
          <w:tcPr>
            <w:tcW w:w="200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65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Accepted as of the date hereof:</w:t>
            </w:r>
          </w:p>
        </w:tc>
      </w:tr>
      <w:tr>
        <w:trPr/>
        <w:tc>
          <w:tcPr>
            <w:tcW w:w="2002" w:type="dxa"/>
            <w:tcBorders/>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5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J.P. Morgan Securities LLC</w:t>
            </w:r>
          </w:p>
        </w:tc>
      </w:tr>
      <w:tr>
        <w:trPr/>
        <w:tc>
          <w:tcPr>
            <w:tcW w:w="2002" w:type="dxa"/>
            <w:tcBorders/>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6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65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295" w:type="dxa"/>
        <w:jc w:val="left"/>
        <w:tblInd w:w="0" w:type="dxa"/>
        <w:tblLayout w:type="fixed"/>
        <w:tblCellMar>
          <w:top w:w="28" w:type="dxa"/>
          <w:left w:w="28" w:type="dxa"/>
          <w:bottom w:w="28" w:type="dxa"/>
          <w:right w:w="28" w:type="dxa"/>
        </w:tblCellMar>
      </w:tblPr>
      <w:tblGrid>
        <w:gridCol w:w="1730"/>
        <w:gridCol w:w="565"/>
      </w:tblGrid>
      <w:tr>
        <w:trPr/>
        <w:tc>
          <w:tcPr>
            <w:tcW w:w="173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229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TD Securities (USA) LLC</w:t>
            </w:r>
          </w:p>
        </w:tc>
      </w:tr>
      <w:tr>
        <w:trPr/>
        <w:tc>
          <w:tcPr>
            <w:tcW w:w="1730" w:type="dxa"/>
            <w:tcBorders/>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6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3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2235" w:type="dxa"/>
        <w:jc w:val="left"/>
        <w:tblInd w:w="0" w:type="dxa"/>
        <w:tblLayout w:type="fixed"/>
        <w:tblCellMar>
          <w:top w:w="28" w:type="dxa"/>
          <w:left w:w="28" w:type="dxa"/>
          <w:bottom w:w="28" w:type="dxa"/>
          <w:right w:w="28" w:type="dxa"/>
        </w:tblCellMar>
      </w:tblPr>
      <w:tblGrid>
        <w:gridCol w:w="1684"/>
        <w:gridCol w:w="551"/>
      </w:tblGrid>
      <w:tr>
        <w:trPr/>
        <w:tc>
          <w:tcPr>
            <w:tcW w:w="16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2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Cantor Fitzgerald &amp; Co.</w:t>
            </w:r>
          </w:p>
        </w:tc>
      </w:tr>
      <w:tr>
        <w:trPr/>
        <w:tc>
          <w:tcPr>
            <w:tcW w:w="1684" w:type="dxa"/>
            <w:tcBorders/>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5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behalf of each of the Underwriters </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SCHEDULE I</w:t>
      </w:r>
      <w:r>
        <w:rPr>
          <w:rFonts w:ascii="Times New Roman" w:hAnsi="Times New Roman"/>
          <w:color w:val="000000"/>
          <w:sz w:val="20"/>
        </w:rPr>
        <w:t xml:space="preserve"> </w:t>
      </w:r>
    </w:p>
    <w:p>
      <w:pPr>
        <w:pStyle w:val="TextBody"/>
        <w:bidi w:val="0"/>
        <w:jc w:val="left"/>
        <w:rPr/>
      </w:pPr>
      <w:r>
        <w:rPr/>
        <w:t> </w:t>
      </w:r>
    </w:p>
    <w:tbl>
      <w:tblPr>
        <w:tblW w:w="5667" w:type="dxa"/>
        <w:jc w:val="left"/>
        <w:tblInd w:w="0" w:type="dxa"/>
        <w:tblLayout w:type="fixed"/>
        <w:tblCellMar>
          <w:top w:w="28" w:type="dxa"/>
          <w:left w:w="28" w:type="dxa"/>
          <w:bottom w:w="28" w:type="dxa"/>
          <w:right w:w="28" w:type="dxa"/>
        </w:tblCellMar>
      </w:tblPr>
      <w:tblGrid>
        <w:gridCol w:w="2341"/>
        <w:gridCol w:w="146"/>
        <w:gridCol w:w="991"/>
        <w:gridCol w:w="146"/>
        <w:gridCol w:w="1276"/>
        <w:gridCol w:w="767"/>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Underwriter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Number of</w:t>
              <w:br/>
              <w:t>Firm Shares</w:t>
              <w:br/>
              <w:t>to be</w:t>
              <w:br/>
              <w:t>Purchased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Optional Shares</w:t>
              <w:br/>
              <w:t>to be</w:t>
              <w:br/>
              <w:t>Purchased if</w:t>
              <w:br/>
              <w:t>Maximum</w:t>
              <w:br/>
              <w:t>Option</w:t>
              <w:br/>
              <w:t>Exercised</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J.P. Morgan Securities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TD Securities (USA)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Cantor Fitzgerald &amp; 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Wedbush Securities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Oppenheimer &amp; Co.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ind w:left="0" w:right="0" w:firstLine="576"/>
              <w:jc w:val="left"/>
              <w:rPr/>
            </w:pPr>
            <w:r>
              <w:rPr/>
              <w:t> </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576"/>
              <w:jc w:val="left"/>
              <w:rPr>
                <w:rFonts w:ascii="Times New Roman" w:hAnsi="Times New Roman"/>
                <w:color w:val="000000"/>
                <w:sz w:val="20"/>
              </w:rPr>
            </w:pPr>
            <w:r>
              <w:rPr>
                <w:rFonts w:ascii="Times New Roman" w:hAnsi="Times New Roman"/>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6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SCHEDULE II</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Issuer Free Writing Prospectuses not included in the Pricing Disclosure Package: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 Additional Documents Incorporated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 Information other than the Pricing Prospectus that comprise the Pricing Disclosure Package: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initial public offering price per share for the Shares is $[●] </w:t>
      </w:r>
    </w:p>
    <w:p>
      <w:pPr>
        <w:pStyle w:val="TextBody"/>
        <w:bidi w:val="0"/>
        <w:jc w:val="both"/>
        <w:rPr>
          <w:rFonts w:ascii="Times New Roman" w:hAnsi="Times New Roman"/>
          <w:color w:val="000000"/>
          <w:sz w:val="20"/>
        </w:rPr>
      </w:pPr>
      <w:r>
        <w:rPr>
          <w:rFonts w:ascii="Times New Roman" w:hAnsi="Times New Roman"/>
          <w:color w:val="000000"/>
          <w:sz w:val="20"/>
        </w:rPr>
        <w:t xml:space="preserve">The number of Shares purchased by the Underwriters is [●]. </w:t>
      </w:r>
    </w:p>
    <w:p>
      <w:pPr>
        <w:pStyle w:val="TextBody"/>
        <w:bidi w:val="0"/>
        <w:jc w:val="both"/>
        <w:rPr>
          <w:rFonts w:ascii="Times New Roman" w:hAnsi="Times New Roman"/>
          <w:color w:val="000000"/>
          <w:sz w:val="20"/>
        </w:rPr>
      </w:pPr>
      <w:r>
        <w:rPr>
          <w:rFonts w:ascii="Times New Roman" w:hAnsi="Times New Roman"/>
          <w:color w:val="000000"/>
          <w:sz w:val="20"/>
        </w:rPr>
        <w:t xml:space="preserve">The number of Shares the Underwriters have the option to purchase: [●]. </w:t>
      </w:r>
    </w:p>
    <w:p>
      <w:pPr>
        <w:pStyle w:val="TextBody"/>
        <w:bidi w:val="0"/>
        <w:jc w:val="both"/>
        <w:rPr>
          <w:rFonts w:ascii="Times New Roman" w:hAnsi="Times New Roman"/>
          <w:color w:val="000000"/>
          <w:sz w:val="20"/>
        </w:rPr>
      </w:pPr>
      <w:r>
        <w:rPr>
          <w:rFonts w:ascii="Times New Roman" w:hAnsi="Times New Roman"/>
          <w:color w:val="000000"/>
          <w:sz w:val="20"/>
        </w:rPr>
        <w:t>The number of Shares offered in the concurrent private placement: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 Written Testing-the-Waters Communications: </w:t>
      </w:r>
    </w:p>
    <w:p>
      <w:pPr>
        <w:pStyle w:val="TextBody"/>
        <w:bidi w:val="0"/>
        <w:jc w:val="left"/>
        <w:rPr>
          <w:rFonts w:ascii="Times New Roman" w:hAnsi="Times New Roman"/>
          <w:color w:val="000000"/>
          <w:sz w:val="20"/>
        </w:rPr>
      </w:pP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sz w:val="20"/>
        </w:rPr>
      </w:pPr>
      <w:r>
        <w:rPr>
          <w:rFonts w:ascii="Times New Roman" w:hAnsi="Times New Roman"/>
          <w:b/>
          <w:color w:val="000000"/>
          <w:sz w:val="20"/>
        </w:rPr>
        <w:t>ANNEX 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FORM OF PRESS RELEASE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Odyssey Therapeutics,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0"/>
        </w:rPr>
        <w:t>[Date]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Odyssey Therapeutics, Inc. (the “Company”) announced today that J.P. Morgan Securities LLC, TD Securities (USA) LLC and Cantor Fitzgerald &amp; Co., the lead book-running managers in the Company’s recent public sale of shares of common stock, are [waiving] [releasing] a lock-up restriction with respect to shares of the Company’s common stock held by [certain officers or directors] [an officer or director] of the Company. The [waiver] [release] will take effect on [date], and the shares may be sold on or after such date. </w:t>
      </w:r>
    </w:p>
    <w:p>
      <w:pPr>
        <w:pStyle w:val="TextBody"/>
        <w:bidi w:val="0"/>
        <w:spacing w:before="240" w:after="283"/>
        <w:jc w:val="both"/>
        <w:rPr>
          <w:rFonts w:ascii="Times New Roman" w:hAnsi="Times New Roman"/>
          <w:sz w:val="20"/>
        </w:rPr>
      </w:pPr>
      <w:r>
        <w:rPr>
          <w:rFonts w:ascii="Times New Roman" w:hAnsi="Times New Roman"/>
          <w:b/>
          <w:color w:val="000000"/>
          <w:sz w:val="20"/>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sz w:val="20"/>
        </w:rPr>
      </w:pPr>
      <w:r>
        <w:rPr>
          <w:rFonts w:ascii="Times New Roman" w:hAnsi="Times New Roman"/>
          <w:b/>
          <w:color w:val="000000"/>
          <w:sz w:val="20"/>
        </w:rPr>
        <w:t>ANNEX 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FORM OF LOCK-UP AGREEMENT</w:t>
      </w:r>
      <w:r>
        <w:rPr>
          <w:rFonts w:ascii="Times New Roman" w:hAnsi="Times New Roman"/>
          <w:color w:val="000000"/>
          <w:sz w:val="20"/>
        </w:rPr>
        <w:t xml:space="preserve"> </w:t>
      </w:r>
    </w:p>
    <w:p>
      <w:pPr>
        <w:pStyle w:val="TextBody"/>
        <w:bidi w:val="0"/>
        <w:spacing w:before="240" w:after="283"/>
        <w:jc w:val="center"/>
        <w:rPr/>
      </w:pPr>
      <w:r>
        <w:rPr/>
        <w:t> </w:t>
      </w:r>
    </w:p>
    <w:p>
      <w:pPr>
        <w:pStyle w:val="TextBody"/>
        <w:bidi w:val="0"/>
        <w:spacing w:before="0" w:after="439"/>
        <w:jc w:val="center"/>
        <w:rPr>
          <w:rFonts w:ascii="Times New Roman" w:hAnsi="Times New Roman"/>
          <w:b/>
          <w:color w:val="000000"/>
          <w:sz w:val="20"/>
        </w:rPr>
      </w:pPr>
      <w:r>
        <w:rPr>
          <w:rFonts w:ascii="Times New Roman" w:hAnsi="Times New Roman"/>
          <w:b/>
          <w:color w:val="000000"/>
          <w:sz w:val="20"/>
        </w:rPr>
        <w:t>ODYSSEY THERAPEUTICS, INC.</w:t>
      </w:r>
    </w:p>
    <w:p>
      <w:pPr>
        <w:pStyle w:val="TextBody"/>
        <w:bidi w:val="0"/>
        <w:spacing w:before="0" w:after="439"/>
        <w:jc w:val="center"/>
        <w:rPr>
          <w:rFonts w:ascii="Times New Roman" w:hAnsi="Times New Roman"/>
          <w:b/>
          <w:color w:val="000000"/>
          <w:sz w:val="20"/>
        </w:rPr>
      </w:pPr>
      <w:r>
        <w:rPr>
          <w:rFonts w:ascii="Times New Roman" w:hAnsi="Times New Roman"/>
          <w:b/>
          <w:color w:val="000000"/>
          <w:sz w:val="20"/>
        </w:rPr>
        <w:t>Lock-Up Agreement</w:t>
      </w:r>
    </w:p>
    <w:p>
      <w:pPr>
        <w:pStyle w:val="TextBody"/>
        <w:bidi w:val="0"/>
        <w:spacing w:before="0" w:after="219"/>
        <w:jc w:val="center"/>
        <w:rPr>
          <w:rFonts w:ascii="Times New Roman" w:hAnsi="Times New Roman"/>
          <w:b/>
          <w:color w:val="000000"/>
          <w:sz w:val="20"/>
        </w:rPr>
      </w:pPr>
      <w:r>
        <w:rPr>
          <w:rFonts w:ascii="Times New Roman" w:hAnsi="Times New Roman"/>
          <w:b/>
          <w:color w:val="000000"/>
          <w:sz w:val="20"/>
        </w:rPr>
        <w:t>______________, 2026</w:t>
      </w:r>
    </w:p>
    <w:p>
      <w:pPr>
        <w:pStyle w:val="TextBody"/>
        <w:bidi w:val="0"/>
        <w:jc w:val="both"/>
        <w:rPr>
          <w:rFonts w:ascii="Times New Roman" w:hAnsi="Times New Roman"/>
          <w:color w:val="000000"/>
          <w:sz w:val="20"/>
        </w:rPr>
      </w:pPr>
      <w:r>
        <w:rPr>
          <w:rFonts w:ascii="Times New Roman" w:hAnsi="Times New Roman"/>
          <w:color w:val="000000"/>
          <w:sz w:val="20"/>
        </w:rPr>
        <w:t>J.P. Morgan Securities LLC</w:t>
      </w:r>
    </w:p>
    <w:p>
      <w:pPr>
        <w:pStyle w:val="TextBody"/>
        <w:bidi w:val="0"/>
        <w:jc w:val="both"/>
        <w:rPr>
          <w:rFonts w:ascii="Times New Roman" w:hAnsi="Times New Roman"/>
          <w:color w:val="000000"/>
          <w:sz w:val="20"/>
        </w:rPr>
      </w:pPr>
      <w:r>
        <w:rPr>
          <w:rFonts w:ascii="Times New Roman" w:hAnsi="Times New Roman"/>
          <w:color w:val="000000"/>
          <w:sz w:val="20"/>
        </w:rPr>
        <w:t>TD Securities (USA) LLC</w:t>
      </w:r>
    </w:p>
    <w:p>
      <w:pPr>
        <w:pStyle w:val="TextBody"/>
        <w:bidi w:val="0"/>
        <w:jc w:val="both"/>
        <w:rPr>
          <w:rFonts w:ascii="Times New Roman" w:hAnsi="Times New Roman"/>
          <w:color w:val="000000"/>
          <w:sz w:val="20"/>
        </w:rPr>
      </w:pPr>
      <w:r>
        <w:rPr>
          <w:rFonts w:ascii="Times New Roman" w:hAnsi="Times New Roman"/>
          <w:color w:val="000000"/>
          <w:sz w:val="20"/>
        </w:rPr>
        <w:t>Cantor Fitzgerald &amp; Co.</w:t>
      </w:r>
    </w:p>
    <w:p>
      <w:pPr>
        <w:pStyle w:val="TextBody"/>
        <w:bidi w:val="0"/>
        <w:jc w:val="both"/>
        <w:rPr>
          <w:rFonts w:ascii="Times New Roman" w:hAnsi="Times New Roman"/>
          <w:color w:val="000000"/>
          <w:sz w:val="20"/>
        </w:rPr>
      </w:pPr>
      <w:r>
        <w:rPr>
          <w:rFonts w:ascii="Times New Roman" w:hAnsi="Times New Roman"/>
          <w:color w:val="000000"/>
          <w:sz w:val="20"/>
        </w:rPr>
        <w:t xml:space="preserve">As Representatives of the several Underwriters </w:t>
      </w:r>
    </w:p>
    <w:p>
      <w:pPr>
        <w:pStyle w:val="TextBody"/>
        <w:bidi w:val="0"/>
        <w:jc w:val="both"/>
        <w:rPr>
          <w:rFonts w:ascii="Times New Roman" w:hAnsi="Times New Roman"/>
          <w:color w:val="000000"/>
          <w:sz w:val="20"/>
        </w:rPr>
      </w:pPr>
      <w:r>
        <w:rPr>
          <w:rFonts w:ascii="Times New Roman" w:hAnsi="Times New Roman"/>
          <w:color w:val="000000"/>
          <w:sz w:val="20"/>
        </w:rPr>
        <w:t>named in Schedule I to the Underwriting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 J.P. Morgan Securities LLC </w:t>
      </w:r>
    </w:p>
    <w:p>
      <w:pPr>
        <w:pStyle w:val="TextBody"/>
        <w:bidi w:val="0"/>
        <w:jc w:val="both"/>
        <w:rPr>
          <w:rFonts w:ascii="Times New Roman" w:hAnsi="Times New Roman"/>
          <w:color w:val="000000"/>
          <w:sz w:val="20"/>
        </w:rPr>
      </w:pPr>
      <w:r>
        <w:rPr>
          <w:rFonts w:ascii="Times New Roman" w:hAnsi="Times New Roman"/>
          <w:color w:val="000000"/>
          <w:sz w:val="20"/>
        </w:rPr>
        <w:t>270 Park Avenue</w:t>
      </w:r>
    </w:p>
    <w:p>
      <w:pPr>
        <w:pStyle w:val="TextBody"/>
        <w:bidi w:val="0"/>
        <w:jc w:val="both"/>
        <w:rPr>
          <w:rFonts w:ascii="Times New Roman" w:hAnsi="Times New Roman"/>
          <w:color w:val="000000"/>
          <w:sz w:val="20"/>
        </w:rPr>
      </w:pPr>
      <w:r>
        <w:rPr>
          <w:rFonts w:ascii="Times New Roman" w:hAnsi="Times New Roman"/>
          <w:color w:val="000000"/>
          <w:sz w:val="20"/>
        </w:rPr>
        <w:t xml:space="preserve">New York, New York 10017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 TD Securities (USA) LLC </w:t>
      </w:r>
    </w:p>
    <w:p>
      <w:pPr>
        <w:pStyle w:val="TextBody"/>
        <w:bidi w:val="0"/>
        <w:jc w:val="both"/>
        <w:rPr>
          <w:rFonts w:ascii="Times New Roman" w:hAnsi="Times New Roman"/>
          <w:sz w:val="20"/>
        </w:rPr>
      </w:pPr>
      <w:r>
        <w:rPr>
          <w:rFonts w:ascii="Times New Roman" w:hAnsi="Times New Roman"/>
          <w:color w:val="000000"/>
          <w:sz w:val="20"/>
        </w:rPr>
        <w:t>110 East 59</w:t>
      </w:r>
      <w:r>
        <w:rPr>
          <w:rFonts w:ascii="Times New Roman" w:hAnsi="Times New Roman"/>
          <w:color w:val="000000"/>
          <w:sz w:val="13"/>
        </w:rPr>
        <w:t>th</w:t>
      </w:r>
      <w:r>
        <w:rPr>
          <w:rFonts w:ascii="Times New Roman" w:hAnsi="Times New Roman"/>
          <w:color w:val="000000"/>
          <w:sz w:val="20"/>
        </w:rPr>
        <w:t xml:space="preserve"> Street </w:t>
      </w:r>
    </w:p>
    <w:p>
      <w:pPr>
        <w:pStyle w:val="TextBody"/>
        <w:bidi w:val="0"/>
        <w:jc w:val="both"/>
        <w:rPr>
          <w:rFonts w:ascii="Times New Roman" w:hAnsi="Times New Roman"/>
          <w:color w:val="000000"/>
          <w:sz w:val="20"/>
        </w:rPr>
      </w:pPr>
      <w:r>
        <w:rPr>
          <w:rFonts w:ascii="Times New Roman" w:hAnsi="Times New Roman"/>
          <w:color w:val="000000"/>
          <w:sz w:val="20"/>
        </w:rPr>
        <w:t xml:space="preserve">New York, New York 10017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 Cantor Fitzgerald &amp; Co. </w:t>
      </w:r>
    </w:p>
    <w:p>
      <w:pPr>
        <w:pStyle w:val="TextBody"/>
        <w:bidi w:val="0"/>
        <w:jc w:val="both"/>
        <w:rPr>
          <w:rFonts w:ascii="Times New Roman" w:hAnsi="Times New Roman"/>
          <w:color w:val="000000"/>
          <w:sz w:val="20"/>
        </w:rPr>
      </w:pPr>
      <w:r>
        <w:rPr>
          <w:rFonts w:ascii="Times New Roman" w:hAnsi="Times New Roman"/>
          <w:color w:val="000000"/>
          <w:sz w:val="20"/>
        </w:rPr>
        <w:t>499 Park Avenue</w:t>
      </w:r>
    </w:p>
    <w:p>
      <w:pPr>
        <w:pStyle w:val="TextBody"/>
        <w:bidi w:val="0"/>
        <w:jc w:val="both"/>
        <w:rPr>
          <w:rFonts w:ascii="Times New Roman" w:hAnsi="Times New Roman"/>
          <w:color w:val="000000"/>
          <w:sz w:val="20"/>
        </w:rPr>
      </w:pPr>
      <w:r>
        <w:rPr>
          <w:rFonts w:ascii="Times New Roman" w:hAnsi="Times New Roman"/>
          <w:color w:val="000000"/>
          <w:sz w:val="20"/>
        </w:rPr>
        <w:t xml:space="preserve">New York, New York 10022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Re: </w:t>
      </w:r>
      <w:r>
        <w:rPr>
          <w:rFonts w:ascii="Times New Roman" w:hAnsi="Times New Roman"/>
          <w:color w:val="000000"/>
          <w:sz w:val="20"/>
          <w:u w:val="single"/>
        </w:rPr>
        <w:t>Odyssey Therapeutics, Inc. - Lock-Up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Ladies and Gentlemen: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understands that you, as representatives (the “Representatives”), propose to enter into an underwriting agreement (the “Underwriting Agreement”) on behalf of the several Underwriters named in Schedule I to such agreement (collectively, the “Underwriters”), with Odyssey Therapeutics, Inc., a Delaware corporation (the “Company”), providing for a public offering (the “Public Offering”) of shares (the “Shares”) of common stock, par value $0.0001 per share, of the Company (the “Common Stock”) pursuant to a Registration Statement on Form S-1 (the “Registration Statement”) to be filed with the Securities and Exchange Commission (the “SEC”).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consideration of the agreement by the Underwriters to offer and sell the Shares, and of other good and valuable consideration the receipt and sufficiency of which is hereby acknowledged, the undersigned agrees that, during the period beginning from the date of this agreement (the “Lock-Up Agreement”) and continuing to and including the date that is 180 days after the date of the final prospectus relating to the Public Offering (the “Prospectus”) (such period, the “Lock-Up Period”), the undersigned shall not, and shall not cause or direct any of its affiliates to,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“Lock-Up Securities”),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 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during the Lock-Up Period except as provided for herein.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Notwithstanding the foregoing, the undersigned may: </w:t>
      </w:r>
    </w:p>
    <w:p>
      <w:pPr>
        <w:pStyle w:val="TextBody"/>
        <w:bidi w:val="0"/>
        <w:spacing w:before="240" w:after="220"/>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20"/>
        <w:jc w:val="both"/>
        <w:rPr>
          <w:rFonts w:ascii="Times New Roman" w:hAnsi="Times New Roman"/>
          <w:color w:val="000000"/>
          <w:sz w:val="20"/>
        </w:rPr>
      </w:pPr>
      <w:r>
        <w:rPr>
          <w:rFonts w:ascii="Times New Roman" w:hAnsi="Times New Roman"/>
          <w:color w:val="000000"/>
          <w:sz w:val="20"/>
        </w:rPr>
        <w:t xml:space="preserve">transfer the undersigned’s Lock-Up Securities </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20" w:after="283"/>
        <w:jc w:val="both"/>
        <w:rPr/>
      </w:pPr>
      <w:r>
        <w:rPr>
          <w:rFonts w:ascii="Times New Roman" w:hAnsi="Times New Roman"/>
          <w:color w:val="000000"/>
          <w:sz w:val="20"/>
        </w:rPr>
        <w:t xml:space="preserve">as one or more </w:t>
      </w:r>
      <w:r>
        <w:rPr>
          <w:rFonts w:ascii="Times New Roman" w:hAnsi="Times New Roman"/>
          <w:i/>
          <w:color w:val="000000"/>
          <w:sz w:val="20"/>
        </w:rPr>
        <w:t>bona fide</w:t>
      </w:r>
      <w:r>
        <w:rPr>
          <w:color w:val="000000"/>
        </w:rPr>
        <w:t xml:space="preserve"> </w:t>
      </w:r>
      <w:r>
        <w:rPr>
          <w:rFonts w:ascii="Times New Roman" w:hAnsi="Times New Roman"/>
          <w:color w:val="000000"/>
          <w:sz w:val="20"/>
        </w:rPr>
        <w:t xml:space="preserve">gifts or charitable contributions, or for </w:t>
      </w:r>
      <w:r>
        <w:rPr>
          <w:rFonts w:ascii="Times New Roman" w:hAnsi="Times New Roman"/>
          <w:i/>
          <w:color w:val="000000"/>
          <w:sz w:val="20"/>
        </w:rPr>
        <w:t>bona fide</w:t>
      </w:r>
      <w:r>
        <w:rPr>
          <w:color w:val="000000"/>
        </w:rPr>
        <w:t xml:space="preserve"> </w:t>
      </w:r>
      <w:r>
        <w:rPr>
          <w:rFonts w:ascii="Times New Roman" w:hAnsi="Times New Roman"/>
          <w:color w:val="000000"/>
          <w:sz w:val="20"/>
        </w:rPr>
        <w:t>estate planning purposes;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death by will, testamentary document or intestate succession;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iv.</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a corporation, partnership, limited liability company or other entity of which the undersigned and the immediate family of the undersigned are the legal and beneficial owner of all of the outstanding equity securities or similar interests;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a nominee or custodian of a person or entity to whom a disposition or transfer would be permissible under clauses (a)(i) through (iv)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undersigned is a corporation, partnership, limited liability company, trust or other business entity, (A) to another corporation, partnership, limited liability company, trust or other business entity that is an affiliate (as defined in Rule 405 under the Securities Act of 1933, as amended) of the undersigned, (B) to any investment fund or other entity which fund or entity directly or indirectly is controlling, controlled by, managing or managed by or under common control with the undersigned or affiliates of the undersigned, or (C) as part of a distribution or transfer by the undersigned to its stockholders, partners, members or other equityholders or to the estate of any such stockholders, partners, members or other equityholders;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vii.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operation of law, such as pursuant to a qualified domestic order, divorce settlement, divorce decree or separation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viii.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the Company from a current or former employee or other service provider of the Company upon death, disability or termination of services, in each case, of such employee or other service provider;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ix.</w:t>
      </w:r>
    </w:p>
    <w:p>
      <w:pPr>
        <w:pStyle w:val="TextBody"/>
        <w:bidi w:val="0"/>
        <w:spacing w:before="240" w:after="283"/>
        <w:jc w:val="both"/>
        <w:rPr/>
      </w:pPr>
      <w:r>
        <w:rPr>
          <w:rFonts w:ascii="Times New Roman" w:hAnsi="Times New Roman"/>
          <w:color w:val="000000"/>
          <w:sz w:val="20"/>
        </w:rPr>
        <w:t>if the undersigned is not an officer or director of the Company, in connection with a sale,</w:t>
      </w:r>
      <w:r>
        <w:rPr>
          <w:color w:val="FF0000"/>
        </w:rPr>
        <w:t xml:space="preserve"> </w:t>
      </w:r>
      <w:r>
        <w:rPr>
          <w:rFonts w:ascii="Times New Roman" w:hAnsi="Times New Roman"/>
          <w:color w:val="000000"/>
          <w:sz w:val="20"/>
        </w:rPr>
        <w:t>transfer, or disposal of, or entry into other transactions (including, without limitation, any swap, hedge, or similar agreement or arrangement) relating to, the undersigned’s shares of Common Stock acquired (A) from the Underwriters in the Public Offering or (B) in open market transactions on or after the closing date of the Public Offering;</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x.</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 the Company in connection with the vesting, settlement or exercise of restricted stock units, options, warrants or other rights to purchase or receive shares of Common Stock (including, in each case, by way of “net” or “cashless” exercise), including any transfer to the Company for the payment of the exercise price,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 other equity award plan, or pursuant to the terms of convertible securities, each as described in the preliminary prospectus relating to the Shares included in the Registration Statement immediately prior to the time the Underwriting Agreement is executed and the Prospectus, provided that any securities received upon such vesting, settlement, exercise or conversion shall be subject to the terms of this Lock-Up Agreement; or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xi.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the prior written consent of the Representatives on behalf of the Underwriters;</w:t>
      </w:r>
    </w:p>
    <w:p>
      <w:pPr>
        <w:pStyle w:val="TextBody"/>
        <w:bidi w:val="0"/>
        <w:spacing w:before="240" w:after="220"/>
        <w:jc w:val="both"/>
        <w:rPr>
          <w:rFonts w:ascii="Times New Roman" w:hAnsi="Times New Roman"/>
          <w:color w:val="000000"/>
          <w:sz w:val="20"/>
        </w:rPr>
      </w:pPr>
      <w:r>
        <w:rPr>
          <w:rFonts w:ascii="Times New Roman" w:hAnsi="Times New Roman"/>
          <w:color w:val="000000"/>
          <w:sz w:val="20"/>
        </w:rPr>
        <w:t>provided that (A) in the case of clauses (a)(i), (ii), (iii), (iv), (v) and (vi)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w:t>
        <w:noBreakHyphen/>
        <w:t>up agreement in the form of this Lock-Up Agreement, (C) in the case of clauses (a)(iii), (iv), (v) and (vi) above, no filing by any party (including, without limitation, any donor, donee, devisee, transferor, transferee, distributor or distributee) under the Securities Exchange Act of 1934, as amended (the “Exchange Act”), or other public filing, report or announcement reporting a reduction in beneficial ownership of Lock-Up Securities shall be required or shall be voluntarily made in connection with such transfer or distribution, and (D) in the case of clauses (a)(i), (ii), (vii),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 (1) the circumstances of such transfer or distribution and (2) in the case of a transfer or distribution pursuant to clauses (a)(i), (a)(ii) or (a)(vii) above, that the donee, devisee, transferee or distributee has agreed to be bound by a lock-up agreement in the form of this Lock-Up Agreement;</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 xml:space="preserve">enter into a written plan meeting the requirements of Rule 10b5-1 under the Exchange Act relating to the transfer, sale or other disposition of the undersigned’s Lock-Up Securities, if then permitted by the Company, provided that none of the Lock-Up Securities subject to such plan may be transferred, sold or otherwise disposed of until after the expiration of the Lock-Up Period (except as would otherwise be permitted herein) and no public announcement, report or filing under the Exchange Act, or any other public filing, report or announcement, shall be voluntarily made regarding the establishment of such plan during the Lock-Up Period, and if any such filing, report or announcement shall be legally required during the Lock-Up Period, such filing, report or announcement shall clearly indicate in the footnotes or text thereto that that none of the securities subject to such plan may be transferred, sold or otherwise disposed of pursuant to such plan until after the expiration of the Lock-Up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transfer the undersigned’s Lock-Up Securities pursuant to a bona fide third-party tender offer, merger, consolidation or other similar transaction that is approved by the Board of Directors of the Company (or a duly authorized committee thereof)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and (ii) enter into any lock-up, voting or similar agreement pursuant to which the undersigned may agree to transfer, sell, tender or otherwise dispose of Lock-Up Securities in connection with a transaction described in clause (i) above; provided that in the event that such tender offer, merger, consolidation or other similar transaction is not completed, the undersigned’s Lock-Up Securities shall remain subject to the provisions of this Lock-Up Agreement; and</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convert outstanding shares of preferred stock and non-voting common stock of the Company into shares of Common Stock and exchange warrants to acquire preferred stock for warrants to acquire Common Stock, provided that any such shares received upon such conversion and exchange shall remain subject to the provisions of this Lock-Up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undersigned is an officer or director of the Company, the undersigned further agrees that the foregoing provisions shall be equally applicable to any issuer-directed or other Shares the undersigned may purchase in the Public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undersigned is an officer or director of the Company, (i) the Representatives agree that, at least three business days before the effective date of any release or waiver of the foregoing restrictions in connection with a transfer of Lock-up Securities, the Representatives will notify the Company of the impending release or waiver, and (ii) the Company has agreed, or will agree, in the Underwriting Agreement to announce the impending release or waiver by press release through a major news service (or such other method approved by the Representatives that satisfies the requirements of FINRA Rule 5131(d)(2)) at least two business days before the effective date of the release or waiver. Any release or waiver granted by the Representatives hereunder to any such officer or director shall only be effective two business days after the publication date of such announcement. The provisions of this paragraph will not apply if (i) the release or waiver is effected solely to permit a transfer not for consideration or that is to an immediate family member as defined in FINRA Rule 5130(i)(5) and (ii) the transferee has agreed in writing to be bound by the same terms described in this Lock-Up Agreement to the extent and for the duration that such terms remain in effect at the time of the transfer.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now has, and, except as contemplated by clauses (a) and (c) of the third paragraph of this Lock-Up Agreement, for the duration of the Lock-Up Period will have, good and marketable title to the undersigned’s Lock-Up Securities, free and clear of all liens, encumbrances and claims whatsoever. The undersigned also agrees and consents to the entry of stop transfer instructions with the Company’s transfer agent and registrar against the transfer of the undersigned’s Lock-Up Securities except in compliance with the foregoing restrictions.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Lock-Up Agreement shall automatically terminate and the undersigned shall be released from all of his, her or its obligations hereunder upon the earlier of (i) the date on which the Registration Statement filed with the SEC with respect to the Public Offering is withdrawn, (ii) 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 (iii) the date on which the Company notifies the Representatives, in writing and prior to the execution of the Underwriting Agreement, that it does not intend to proceed with the Public Offering and (iv) September 30, 2026, in the event that the Underwriting Agreement has not been executed by such date (provided, however, that the Company may, by written notice to the undersigned prior to such date, extend such date by a period of up to an additional 90 days).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jc w:val="both"/>
        <w:rPr/>
      </w:pPr>
      <w:r>
        <w:rPr/>
        <w:t> </w:t>
      </w:r>
    </w:p>
    <w:p>
      <w:pPr>
        <w:pStyle w:val="TextBody"/>
        <w:bidi w:val="0"/>
        <w:spacing w:before="0" w:after="219"/>
        <w:jc w:val="center"/>
        <w:rPr>
          <w:rFonts w:ascii="Times New Roman" w:hAnsi="Times New Roman"/>
          <w:i/>
          <w:color w:val="000000"/>
          <w:sz w:val="20"/>
        </w:rPr>
      </w:pPr>
      <w:r>
        <w:rPr>
          <w:rFonts w:ascii="Times New Roman" w:hAnsi="Times New Roman"/>
          <w:i/>
          <w:color w:val="000000"/>
          <w:sz w:val="20"/>
        </w:rPr>
        <w:t>[Signature Page Follows]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Very truly yours,</w:t>
      </w:r>
    </w:p>
    <w:p>
      <w:pPr>
        <w:pStyle w:val="TextBody"/>
        <w:bidi w:val="0"/>
        <w:jc w:val="both"/>
        <w:rPr/>
      </w:pPr>
      <w:r>
        <w:rPr/>
        <w:t> </w:t>
      </w:r>
    </w:p>
    <w:tbl>
      <w:tblPr>
        <w:tblW w:w="6844" w:type="dxa"/>
        <w:jc w:val="left"/>
        <w:tblInd w:w="0" w:type="dxa"/>
        <w:tblLayout w:type="fixed"/>
        <w:tblCellMar>
          <w:top w:w="28" w:type="dxa"/>
          <w:left w:w="28" w:type="dxa"/>
          <w:bottom w:w="28" w:type="dxa"/>
          <w:right w:w="28" w:type="dxa"/>
        </w:tblCellMar>
      </w:tblPr>
      <w:tblGrid>
        <w:gridCol w:w="646"/>
        <w:gridCol w:w="2341"/>
        <w:gridCol w:w="631"/>
        <w:gridCol w:w="3226"/>
      </w:tblGrid>
      <w:tr>
        <w:trPr/>
        <w:tc>
          <w:tcPr>
            <w:tcW w:w="6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98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IF AN INDIVIDUAL:</w:t>
            </w:r>
          </w:p>
        </w:tc>
        <w:tc>
          <w:tcPr>
            <w:tcW w:w="38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IF AN ENTITY:</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(duly authorized signature)</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(please print complete name of entity)</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(please print full name)</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(duly authorized signature)</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(please print full name)</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(please print full title)</w:t>
            </w:r>
          </w:p>
        </w:tc>
      </w:tr>
    </w:tbl>
    <w:p>
      <w:pPr>
        <w:pStyle w:val="TextBody"/>
        <w:bidi w:val="0"/>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35</w:t>
      </w:r>
    </w:p>
    <w:p>
      <w:pPr>
        <w:pStyle w:val="HorizontalLine"/>
        <w:pBdr>
          <w:bottom w:val="double" w:sz="2" w:space="0" w:color="808080"/>
        </w:pBdr>
        <w:bidi w:val="0"/>
        <w:spacing w:before="0" w:after="283"/>
        <w:jc w:val="left"/>
        <w:rPr/>
      </w:pPr>
      <w:r>
        <w:rPr/>
      </w:r>
    </w:p>
    <w:p>
      <w:pPr>
        <w:pStyle w:val="TextBody"/>
        <w:bidi w:val="0"/>
        <w:jc w:val="right"/>
        <w:rPr/>
      </w:pPr>
      <w:bookmarkStart w:id="34" w:name="odtx-ex3_1.htm"/>
      <w:bookmarkStart w:id="35" w:name="ksodtxex3_1"/>
      <w:bookmarkEnd w:id="34"/>
      <w:bookmarkEnd w:id="35"/>
      <w:r>
        <w:rPr/>
        <w:t> </w:t>
      </w:r>
      <w:r>
        <w:br w:type="page"/>
      </w:r>
    </w:p>
    <w:p>
      <w:pPr>
        <w:pStyle w:val="TextBody"/>
        <w:bidi w:val="0"/>
        <w:jc w:val="righ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3.1</w:t>
      </w:r>
    </w:p>
    <w:p>
      <w:pPr>
        <w:pStyle w:val="TextBody"/>
        <w:bidi w:val="0"/>
        <w:spacing w:before="480" w:after="283"/>
        <w:jc w:val="center"/>
        <w:rPr>
          <w:rFonts w:ascii="Times New Roman" w:hAnsi="Times New Roman"/>
          <w:color w:val="000000"/>
          <w:sz w:val="24"/>
        </w:rPr>
      </w:pPr>
      <w:r>
        <w:rPr>
          <w:rFonts w:ascii="Times New Roman" w:hAnsi="Times New Roman"/>
          <w:color w:val="000000"/>
          <w:sz w:val="24"/>
        </w:rPr>
        <w:t>EIGHTH AMENDED AND RESTATED</w:t>
      </w:r>
    </w:p>
    <w:p>
      <w:pPr>
        <w:pStyle w:val="TextBody"/>
        <w:bidi w:val="0"/>
        <w:jc w:val="center"/>
        <w:rPr>
          <w:rFonts w:ascii="Times New Roman" w:hAnsi="Times New Roman"/>
          <w:color w:val="000000"/>
          <w:sz w:val="24"/>
        </w:rPr>
      </w:pPr>
      <w:r>
        <w:rPr>
          <w:rFonts w:ascii="Times New Roman" w:hAnsi="Times New Roman"/>
          <w:color w:val="000000"/>
          <w:sz w:val="24"/>
        </w:rPr>
        <w:t>CERTIFICATE OF INCORPORATION</w:t>
      </w:r>
    </w:p>
    <w:p>
      <w:pPr>
        <w:pStyle w:val="TextBody"/>
        <w:bidi w:val="0"/>
        <w:jc w:val="center"/>
        <w:rPr>
          <w:rFonts w:ascii="Times New Roman" w:hAnsi="Times New Roman"/>
          <w:color w:val="000000"/>
          <w:sz w:val="24"/>
        </w:rPr>
      </w:pPr>
      <w:r>
        <w:rPr>
          <w:rFonts w:ascii="Times New Roman" w:hAnsi="Times New Roman"/>
          <w:color w:val="000000"/>
          <w:sz w:val="24"/>
        </w:rPr>
        <w:t>OF</w:t>
      </w:r>
    </w:p>
    <w:p>
      <w:pPr>
        <w:pStyle w:val="TextBody"/>
        <w:bidi w:val="0"/>
        <w:jc w:val="center"/>
        <w:rPr>
          <w:rFonts w:ascii="Times New Roman" w:hAnsi="Times New Roman"/>
          <w:color w:val="000000"/>
          <w:sz w:val="24"/>
        </w:rPr>
      </w:pPr>
      <w:r>
        <w:rPr>
          <w:rFonts w:ascii="Times New Roman" w:hAnsi="Times New Roman"/>
          <w:color w:val="000000"/>
          <w:sz w:val="24"/>
        </w:rPr>
        <w:t>ODYSSEY THERAPEUTICS, INC.</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(Pursuant to Sections 242 and 245 of the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General Corporation Law of the State of Delaware)</w:t>
      </w:r>
    </w:p>
    <w:p>
      <w:pPr>
        <w:pStyle w:val="TextBody"/>
        <w:bidi w:val="0"/>
        <w:jc w:val="both"/>
        <w:rPr>
          <w:rFonts w:ascii="Times New Roman" w:hAnsi="Times New Roman"/>
          <w:sz w:val="20"/>
        </w:rPr>
      </w:pPr>
      <w:r>
        <w:rPr>
          <w:rFonts w:ascii="Times New Roman" w:hAnsi="Times New Roman"/>
          <w:color w:val="000000"/>
          <w:sz w:val="24"/>
        </w:rPr>
        <w:t>Odyssey Therapeutics, Inc., a corporation organized and existing under and by virtue of the provisions of the General Corporation Law of the State of Delaware (the “</w:t>
      </w:r>
      <w:r>
        <w:rPr>
          <w:rFonts w:ascii="Times New Roman" w:hAnsi="Times New Roman"/>
          <w:b/>
          <w:color w:val="000000"/>
          <w:sz w:val="24"/>
        </w:rPr>
        <w:t>General Corporation Law</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DOES HEREBY CERTIFY: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w:t>
      </w:r>
    </w:p>
    <w:p>
      <w:pPr>
        <w:pStyle w:val="TextBody"/>
        <w:bidi w:val="0"/>
        <w:spacing w:before="240" w:after="283"/>
        <w:jc w:val="both"/>
        <w:rPr/>
      </w:pPr>
      <w:r>
        <w:rPr>
          <w:rFonts w:ascii="Times New Roman" w:hAnsi="Times New Roman"/>
          <w:color w:val="000000"/>
          <w:sz w:val="24"/>
        </w:rPr>
        <w:t>That this corporation was originally incorporated pursuant to the General Corporation Law on April 13, 2021 under the name Odyssey Therapeutics, Inc. The First Amended and Restated Certificate of Incorporation of this corporation was filed with the Secretary of State of Delaware on August 30, 2021. The Second Amended and Restated Certificate of Incorporation of this corporation was filed with the Secretary of State of Delaware on November 12, 2021. The Third Amended and Restated Certificate of Incorporation of this corporation was filed with the Secretary of State of Delaware on November 22, 2021. The Fourth Amended and Restated Certificate of Incorporation of this corporation was filed with the Secretary of State of Delaware on May 5, 2022. The Fifth Amended and Restated Certificate of Incorporation of this corporation was filed with the Secretary of State of Delaware on May 13, 2022. The Sixth Amended and Restated Certificate of Incorporation of this corporation was filed with the Secretary of State of Delaware on October 24, 2023. The Seventh Amended and Restated Certificate of Incorporation of this corporation was filed with the Secretary of State of Delaware on November 21, 2024 (as amended, the “</w:t>
      </w:r>
      <w:r>
        <w:rPr>
          <w:rFonts w:ascii="Times New Roman" w:hAnsi="Times New Roman"/>
          <w:b/>
          <w:color w:val="000000"/>
          <w:sz w:val="24"/>
        </w:rPr>
        <w:t>Seventh Amended and Restated Certificate of Incorporation</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2.</w:t>
      </w:r>
    </w:p>
    <w:p>
      <w:pPr>
        <w:pStyle w:val="TextBody"/>
        <w:bidi w:val="0"/>
        <w:spacing w:before="240" w:after="283"/>
        <w:jc w:val="both"/>
        <w:rPr/>
      </w:pPr>
      <w:r>
        <w:rPr>
          <w:rFonts w:ascii="Times New Roman" w:hAnsi="Times New Roman"/>
          <w:color w:val="000000"/>
          <w:sz w:val="24"/>
        </w:rPr>
        <w:t>That the Board of Directors of the Corporation (the “</w:t>
      </w:r>
      <w:r>
        <w:rPr>
          <w:rFonts w:ascii="Times New Roman" w:hAnsi="Times New Roman"/>
          <w:b/>
          <w:color w:val="000000"/>
          <w:sz w:val="24"/>
        </w:rPr>
        <w:t>Board of Directors</w:t>
      </w:r>
      <w:r>
        <w:rPr>
          <w:color w:val="000000"/>
        </w:rPr>
        <w:t>”</w:t>
      </w:r>
      <w:r>
        <w:rPr>
          <w:rFonts w:ascii="Times New Roman" w:hAnsi="Times New Roman"/>
          <w:color w:val="000000"/>
          <w:sz w:val="24"/>
        </w:rPr>
        <w:t>) duly adopted resolutions proposing to amend and restate the Seventh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pStyle w:val="TextBody"/>
        <w:bidi w:val="0"/>
        <w:spacing w:before="240" w:after="283"/>
        <w:jc w:val="both"/>
        <w:rPr>
          <w:rFonts w:ascii="Times New Roman" w:hAnsi="Times New Roman"/>
          <w:sz w:val="20"/>
        </w:rPr>
      </w:pPr>
      <w:r>
        <w:rPr>
          <w:rFonts w:ascii="Times New Roman" w:hAnsi="Times New Roman"/>
          <w:b/>
          <w:color w:val="000000"/>
          <w:sz w:val="24"/>
        </w:rPr>
        <w:t>RESOLVED</w:t>
      </w:r>
      <w:r>
        <w:rPr>
          <w:rFonts w:ascii="Times New Roman" w:hAnsi="Times New Roman"/>
          <w:color w:val="000000"/>
          <w:sz w:val="24"/>
        </w:rPr>
        <w:t>, that the Certificate of Incorporation of this corporation be amended and restated in its entirety to read as follows:</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FIRST: </w:t>
      </w:r>
      <w:r>
        <w:rPr>
          <w:rFonts w:ascii="Times New Roman" w:hAnsi="Times New Roman"/>
          <w:color w:val="000000"/>
          <w:sz w:val="24"/>
        </w:rPr>
        <w:t>The name of this corporation is Odyssey Therapeutics, Inc. (the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SECOND: </w:t>
      </w:r>
      <w:r>
        <w:rPr>
          <w:rFonts w:ascii="Times New Roman" w:hAnsi="Times New Roman"/>
          <w:color w:val="000000"/>
          <w:sz w:val="24"/>
        </w:rPr>
        <w:t>The address of the registered office of the Corporation in the State of Delaware is 1209 Orange Street, in the City of Wilmington, County of New Castle, 19801. The name of its registered agent at such address is The Corporation Trust Company.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THIRD: </w:t>
      </w:r>
      <w:r>
        <w:rPr>
          <w:rFonts w:ascii="Times New Roman" w:hAnsi="Times New Roman"/>
          <w:color w:val="000000"/>
          <w:sz w:val="24"/>
        </w:rPr>
        <w:t>The nature of the business or purposes to be conducted or promoted is to engage in any lawful act or activity for which corporations may be organized under the General Corporation Law.</w:t>
      </w:r>
    </w:p>
    <w:p>
      <w:pPr>
        <w:pStyle w:val="TextBody"/>
        <w:bidi w:val="0"/>
        <w:spacing w:before="240" w:after="283"/>
        <w:jc w:val="both"/>
        <w:rPr>
          <w:rFonts w:ascii="Times New Roman" w:hAnsi="Times New Roman"/>
          <w:sz w:val="20"/>
        </w:rPr>
      </w:pPr>
      <w:r>
        <w:rPr>
          <w:rFonts w:ascii="Times New Roman" w:hAnsi="Times New Roman"/>
          <w:b/>
          <w:caps/>
          <w:color w:val="000000"/>
          <w:sz w:val="24"/>
        </w:rPr>
        <w:t>Fourth</w:t>
      </w:r>
      <w:r>
        <w:rPr>
          <w:rFonts w:ascii="Times New Roman" w:hAnsi="Times New Roman"/>
          <w:b/>
          <w:color w:val="000000"/>
          <w:sz w:val="24"/>
        </w:rPr>
        <w:t xml:space="preserve">: </w:t>
      </w:r>
      <w:r>
        <w:rPr>
          <w:rFonts w:ascii="Times New Roman" w:hAnsi="Times New Roman"/>
          <w:color w:val="000000"/>
          <w:sz w:val="24"/>
        </w:rPr>
        <w:t>The total number of shares of all classes of stock which the Corporation shall have authority to issue is 494,684,888, consisting of (i) 298,000,000 shares of common stock, $0.0001 par value per share (the “</w:t>
      </w:r>
      <w:r>
        <w:rPr>
          <w:rFonts w:ascii="Times New Roman" w:hAnsi="Times New Roman"/>
          <w:b/>
          <w:color w:val="000000"/>
          <w:sz w:val="24"/>
        </w:rPr>
        <w:t>Voting Common Stock</w:t>
      </w:r>
      <w:r>
        <w:rPr>
          <w:rFonts w:ascii="Times New Roman" w:hAnsi="Times New Roman"/>
          <w:color w:val="000000"/>
          <w:sz w:val="20"/>
        </w:rPr>
        <w:t>”</w:t>
      </w:r>
      <w:r>
        <w:rPr>
          <w:rFonts w:ascii="Times New Roman" w:hAnsi="Times New Roman"/>
          <w:color w:val="000000"/>
          <w:sz w:val="24"/>
        </w:rPr>
        <w:t>), (ii) 81,240 shares of non-voting common stock, $0.0001 par value per share (the “</w:t>
      </w:r>
      <w:r>
        <w:rPr>
          <w:rFonts w:ascii="Times New Roman" w:hAnsi="Times New Roman"/>
          <w:b/>
          <w:color w:val="000000"/>
          <w:sz w:val="24"/>
        </w:rPr>
        <w:t>Non-Voting Common Stock</w:t>
      </w:r>
      <w:r>
        <w:rPr>
          <w:rFonts w:ascii="Times New Roman" w:hAnsi="Times New Roman"/>
          <w:color w:val="000000"/>
          <w:sz w:val="20"/>
        </w:rPr>
        <w:t xml:space="preserve">” </w:t>
      </w:r>
      <w:r>
        <w:rPr>
          <w:rFonts w:ascii="Times New Roman" w:hAnsi="Times New Roman"/>
          <w:color w:val="000000"/>
          <w:sz w:val="24"/>
        </w:rPr>
        <w:t>and together with the Voting Common Stock, the “</w:t>
      </w:r>
      <w:r>
        <w:rPr>
          <w:rFonts w:ascii="Times New Roman" w:hAnsi="Times New Roman"/>
          <w:b/>
          <w:color w:val="000000"/>
          <w:sz w:val="24"/>
        </w:rPr>
        <w:t>Common Stock</w:t>
      </w:r>
      <w:r>
        <w:rPr>
          <w:rFonts w:ascii="Times New Roman" w:hAnsi="Times New Roman"/>
          <w:color w:val="000000"/>
          <w:sz w:val="20"/>
        </w:rPr>
        <w:t>”</w:t>
      </w:r>
      <w:r>
        <w:rPr>
          <w:rFonts w:ascii="Times New Roman" w:hAnsi="Times New Roman"/>
          <w:color w:val="000000"/>
          <w:sz w:val="24"/>
        </w:rPr>
        <w:t>) and (iii) 196,603,648 shares of Preferred Stock, $0.0001 par value per share (“</w:t>
      </w:r>
      <w:r>
        <w:rPr>
          <w:rFonts w:ascii="Times New Roman" w:hAnsi="Times New Roman"/>
          <w:b/>
          <w:color w:val="000000"/>
          <w:sz w:val="24"/>
        </w:rPr>
        <w:t>Preferred Stock</w:t>
      </w:r>
      <w:r>
        <w:rPr>
          <w:rFonts w:ascii="Times New Roman" w:hAnsi="Times New Roman"/>
          <w:color w:val="000000"/>
          <w:sz w:val="20"/>
        </w:rPr>
        <w:t>”</w:t>
      </w:r>
      <w:r>
        <w:rPr>
          <w:rFonts w:ascii="Times New Roman" w:hAnsi="Times New Roman"/>
          <w:color w:val="000000"/>
          <w:sz w:val="24"/>
        </w:rPr>
        <w:t>).</w:t>
      </w:r>
    </w:p>
    <w:p>
      <w:pPr>
        <w:pStyle w:val="Heading2"/>
        <w:bidi w:val="0"/>
        <w:spacing w:before="240" w:after="283"/>
        <w:jc w:val="both"/>
        <w:rPr>
          <w:rFonts w:ascii="Times New Roman" w:hAnsi="Times New Roman"/>
          <w:b w:val="false"/>
          <w:color w:val="000000"/>
          <w:sz w:val="24"/>
        </w:rPr>
      </w:pPr>
      <w:r>
        <w:rPr>
          <w:rFonts w:ascii="Times New Roman" w:hAnsi="Times New Roman"/>
          <w:b w:val="false"/>
          <w:color w:val="000000"/>
          <w:sz w:val="24"/>
        </w:rPr>
        <w:t>The following is a statement of the designations and the powers, preferences and rights, and the qualifications, limitations or restrictions thereof in respect of each class of capital stock of the Corporation.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COMMON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General</w:t>
      </w:r>
      <w:r>
        <w:rPr>
          <w:rFonts w:ascii="Times New Roman" w:hAnsi="Times New Roman"/>
          <w:color w:val="000000"/>
          <w:sz w:val="24"/>
        </w:rPr>
        <w:t>. The voting, dividend and liquidation rights of the holders of Common Stock are subject to and qualified by the rights, powers and preferences of the holders of the Preferred Stock set forth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Voting</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b/>
          <w:color w:val="000000"/>
          <w:sz w:val="24"/>
        </w:rPr>
        <w:t xml:space="preserve">Voting Common Stock. </w:t>
      </w:r>
      <w:r>
        <w:rPr>
          <w:rFonts w:ascii="Times New Roman" w:hAnsi="Times New Roman"/>
          <w:color w:val="000000"/>
          <w:sz w:val="24"/>
        </w:rPr>
        <w:t xml:space="preserve">The holders of Voting Common Stock shall be entitled to one vote for each share of Voting Common Stock held at the record date for the determination of the stockholders entitled to vote on such matters or, if no such record date is established, the date on which such vote is taken or any written consent of stockholders is solicited.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b/>
          <w:color w:val="000000"/>
          <w:sz w:val="24"/>
        </w:rPr>
        <w:t>Non-Voting Common Stock</w:t>
      </w:r>
      <w:r>
        <w:rPr>
          <w:rFonts w:ascii="Times New Roman" w:hAnsi="Times New Roman"/>
          <w:color w:val="000000"/>
          <w:sz w:val="24"/>
        </w:rPr>
        <w:t>. The Non-Voting Common Stock shall be non-voting. The holders of shares of Non-Voting Common Stock shall not, with respect to such shares of Non-Voting Common Stock, be entitled to vote on any matter presented to stockholders (including matters with respect to which such holders are entitled or required to provide their approval or consent), and shall not be included in determining the number of shares voting or entitled to vote on such matters with respect to such shares, except as required by the General Corporation Law, in which event, (i) each holder of Non-Voting Common Stock shall be entitled to one vote for each share of Non-Voting Common Stock held at the record date for the determination of the stockholders entitled to vote on such matters or, if no such record date is established, the date on which such vote is taken or any written consent of stockholders is solicited and (ii) holders of Non-Voting Common Stock shall vote together with the holders of Voting Common Stock as a single class, unless otherwise required by the General Corporation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number of authorized shares of Voting Common Stock and/or Non-Voting Common Stock may be increased or decreased (but not below the number of shares thereof then outstanding) by (in addition to any vote of the holders of one or more series of Preferred Stock that may be required by the terms of this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Conversion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pPr>
      <w:r>
        <w:rPr>
          <w:rFonts w:ascii="Times New Roman" w:hAnsi="Times New Roman"/>
          <w:b/>
          <w:color w:val="000000"/>
          <w:sz w:val="24"/>
        </w:rPr>
        <w:t>Trigger Events.</w:t>
      </w:r>
      <w:r>
        <w:rPr>
          <w:color w:val="000000"/>
        </w:rPr>
        <w:t xml:space="preserve"> </w:t>
      </w:r>
      <w:r>
        <w:rPr>
          <w:rFonts w:ascii="Times New Roman" w:hAnsi="Times New Roman"/>
          <w:color w:val="000000"/>
          <w:sz w:val="24"/>
        </w:rPr>
        <w:t>Upon the consummation of the initial firm-commitment underwritten public offering of the Corporation’s capital stock pursuant to an effective registration statement under the Securities Act of 1933, as amended (the “</w:t>
      </w:r>
      <w:r>
        <w:rPr>
          <w:rFonts w:ascii="Times New Roman" w:hAnsi="Times New Roman"/>
          <w:b/>
          <w:color w:val="000000"/>
          <w:sz w:val="24"/>
        </w:rPr>
        <w:t>IPO</w:t>
      </w:r>
      <w:r>
        <w:rPr>
          <w:color w:val="000000"/>
        </w:rPr>
        <w:t>”</w:t>
      </w:r>
      <w:r>
        <w:rPr>
          <w:rFonts w:ascii="Times New Roman" w:hAnsi="Times New Roman"/>
          <w:color w:val="000000"/>
          <w:sz w:val="24"/>
        </w:rPr>
        <w:t xml:space="preserve">), each share of Non-Voting Common Stock shall automatically convert into one share of Voting Common Stock, subject to appropriate adjustment in the event of any stock dividend, stock split, combination or other similar recapitalization with respect to such class. Such shares of Non-Voting Common Stock may not be reissued by the Corporation.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pPr>
      <w:r>
        <w:rPr>
          <w:rFonts w:ascii="Times New Roman" w:hAnsi="Times New Roman"/>
          <w:b/>
          <w:color w:val="000000"/>
          <w:sz w:val="24"/>
        </w:rPr>
        <w:t>Procedural Requirements.</w:t>
      </w:r>
      <w:r>
        <w:rPr>
          <w:color w:val="000000"/>
        </w:rPr>
        <w:t xml:space="preserve"> </w:t>
      </w:r>
      <w:r>
        <w:rPr>
          <w:rFonts w:ascii="Times New Roman" w:hAnsi="Times New Roman"/>
          <w:color w:val="000000"/>
          <w:sz w:val="24"/>
        </w:rPr>
        <w:t xml:space="preserve">All holders of record of shares of Non-Voting Common Stock shall be sent written notice of the IPO and the place designated for mandatory conversion of all such shares of Non-Voting Common Stock pursuant to this </w:t>
      </w:r>
      <w:r>
        <w:rPr>
          <w:rFonts w:ascii="Times New Roman" w:hAnsi="Times New Roman"/>
          <w:color w:val="000000"/>
          <w:sz w:val="24"/>
          <w:u w:val="single"/>
        </w:rPr>
        <w:t>Section 3</w:t>
      </w:r>
      <w:r>
        <w:rPr>
          <w:rFonts w:ascii="Times New Roman" w:hAnsi="Times New Roman"/>
          <w:color w:val="000000"/>
          <w:sz w:val="24"/>
        </w:rPr>
        <w:t>. Such notice need not be sent in advance of the consummation of the IPO. Upon receipt of such notice, each holder of shares of Non-Voting Common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As soon as practicable after the effectiveness of the IPO, if a holder of Non-Voting Common Stock surrendered any certificate or certificates (or lost certificate affidavit and agreement) for Non-Voting Common Stock, the Corporation shall issue and deliver to such holder, or to his, her or its nominees, a certificate or certificates for the number of full shares of Voting Common Stock issuable on such conversion in accordance with the provisions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PREFERRED STOCK</w:t>
      </w:r>
    </w:p>
    <w:p>
      <w:pPr>
        <w:pStyle w:val="TextBody"/>
        <w:bidi w:val="0"/>
        <w:spacing w:before="240" w:after="283"/>
        <w:jc w:val="both"/>
        <w:rPr>
          <w:rFonts w:ascii="Times New Roman" w:hAnsi="Times New Roman"/>
          <w:sz w:val="20"/>
        </w:rPr>
      </w:pPr>
      <w:r>
        <w:rPr>
          <w:rFonts w:ascii="Times New Roman" w:hAnsi="Times New Roman"/>
          <w:color w:val="000000"/>
          <w:sz w:val="24"/>
        </w:rPr>
        <w:t>30,039,874 shares of the authorized Preferred Stock are hereby designated “</w:t>
      </w:r>
      <w:r>
        <w:rPr>
          <w:rFonts w:ascii="Times New Roman" w:hAnsi="Times New Roman"/>
          <w:b/>
          <w:color w:val="000000"/>
          <w:sz w:val="24"/>
        </w:rPr>
        <w:t>Series A Preferred Stock</w:t>
      </w:r>
      <w:r>
        <w:rPr>
          <w:rFonts w:ascii="Times New Roman" w:hAnsi="Times New Roman"/>
          <w:color w:val="000000"/>
          <w:sz w:val="24"/>
        </w:rPr>
        <w:t>,” 7,575,753 shares of the authorized Preferred Stock are hereby designated “</w:t>
      </w:r>
      <w:r>
        <w:rPr>
          <w:rFonts w:ascii="Times New Roman" w:hAnsi="Times New Roman"/>
          <w:b/>
          <w:color w:val="000000"/>
          <w:sz w:val="24"/>
        </w:rPr>
        <w:t>Series A-1 Preferred Stock</w:t>
      </w:r>
      <w:r>
        <w:rPr>
          <w:rFonts w:ascii="Times New Roman" w:hAnsi="Times New Roman"/>
          <w:color w:val="000000"/>
          <w:sz w:val="24"/>
        </w:rPr>
        <w:t>,” 7,815,303 shares of the authorized Preferred Stock are hereby designated “</w:t>
      </w:r>
      <w:r>
        <w:rPr>
          <w:rFonts w:ascii="Times New Roman" w:hAnsi="Times New Roman"/>
          <w:b/>
          <w:color w:val="000000"/>
          <w:sz w:val="24"/>
        </w:rPr>
        <w:t>Series A-2 Preferred Stock</w:t>
      </w:r>
      <w:r>
        <w:rPr>
          <w:rFonts w:ascii="Times New Roman" w:hAnsi="Times New Roman"/>
          <w:color w:val="000000"/>
          <w:sz w:val="24"/>
        </w:rPr>
        <w:t>,” 26,601,360 shares of the authorized Preferred Stock are hereby designated “</w:t>
      </w:r>
      <w:r>
        <w:rPr>
          <w:rFonts w:ascii="Times New Roman" w:hAnsi="Times New Roman"/>
          <w:b/>
          <w:color w:val="000000"/>
          <w:sz w:val="24"/>
        </w:rPr>
        <w:t>Series B Preferred Stock</w:t>
      </w:r>
      <w:r>
        <w:rPr>
          <w:rFonts w:ascii="Times New Roman" w:hAnsi="Times New Roman"/>
          <w:color w:val="000000"/>
          <w:sz w:val="24"/>
        </w:rPr>
        <w:t>,” 23,442,000 shares of the authorized Preferred Stock are hereby designated “</w:t>
      </w:r>
      <w:r>
        <w:rPr>
          <w:rFonts w:ascii="Times New Roman" w:hAnsi="Times New Roman"/>
          <w:b/>
          <w:color w:val="000000"/>
          <w:sz w:val="24"/>
        </w:rPr>
        <w:t>Series C Preferred Stock</w:t>
      </w:r>
      <w:r>
        <w:rPr>
          <w:rFonts w:ascii="Times New Roman" w:hAnsi="Times New Roman"/>
          <w:color w:val="000000"/>
          <w:sz w:val="24"/>
        </w:rPr>
        <w:t>,” 1,459,598 shares of the authorized Preferred Stock are hereby designated “</w:t>
      </w:r>
      <w:r>
        <w:rPr>
          <w:rFonts w:ascii="Times New Roman" w:hAnsi="Times New Roman"/>
          <w:b/>
          <w:color w:val="000000"/>
          <w:sz w:val="24"/>
        </w:rPr>
        <w:t>Series C-1 Preferred Stock</w:t>
      </w:r>
      <w:r>
        <w:rPr>
          <w:rFonts w:ascii="Times New Roman" w:hAnsi="Times New Roman"/>
          <w:color w:val="000000"/>
          <w:sz w:val="24"/>
        </w:rPr>
        <w:t>,” and 99,669,760 shares of the authorized Preferred Stock are hereby designated “</w:t>
      </w:r>
      <w:r>
        <w:rPr>
          <w:rFonts w:ascii="Times New Roman" w:hAnsi="Times New Roman"/>
          <w:b/>
          <w:color w:val="000000"/>
          <w:sz w:val="24"/>
        </w:rPr>
        <w:t>Series D Preferred Stock</w:t>
      </w:r>
      <w:r>
        <w:rPr>
          <w:rFonts w:ascii="Times New Roman" w:hAnsi="Times New Roman"/>
          <w:color w:val="000000"/>
          <w:sz w:val="24"/>
        </w:rPr>
        <w:t>,” each with the following rights, preferences, powers, privileges and restrictions, qualifications and limitations. Unless otherwise indicated, references to “sections” or “subsections” in this Part B of this Article Fourth refer to sections and subsections of Part B of this Article Fourth. All references to “Preferred Stock” herein shall refer solely to Series A Preferred Stock, Series A-1 Preferred Stock, Series A-2 Preferred Stock, Series B Preferred Stock, Series C Preferred Stock, Series C-1 Preferred Stock and Series D Preferred Stock.</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Dividends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The Corporation shall not declare, pay or set aside any dividends on shares of any other class or series of capital stock of the Corporation (other than dividends on shares of Voting Common Stock payable in shares of Voting Common Stock) unless (in addition to the obtaining of any consents required elsewhere in the Certificate of Incorporation) (a) such dividend is approved by the Board of Directors, and (b) the holders of the Preferred Stock then outstanding shall first receive, or simultaneously receive,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and (B) the number of shares of Voting Common Stock issuable upon conversion of such share of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Applicable Liquidation Price (as defined below);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the Corporation declares, pays or sets aside, on the same date, a dividend on shares of more than one class or series of capital stock of the Corporation, the dividend payable to the holders of Preferred Stock pursuant to this </w:t>
      </w:r>
      <w:r>
        <w:rPr>
          <w:rFonts w:ascii="Times New Roman" w:hAnsi="Times New Roman"/>
          <w:color w:val="000000"/>
          <w:sz w:val="24"/>
          <w:u w:val="single"/>
        </w:rPr>
        <w:t>Section 1</w:t>
      </w:r>
      <w:r>
        <w:rPr>
          <w:rFonts w:ascii="Times New Roman" w:hAnsi="Times New Roman"/>
          <w:color w:val="000000"/>
          <w:sz w:val="20"/>
        </w:rPr>
        <w:t xml:space="preserve"> </w:t>
      </w:r>
      <w:r>
        <w:rPr>
          <w:rFonts w:ascii="Times New Roman" w:hAnsi="Times New Roman"/>
          <w:color w:val="000000"/>
          <w:sz w:val="24"/>
        </w:rPr>
        <w:t>shall be calculated based upon the dividend on the class or series of capital stock that would result in the highest Preferred Stock dividend. The “</w:t>
      </w:r>
      <w:r>
        <w:rPr>
          <w:rFonts w:ascii="Times New Roman" w:hAnsi="Times New Roman"/>
          <w:b/>
          <w:color w:val="000000"/>
          <w:sz w:val="24"/>
        </w:rPr>
        <w:t>Applicable Liquidation Price</w:t>
      </w:r>
      <w:r>
        <w:rPr>
          <w:rFonts w:ascii="Times New Roman" w:hAnsi="Times New Roman"/>
          <w:color w:val="000000"/>
          <w:sz w:val="20"/>
        </w:rPr>
        <w:t xml:space="preserve">” </w:t>
      </w:r>
      <w:r>
        <w:rPr>
          <w:rFonts w:ascii="Times New Roman" w:hAnsi="Times New Roman"/>
          <w:color w:val="000000"/>
          <w:sz w:val="24"/>
        </w:rPr>
        <w:t>shall mean, as the context so requires, the Series A Liquidation Price with respect to the Series A Preferred Stock, the Series A-1 Liquidation Price with respect to the Series A-1 Preferred Stock, the Series A-2 Liquidation Price with respect to the Series A-2 Preferred Stock, the Series B Liquidation Price with respect to the Series B Preferred Stock, the Series C Liquidation Price with respect to the Series C Preferred Stock, the Series C-1 Liquidation Price with respect to the Series C-1 Preferred Stock, and the Series D Liquidation Price with respect to the Series D Preferred Stock. The “</w:t>
      </w:r>
      <w:r>
        <w:rPr>
          <w:rFonts w:ascii="Times New Roman" w:hAnsi="Times New Roman"/>
          <w:b/>
          <w:color w:val="000000"/>
          <w:sz w:val="24"/>
        </w:rPr>
        <w:t>Series A Liquidation Price</w:t>
      </w:r>
      <w:r>
        <w:rPr>
          <w:rFonts w:ascii="Times New Roman" w:hAnsi="Times New Roman"/>
          <w:color w:val="000000"/>
          <w:sz w:val="20"/>
        </w:rPr>
        <w:t xml:space="preserve">” </w:t>
      </w:r>
      <w:r>
        <w:rPr>
          <w:rFonts w:ascii="Times New Roman" w:hAnsi="Times New Roman"/>
          <w:color w:val="000000"/>
          <w:sz w:val="24"/>
        </w:rPr>
        <w:t>shall mean $$1.70821 per share, subject to appropriate adjustment in the event of any stock dividend, stock split, combination or other similar recapitalization with respect to the Series A Preferred Stock. The “</w:t>
      </w:r>
      <w:r>
        <w:rPr>
          <w:rFonts w:ascii="Times New Roman" w:hAnsi="Times New Roman"/>
          <w:b/>
          <w:color w:val="000000"/>
          <w:sz w:val="24"/>
        </w:rPr>
        <w:t>Series A-1 Liquidation Price</w:t>
      </w:r>
      <w:r>
        <w:rPr>
          <w:rFonts w:ascii="Times New Roman" w:hAnsi="Times New Roman"/>
          <w:color w:val="000000"/>
          <w:sz w:val="20"/>
        </w:rPr>
        <w:t xml:space="preserve">” </w:t>
      </w:r>
      <w:r>
        <w:rPr>
          <w:rFonts w:ascii="Times New Roman" w:hAnsi="Times New Roman"/>
          <w:color w:val="000000"/>
          <w:sz w:val="24"/>
        </w:rPr>
        <w:t>shall mean $2.30608 per share, subject to appropriate adjustment in the event of any stock dividend, stock split, combination or other similar recapitalization with respect to the Series A-1 Preferred Stock. The “</w:t>
      </w:r>
      <w:r>
        <w:rPr>
          <w:rFonts w:ascii="Times New Roman" w:hAnsi="Times New Roman"/>
          <w:b/>
          <w:color w:val="000000"/>
          <w:sz w:val="24"/>
        </w:rPr>
        <w:t>Series A-2 Liquidation Price</w:t>
      </w:r>
      <w:r>
        <w:rPr>
          <w:rFonts w:ascii="Times New Roman" w:hAnsi="Times New Roman"/>
          <w:color w:val="000000"/>
          <w:sz w:val="20"/>
        </w:rPr>
        <w:t xml:space="preserve">” </w:t>
      </w:r>
      <w:r>
        <w:rPr>
          <w:rFonts w:ascii="Times New Roman" w:hAnsi="Times New Roman"/>
          <w:color w:val="000000"/>
          <w:sz w:val="24"/>
        </w:rPr>
        <w:t>shall mean $2.42139 per share, subject to appropriate adjustment in the event of any stock dividend, stock split, combination or other similar recapitalization with respect to the Series A-2 Preferred Stock. The “</w:t>
      </w:r>
      <w:r>
        <w:rPr>
          <w:rFonts w:ascii="Times New Roman" w:hAnsi="Times New Roman"/>
          <w:b/>
          <w:color w:val="000000"/>
          <w:sz w:val="24"/>
        </w:rPr>
        <w:t>Series B Liquidation Price</w:t>
      </w:r>
      <w:r>
        <w:rPr>
          <w:rFonts w:ascii="Times New Roman" w:hAnsi="Times New Roman"/>
          <w:color w:val="000000"/>
          <w:sz w:val="20"/>
        </w:rPr>
        <w:t xml:space="preserve">” </w:t>
      </w:r>
      <w:r>
        <w:rPr>
          <w:rFonts w:ascii="Times New Roman" w:hAnsi="Times New Roman"/>
          <w:color w:val="000000"/>
          <w:sz w:val="24"/>
        </w:rPr>
        <w:t>shall mean $2.48483 per share, subject to appropriate adjustment in the event of any stock dividend, stock split, combination or other similar recapitalization with respect to the Series B Preferred Stock. The “</w:t>
      </w:r>
      <w:r>
        <w:rPr>
          <w:rFonts w:ascii="Times New Roman" w:hAnsi="Times New Roman"/>
          <w:b/>
          <w:color w:val="000000"/>
          <w:sz w:val="24"/>
        </w:rPr>
        <w:t>Series C Liquidation Price</w:t>
      </w:r>
      <w:r>
        <w:rPr>
          <w:rFonts w:ascii="Times New Roman" w:hAnsi="Times New Roman"/>
          <w:color w:val="000000"/>
          <w:sz w:val="20"/>
        </w:rPr>
        <w:t xml:space="preserve">” </w:t>
      </w:r>
      <w:r>
        <w:rPr>
          <w:rFonts w:ascii="Times New Roman" w:hAnsi="Times New Roman"/>
          <w:color w:val="000000"/>
          <w:sz w:val="24"/>
        </w:rPr>
        <w:t>shall mean $1.96714 per share, subject to appropriate adjustment in the event of any stock dividend, stock split, combination or other similar recapitalization with respect to the Series C Preferred Stock. The “</w:t>
      </w:r>
      <w:r>
        <w:rPr>
          <w:rFonts w:ascii="Times New Roman" w:hAnsi="Times New Roman"/>
          <w:b/>
          <w:color w:val="000000"/>
          <w:sz w:val="24"/>
        </w:rPr>
        <w:t>Series C-1 Liquidation Price</w:t>
      </w:r>
      <w:r>
        <w:rPr>
          <w:rFonts w:ascii="Times New Roman" w:hAnsi="Times New Roman"/>
          <w:color w:val="000000"/>
          <w:sz w:val="20"/>
        </w:rPr>
        <w:t xml:space="preserve">” </w:t>
      </w:r>
      <w:r>
        <w:rPr>
          <w:rFonts w:ascii="Times New Roman" w:hAnsi="Times New Roman"/>
          <w:color w:val="000000"/>
          <w:sz w:val="24"/>
        </w:rPr>
        <w:t>shall mean $2.02159 per share, subject to appropriate adjustment in the event of any stock dividend, stock split, combination or other similar recapitalization with respect to the Series C-1 Preferred Stock. The “</w:t>
      </w:r>
      <w:r>
        <w:rPr>
          <w:rFonts w:ascii="Times New Roman" w:hAnsi="Times New Roman"/>
          <w:b/>
          <w:color w:val="000000"/>
          <w:sz w:val="24"/>
        </w:rPr>
        <w:t>Series D Liquidation Price</w:t>
      </w:r>
      <w:r>
        <w:rPr>
          <w:rFonts w:ascii="Times New Roman" w:hAnsi="Times New Roman"/>
          <w:color w:val="000000"/>
          <w:sz w:val="20"/>
        </w:rPr>
        <w:t xml:space="preserve">” </w:t>
      </w:r>
      <w:r>
        <w:rPr>
          <w:rFonts w:ascii="Times New Roman" w:hAnsi="Times New Roman"/>
          <w:color w:val="000000"/>
          <w:sz w:val="24"/>
        </w:rPr>
        <w:t>shall mean $1.50497 per share, subject to appropriate adjustment in the event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of any stock dividend, stock split, combination or other similar recapitalization with respect to the Series D Preferred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Liquidation, Dissolution or Winding Up; Certain Mergers, Consolidations and Asset Sales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Preferential Payments to Holders of Series D Preferred Stock</w:t>
      </w:r>
      <w:r>
        <w:rPr>
          <w:rFonts w:ascii="Times New Roman" w:hAnsi="Times New Roman"/>
          <w:color w:val="000000"/>
          <w:sz w:val="24"/>
        </w:rPr>
        <w:t xml:space="preserve">. In the event of any voluntary or involuntary liquidation, dissolution or winding up of the Corporation, the holders of shares of Series D Preferred Stock then outstanding shall be entitled to be paid out of the assets of the Corporation available for distribution to its stockholders, and in the event of a Deemed Liquidation Event (as defined below), the holders of shares of Series D Preferred Stock then outstanding shall be entitled to be paid out of the consideration payable to stockholders in such Deemed Liquidation Event or out of the Available Proceeds (as defined below), as applicable, in each case, before any payment shall be made to the holders of Series A Preferred Stock, Series A-1 Preferred Stock, Series A-2 Preferred Stock, Series B Preferred Stock, Series C Preferred Stock, Series C-1 Preferred Stock or Common Stock by reason of their ownership thereof, an amount per share of Series D Preferred Stock equal to the greater of (i) the Applicable Liquidation Price of each such share, plus any dividends declared but unpaid thereon, and (ii) such amount per share as would have been payable had all shares of such series of Preferred Stock been converted into Voting Common Stock pursuant to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immediately prior to such liquidation, dissolution, winding up or Deemed Liquidation Event (the amount payable pursuant to this sentence is hereinafter referred to as the “</w:t>
      </w:r>
      <w:r>
        <w:rPr>
          <w:rFonts w:ascii="Times New Roman" w:hAnsi="Times New Roman"/>
          <w:b/>
          <w:color w:val="000000"/>
          <w:sz w:val="24"/>
        </w:rPr>
        <w:t>Series D</w:t>
      </w:r>
      <w:r>
        <w:rPr>
          <w:color w:val="000000"/>
        </w:rPr>
        <w:t xml:space="preserve"> </w:t>
      </w:r>
      <w:r>
        <w:rPr>
          <w:rFonts w:ascii="Times New Roman" w:hAnsi="Times New Roman"/>
          <w:b/>
          <w:color w:val="000000"/>
          <w:sz w:val="24"/>
        </w:rPr>
        <w:t>Liquidation Amount</w:t>
      </w:r>
      <w:r>
        <w:rPr>
          <w:color w:val="000000"/>
        </w:rPr>
        <w:t>”</w:t>
      </w:r>
      <w:r>
        <w:rPr>
          <w:rFonts w:ascii="Times New Roman" w:hAnsi="Times New Roman"/>
          <w:color w:val="000000"/>
          <w:sz w:val="24"/>
        </w:rPr>
        <w:t xml:space="preserve">). If upon any such liquidation, dissolution or winding up of the Corporation or Deemed Liquidation Event, the assets of the Corporation available for distribution to its stockholders shall be insufficient to pay the holders of shares of Series D Preferred Stock the full Series D Liquidation Amount, the holders of shares of Series 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color w:val="000000"/>
          <w:sz w:val="24"/>
          <w:u w:val="single"/>
        </w:rPr>
        <w:t>Preferential Payments to Holders of Series C Preferred Stock and Series C-1 Preferred Stock</w:t>
      </w:r>
      <w:r>
        <w:rPr>
          <w:rFonts w:ascii="Times New Roman" w:hAnsi="Times New Roman"/>
          <w:color w:val="000000"/>
          <w:sz w:val="24"/>
        </w:rPr>
        <w:t xml:space="preserve">. In the event of any voluntary or involuntary liquidation, dissolution or winding up of the Corporation, after payment in full of the Series D Liquidation Amount to the holders of shares of Series D Preferred Stock pursuant to </w:t>
      </w:r>
      <w:r>
        <w:rPr>
          <w:rFonts w:ascii="Times New Roman" w:hAnsi="Times New Roman"/>
          <w:color w:val="000000"/>
          <w:sz w:val="24"/>
          <w:u w:val="single"/>
        </w:rPr>
        <w:t>Subsection 2.1</w:t>
      </w:r>
      <w:r>
        <w:rPr>
          <w:rFonts w:ascii="Times New Roman" w:hAnsi="Times New Roman"/>
          <w:color w:val="000000"/>
          <w:sz w:val="24"/>
        </w:rPr>
        <w:t xml:space="preserve">, the holders of shares of Series C Preferred Stock and Series C-1 Preferred Stock then outstanding shall be entitled to be paid out of the assets of the Corporation available for distribution to its stockholders, and in the event of a Deemed Liquidation Event, after payment in full of the Series D Liquidation Amount to the holders of shares of Series D Preferred Stock pursuant to </w:t>
      </w:r>
      <w:r>
        <w:rPr>
          <w:rFonts w:ascii="Times New Roman" w:hAnsi="Times New Roman"/>
          <w:color w:val="000000"/>
          <w:sz w:val="24"/>
          <w:u w:val="single"/>
        </w:rPr>
        <w:t>Subsection 2.1</w:t>
      </w:r>
      <w:r>
        <w:rPr>
          <w:color w:val="000000"/>
        </w:rPr>
        <w:t xml:space="preserve"> </w:t>
      </w:r>
      <w:r>
        <w:rPr>
          <w:rFonts w:ascii="Times New Roman" w:hAnsi="Times New Roman"/>
          <w:color w:val="000000"/>
          <w:sz w:val="24"/>
        </w:rPr>
        <w:t xml:space="preserve">above, the holders of shares of Series C Preferred Stock and Series C-1 Preferred Stock then outstanding shall be entitled to be paid out of the consideration payable to stockholders in such Deemed Liquidation Event or out of the Available Proceeds, as applicable, in each case, before any payment shall be made to the holders of Series A Preferred Stock, Series A-1 Preferred Stock, Series A-2 Preferred Stock, Series B Preferred Stock or Common Stock by reason of their ownership thereof, an amount per share of Series C Preferred Stock or Series C-1 Preferred Stock, as applicable, equal to the greater of (i) the Applicable Liquidation Price of each such share, plus any dividends declared but unpaid thereon, and (ii) such amount per share as would have been payable had all shares of such series of Preferred Stock been converted into Voting Common Stock pursuant to </w:t>
      </w:r>
      <w:r>
        <w:rPr>
          <w:rFonts w:ascii="Times New Roman" w:hAnsi="Times New Roman"/>
          <w:color w:val="000000"/>
          <w:sz w:val="24"/>
          <w:u w:val="single"/>
        </w:rPr>
        <w:t>Section 4</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immediately prior to such liquidation, dissolution, winding up or Deemed Liquidation Event (the amount payable pursuant to this sentence is hereinafter referred to as the “</w:t>
      </w:r>
      <w:r>
        <w:rPr>
          <w:rFonts w:ascii="Times New Roman" w:hAnsi="Times New Roman"/>
          <w:b/>
          <w:color w:val="000000"/>
          <w:sz w:val="24"/>
        </w:rPr>
        <w:t>Series C</w:t>
      </w:r>
      <w:r>
        <w:rPr>
          <w:color w:val="000000"/>
        </w:rPr>
        <w:t xml:space="preserve"> </w:t>
      </w:r>
      <w:r>
        <w:rPr>
          <w:rFonts w:ascii="Times New Roman" w:hAnsi="Times New Roman"/>
          <w:b/>
          <w:color w:val="000000"/>
          <w:sz w:val="24"/>
        </w:rPr>
        <w:t>Liquidation Amount</w:t>
      </w:r>
      <w:r>
        <w:rPr>
          <w:color w:val="000000"/>
        </w:rPr>
        <w:t>”</w:t>
      </w:r>
      <w:r>
        <w:rPr>
          <w:rFonts w:ascii="Times New Roman" w:hAnsi="Times New Roman"/>
          <w:color w:val="000000"/>
          <w:sz w:val="24"/>
        </w:rPr>
        <w:t>). If upon any such liquidation, dissolution or winding up of the Corporation or Deemed Liquidation Event, the assets of the Corporation available for distribution to its stockholders shall be insufficient to pay the holders of shares of Series C Preferred Stock and Series C-1 Preferred Stock the full Series C Liquidation Amount, the holders of shares of Series C Preferred Stock and Series C-1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color w:val="000000"/>
          <w:sz w:val="24"/>
          <w:u w:val="single"/>
        </w:rPr>
        <w:t>Preferential Payments to Holders of Series B Preferred Stock</w:t>
      </w:r>
      <w:r>
        <w:rPr>
          <w:rFonts w:ascii="Times New Roman" w:hAnsi="Times New Roman"/>
          <w:color w:val="000000"/>
          <w:sz w:val="24"/>
        </w:rPr>
        <w:t xml:space="preserve">. In the event of any voluntary or involuntary liquidation, dissolution or winding up of the Corporation, after payment in full of the Series D Liquidation Amounts to the holders of Series D Preferred Stock pursuant to </w:t>
      </w:r>
      <w:r>
        <w:rPr>
          <w:rFonts w:ascii="Times New Roman" w:hAnsi="Times New Roman"/>
          <w:color w:val="000000"/>
          <w:sz w:val="24"/>
          <w:u w:val="single"/>
        </w:rPr>
        <w:t>Subsection 2.1</w:t>
      </w:r>
      <w:r>
        <w:rPr>
          <w:color w:val="000000"/>
        </w:rPr>
        <w:t xml:space="preserve"> </w:t>
      </w:r>
      <w:r>
        <w:rPr>
          <w:rFonts w:ascii="Times New Roman" w:hAnsi="Times New Roman"/>
          <w:color w:val="000000"/>
          <w:sz w:val="24"/>
        </w:rPr>
        <w:t xml:space="preserve">and the Series C Liquidation Amounts to the holders of Series C Preferred Stock and Series C-1 Preferred Stock pursuant to </w:t>
      </w:r>
      <w:r>
        <w:rPr>
          <w:rFonts w:ascii="Times New Roman" w:hAnsi="Times New Roman"/>
          <w:color w:val="000000"/>
          <w:sz w:val="24"/>
          <w:u w:val="single"/>
        </w:rPr>
        <w:t>Subsection 2.2</w:t>
      </w:r>
      <w:r>
        <w:rPr>
          <w:color w:val="000000"/>
        </w:rPr>
        <w:t xml:space="preserve"> </w:t>
      </w:r>
      <w:r>
        <w:rPr>
          <w:rFonts w:ascii="Times New Roman" w:hAnsi="Times New Roman"/>
          <w:color w:val="000000"/>
          <w:sz w:val="24"/>
        </w:rPr>
        <w:t xml:space="preserve">above, the holders of shares of Series B Preferred Stock then outstanding shall be entitled to be paid out of the assets of the Corporation available for distribution to its stockholders, and in the event of a Deemed Liquidation Event, after payment in full of the Series D Liquidation Amounts to the holders of Series D Preferred Stock pursuant to </w:t>
      </w:r>
      <w:r>
        <w:rPr>
          <w:rFonts w:ascii="Times New Roman" w:hAnsi="Times New Roman"/>
          <w:color w:val="000000"/>
          <w:sz w:val="24"/>
          <w:u w:val="single"/>
        </w:rPr>
        <w:t>Subsection 2.1</w:t>
      </w:r>
      <w:r>
        <w:rPr>
          <w:color w:val="000000"/>
        </w:rPr>
        <w:t xml:space="preserve"> </w:t>
      </w:r>
      <w:r>
        <w:rPr>
          <w:rFonts w:ascii="Times New Roman" w:hAnsi="Times New Roman"/>
          <w:color w:val="000000"/>
          <w:sz w:val="24"/>
        </w:rPr>
        <w:t xml:space="preserve">and the Series C Liquidation Amounts to the holders of Series C Preferred Stock and Series C-1 Preferred Stock pursuant to </w:t>
      </w:r>
      <w:r>
        <w:rPr>
          <w:rFonts w:ascii="Times New Roman" w:hAnsi="Times New Roman"/>
          <w:color w:val="000000"/>
          <w:sz w:val="24"/>
          <w:u w:val="single"/>
        </w:rPr>
        <w:t>Subsection 2.2</w:t>
      </w:r>
      <w:r>
        <w:rPr>
          <w:color w:val="000000"/>
        </w:rPr>
        <w:t xml:space="preserve"> </w:t>
      </w:r>
      <w:r>
        <w:rPr>
          <w:rFonts w:ascii="Times New Roman" w:hAnsi="Times New Roman"/>
          <w:color w:val="000000"/>
          <w:sz w:val="24"/>
        </w:rPr>
        <w:t xml:space="preserve">above, the holders of shares of Series B Preferred Stock then outstanding shall be entitled to be paid out of the consideration payable to stockholders in such Deemed Liquidation Event or out of the Available Proceeds, as applicable, in each case, before any payment shall be made to the holders of Series A Preferred Stock, Series A-1 Preferred Stock, Series A-2 Preferred Stock or Common Stock by reason of their ownership thereof, an amount per share of Series B Preferred Stock equal to the greater of (i) the Applicable Liquidation Price of each such share, plus any dividends declared but unpaid thereon, and (ii) such amount per share as would have been payable had all shares of Series B Preferred Stock been converted into Voting Common Stock pursuant to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immediately prior to such liquidation, dissolution, winding up or Deemed Liquidation Event (the amount payable pursuant to this sentence is hereinafter referred to as the “</w:t>
      </w:r>
      <w:r>
        <w:rPr>
          <w:rFonts w:ascii="Times New Roman" w:hAnsi="Times New Roman"/>
          <w:b/>
          <w:color w:val="000000"/>
          <w:sz w:val="24"/>
        </w:rPr>
        <w:t>Series B</w:t>
      </w:r>
      <w:r>
        <w:rPr>
          <w:color w:val="000000"/>
        </w:rPr>
        <w:t xml:space="preserve"> </w:t>
      </w:r>
      <w:r>
        <w:rPr>
          <w:rFonts w:ascii="Times New Roman" w:hAnsi="Times New Roman"/>
          <w:b/>
          <w:color w:val="000000"/>
          <w:sz w:val="24"/>
        </w:rPr>
        <w:t>Liquidation Amount</w:t>
      </w:r>
      <w:r>
        <w:rPr>
          <w:color w:val="000000"/>
        </w:rPr>
        <w:t>”</w:t>
      </w:r>
      <w:r>
        <w:rPr>
          <w:rFonts w:ascii="Times New Roman" w:hAnsi="Times New Roman"/>
          <w:color w:val="000000"/>
          <w:sz w:val="24"/>
        </w:rPr>
        <w:t xml:space="preserve">). If upon any such liquidation, dissolution or winding up of the Corporation or Deemed Liquidation Event, the assets of the Corporation available for distribution to its stockholders shall be insufficient to pay the holders of shares of Series B Preferred Stock the full Series B Liquidation Amount, the holders of shares of Series B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rFonts w:ascii="Times New Roman" w:hAnsi="Times New Roman"/>
          <w:color w:val="000000"/>
          <w:sz w:val="24"/>
          <w:u w:val="single"/>
        </w:rPr>
        <w:t>Preferential Payments to Holders of Series A Preferred Stock, Series A-1 Preferred Stock and Series A-2 Preferred Stock</w:t>
      </w:r>
      <w:r>
        <w:rPr>
          <w:rFonts w:ascii="Times New Roman" w:hAnsi="Times New Roman"/>
          <w:color w:val="000000"/>
          <w:sz w:val="24"/>
        </w:rPr>
        <w:t xml:space="preserve">. In the event of any voluntary or involuntary liquidation, dissolution or winding up of the Corporation, after payment in full of the Series D Liquidation Amounts to the holders of Series D Preferred Stock pursuant to </w:t>
      </w:r>
      <w:r>
        <w:rPr>
          <w:rFonts w:ascii="Times New Roman" w:hAnsi="Times New Roman"/>
          <w:color w:val="000000"/>
          <w:sz w:val="24"/>
          <w:u w:val="single"/>
        </w:rPr>
        <w:t>Subsection 2.1</w:t>
      </w:r>
      <w:r>
        <w:rPr>
          <w:rFonts w:ascii="Times New Roman" w:hAnsi="Times New Roman"/>
          <w:color w:val="000000"/>
          <w:sz w:val="24"/>
        </w:rPr>
        <w:t xml:space="preserve">, the Series C Liquidation Amounts to the holders of Series C Preferred Stock and Series C-1 Preferred Stock pursuant to </w:t>
      </w:r>
      <w:r>
        <w:rPr>
          <w:rFonts w:ascii="Times New Roman" w:hAnsi="Times New Roman"/>
          <w:color w:val="000000"/>
          <w:sz w:val="24"/>
          <w:u w:val="single"/>
        </w:rPr>
        <w:t>Subsection 2.2</w:t>
      </w:r>
      <w:r>
        <w:rPr>
          <w:color w:val="000000"/>
        </w:rPr>
        <w:t xml:space="preserve"> </w:t>
      </w:r>
      <w:r>
        <w:rPr>
          <w:rFonts w:ascii="Times New Roman" w:hAnsi="Times New Roman"/>
          <w:color w:val="000000"/>
          <w:sz w:val="24"/>
        </w:rPr>
        <w:t xml:space="preserve">and the Series B Liquidation Amounts to the holders of Series B Preferred Stock pursuant to </w:t>
      </w:r>
      <w:r>
        <w:rPr>
          <w:rFonts w:ascii="Times New Roman" w:hAnsi="Times New Roman"/>
          <w:color w:val="000000"/>
          <w:sz w:val="24"/>
          <w:u w:val="single"/>
        </w:rPr>
        <w:t>Subsection 2.3</w:t>
      </w:r>
      <w:r>
        <w:rPr>
          <w:color w:val="000000"/>
        </w:rPr>
        <w:t xml:space="preserve"> </w:t>
      </w:r>
      <w:r>
        <w:rPr>
          <w:rFonts w:ascii="Times New Roman" w:hAnsi="Times New Roman"/>
          <w:color w:val="000000"/>
          <w:sz w:val="24"/>
        </w:rPr>
        <w:t xml:space="preserve">above, the holders of shares of Series A Preferred Stock, Series A-1 Preferred Stock and Series A-2 Preferred Stock then outstanding shall be entitled to be paid out of the assets of the Corporation available for distribution to its stockholders, and in the event of a Deemed Liquidation Event, after payment in full of the Series D Liquidation Amounts to the holders of Series D Preferred Stock pursuant to </w:t>
      </w:r>
      <w:r>
        <w:rPr>
          <w:rFonts w:ascii="Times New Roman" w:hAnsi="Times New Roman"/>
          <w:color w:val="000000"/>
          <w:sz w:val="24"/>
          <w:u w:val="single"/>
        </w:rPr>
        <w:t>Subsection 2.1</w:t>
      </w:r>
      <w:r>
        <w:rPr>
          <w:rFonts w:ascii="Times New Roman" w:hAnsi="Times New Roman"/>
          <w:color w:val="000000"/>
          <w:sz w:val="24"/>
        </w:rPr>
        <w:t xml:space="preserve">, the Series C Liquidation Amounts to the holders of Series C Preferred Stock and Series C-1 Preferred Stock pursuant to </w:t>
      </w:r>
      <w:r>
        <w:rPr>
          <w:rFonts w:ascii="Times New Roman" w:hAnsi="Times New Roman"/>
          <w:color w:val="000000"/>
          <w:sz w:val="24"/>
          <w:u w:val="single"/>
        </w:rPr>
        <w:t>Subsection 2.2</w:t>
      </w:r>
      <w:r>
        <w:rPr>
          <w:color w:val="000000"/>
        </w:rPr>
        <w:t xml:space="preserve"> </w:t>
      </w:r>
      <w:r>
        <w:rPr>
          <w:rFonts w:ascii="Times New Roman" w:hAnsi="Times New Roman"/>
          <w:color w:val="000000"/>
          <w:sz w:val="24"/>
        </w:rPr>
        <w:t xml:space="preserve">and the Series B Liquidation Amounts to the holders of Series B Preferred Stock pursuant to </w:t>
      </w:r>
      <w:r>
        <w:rPr>
          <w:rFonts w:ascii="Times New Roman" w:hAnsi="Times New Roman"/>
          <w:color w:val="000000"/>
          <w:sz w:val="24"/>
          <w:u w:val="single"/>
        </w:rPr>
        <w:t>Subsection 2.3</w:t>
      </w:r>
      <w:r>
        <w:rPr>
          <w:color w:val="000000"/>
        </w:rPr>
        <w:t xml:space="preserve"> </w:t>
      </w:r>
      <w:r>
        <w:rPr>
          <w:rFonts w:ascii="Times New Roman" w:hAnsi="Times New Roman"/>
          <w:color w:val="000000"/>
          <w:sz w:val="24"/>
        </w:rPr>
        <w:t xml:space="preserve">above, the holders of shares of Series A Preferred Stock, Series A-1 Preferred Stock and Series A-2 Preferred Stock then outstanding shall be entitled to be paid out of the consideration payable to stockholders in such Deemed Liquidation Event or out of the Available Proceeds, as applicable, in each case, before any payment shall be made to the holders of Common Stock by reason of their ownership thereof, an amount per share of Series A Preferred Stock, Series A-1 Preferred Stock or Series A-2 Preferred Stock, as applicable, equal to the greater of (i) the Applicable Liquidation Price of each such share, plus any dividends declared but unpaid thereon, and (ii) such amount per share as would have been payable had all shares of such series of Preferred Stock been converted into Voting Common Stock pursuant to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immediately prior to such liquidation, dissolution, winding up or Deemed Liquidation Event (the amount payable pursuant to this sentence is hereinafter referred to as the “</w:t>
      </w:r>
      <w:r>
        <w:rPr>
          <w:rFonts w:ascii="Times New Roman" w:hAnsi="Times New Roman"/>
          <w:b/>
          <w:color w:val="000000"/>
          <w:sz w:val="24"/>
        </w:rPr>
        <w:t>Series A Liquidation Amoun</w:t>
      </w:r>
      <w:r>
        <w:rPr>
          <w:rFonts w:ascii="Times New Roman" w:hAnsi="Times New Roman"/>
          <w:color w:val="000000"/>
          <w:sz w:val="24"/>
        </w:rPr>
        <w:t>t” and each of the Series D Liquidation Amount, Series C Liquidation Amount, Series B Liquidation Amount and Series A Liquidation Amount being referred to herein as “</w:t>
      </w:r>
      <w:r>
        <w:rPr>
          <w:rFonts w:ascii="Times New Roman" w:hAnsi="Times New Roman"/>
          <w:b/>
          <w:color w:val="000000"/>
          <w:sz w:val="24"/>
        </w:rPr>
        <w:t>Liquidation Amount</w:t>
      </w:r>
      <w:r>
        <w:rPr>
          <w:color w:val="000000"/>
        </w:rPr>
        <w:t>”</w:t>
      </w:r>
      <w:r>
        <w:rPr>
          <w:rFonts w:ascii="Times New Roman" w:hAnsi="Times New Roman"/>
          <w:color w:val="000000"/>
          <w:sz w:val="24"/>
        </w:rPr>
        <w:t xml:space="preserve">). If upon any such liquidation, dissolution or winding up of the Corporation or Deemed Liquidation Event, the assets of the Corporation available for distribution to its stockholders shall be insufficient to pay the holders of shares of Series A Preferred Stock, Series A-1 Preferred Stock and Series A-2 Preferred Stock the full Series A Liquidation Amount, the holders of shares of Series A Preferred Stock, Series A-1 Preferred Stock and Series A-2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both"/>
        <w:rPr/>
      </w:pPr>
      <w:r>
        <w:rPr>
          <w:rFonts w:ascii="Times New Roman" w:hAnsi="Times New Roman"/>
          <w:color w:val="000000"/>
          <w:sz w:val="24"/>
          <w:u w:val="single"/>
        </w:rPr>
        <w:t>Distribution of Remaining Assets</w:t>
      </w:r>
      <w:r>
        <w:rPr>
          <w:rFonts w:ascii="Times New Roman" w:hAnsi="Times New Roman"/>
          <w:color w:val="000000"/>
          <w:sz w:val="24"/>
        </w:rPr>
        <w:t xml:space="preserve">. In the event of any voluntary or involuntary liquidation, dissolution or winding up of the Corporation or Deemed Liquidation Event, after the payment in full of the Liquidation Amount required to be paid to the holders of shares of Preferred Stock under </w:t>
      </w:r>
      <w:r>
        <w:rPr>
          <w:rFonts w:ascii="Times New Roman" w:hAnsi="Times New Roman"/>
          <w:color w:val="000000"/>
          <w:sz w:val="24"/>
          <w:u w:val="single"/>
        </w:rPr>
        <w:t>Subsection 2.1</w:t>
      </w:r>
      <w:r>
        <w:rPr>
          <w:rFonts w:ascii="Times New Roman" w:hAnsi="Times New Roman"/>
          <w:color w:val="000000"/>
          <w:sz w:val="24"/>
        </w:rPr>
        <w:t xml:space="preserve">, </w:t>
      </w:r>
      <w:r>
        <w:rPr>
          <w:rFonts w:ascii="Times New Roman" w:hAnsi="Times New Roman"/>
          <w:color w:val="000000"/>
          <w:sz w:val="24"/>
          <w:u w:val="single"/>
        </w:rPr>
        <w:t>2.2</w:t>
      </w:r>
      <w:r>
        <w:rPr>
          <w:color w:val="000000"/>
        </w:rPr>
        <w:t xml:space="preserve"> </w:t>
      </w:r>
      <w:r>
        <w:rPr>
          <w:rFonts w:ascii="Times New Roman" w:hAnsi="Times New Roman"/>
          <w:color w:val="000000"/>
          <w:sz w:val="24"/>
          <w:u w:val="single"/>
        </w:rPr>
        <w:t>2.3</w:t>
      </w:r>
      <w:r>
        <w:rPr>
          <w:rFonts w:ascii="Times New Roman" w:hAnsi="Times New Roman"/>
          <w:color w:val="000000"/>
          <w:sz w:val="24"/>
        </w:rPr>
        <w:t xml:space="preserve">, and </w:t>
      </w:r>
      <w:r>
        <w:rPr>
          <w:rFonts w:ascii="Times New Roman" w:hAnsi="Times New Roman"/>
          <w:color w:val="000000"/>
          <w:sz w:val="24"/>
          <w:u w:val="single"/>
        </w:rPr>
        <w:t>2.4</w:t>
      </w:r>
      <w:r>
        <w:rPr>
          <w:rFonts w:ascii="Times New Roman" w:hAnsi="Times New Roman"/>
          <w:color w:val="000000"/>
          <w:sz w:val="24"/>
        </w:rPr>
        <w:t xml:space="preserve">, the remaining assets of the Corporation available for distribution to its stockholders shall be distributed among the holders of shares of Common Stock, pro rata based on the number of shares held by each such holder.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both"/>
        <w:rPr/>
      </w:pPr>
      <w:r>
        <w:rPr>
          <w:rFonts w:ascii="Times New Roman" w:hAnsi="Times New Roman"/>
          <w:color w:val="000000"/>
          <w:sz w:val="24"/>
          <w:u w:val="single"/>
        </w:rPr>
        <w:t>Deemed Liquidation Events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2.6.1</w:t>
      </w:r>
    </w:p>
    <w:p>
      <w:pPr>
        <w:pStyle w:val="TextBody"/>
        <w:bidi w:val="0"/>
        <w:spacing w:before="240" w:after="283"/>
        <w:jc w:val="both"/>
        <w:rPr/>
      </w:pPr>
      <w:r>
        <w:rPr>
          <w:rFonts w:ascii="Times New Roman" w:hAnsi="Times New Roman"/>
          <w:color w:val="000000"/>
          <w:sz w:val="24"/>
          <w:u w:val="single"/>
        </w:rPr>
        <w:t>Definition</w:t>
      </w:r>
      <w:r>
        <w:rPr>
          <w:rFonts w:ascii="Times New Roman" w:hAnsi="Times New Roman"/>
          <w:color w:val="000000"/>
          <w:sz w:val="24"/>
        </w:rPr>
        <w:t>. Each of the following events shall be considered a “</w:t>
      </w:r>
      <w:r>
        <w:rPr>
          <w:rFonts w:ascii="Times New Roman" w:hAnsi="Times New Roman"/>
          <w:b/>
          <w:color w:val="000000"/>
          <w:sz w:val="24"/>
        </w:rPr>
        <w:t>Deemed Liquidation Event</w:t>
      </w:r>
      <w:r>
        <w:rPr>
          <w:color w:val="000000"/>
        </w:rPr>
        <w:t xml:space="preserve">” </w:t>
      </w:r>
      <w:r>
        <w:rPr>
          <w:rFonts w:ascii="Times New Roman" w:hAnsi="Times New Roman"/>
          <w:color w:val="000000"/>
          <w:sz w:val="24"/>
        </w:rPr>
        <w:t>unless (A) the holders of a majority of the outstanding shares of Preferred Stock, consenting or voting (as the case may be) together as a single class on an as-converted to Voting Common Stock basis (the “</w:t>
      </w:r>
      <w:r>
        <w:rPr>
          <w:rFonts w:ascii="Times New Roman" w:hAnsi="Times New Roman"/>
          <w:b/>
          <w:color w:val="000000"/>
          <w:sz w:val="24"/>
        </w:rPr>
        <w:t>Required Holders</w:t>
      </w:r>
      <w:r>
        <w:rPr>
          <w:color w:val="000000"/>
        </w:rPr>
        <w:t>”</w:t>
      </w:r>
      <w:r>
        <w:rPr>
          <w:rFonts w:ascii="Times New Roman" w:hAnsi="Times New Roman"/>
          <w:color w:val="000000"/>
          <w:sz w:val="24"/>
        </w:rPr>
        <w:t>) and (B) the holders of a majority of the outstanding shares of Series D Preferred Stock, consenting or voting (as the case may be) as a separate class (the “</w:t>
      </w:r>
      <w:r>
        <w:rPr>
          <w:rFonts w:ascii="Times New Roman" w:hAnsi="Times New Roman"/>
          <w:b/>
          <w:color w:val="000000"/>
          <w:sz w:val="24"/>
        </w:rPr>
        <w:t>Series D Required Holders</w:t>
      </w:r>
      <w:r>
        <w:rPr>
          <w:color w:val="000000"/>
        </w:rPr>
        <w:t>”</w:t>
      </w:r>
      <w:r>
        <w:rPr>
          <w:rFonts w:ascii="Times New Roman" w:hAnsi="Times New Roman"/>
          <w:color w:val="000000"/>
          <w:sz w:val="24"/>
        </w:rPr>
        <w:t>), waive such treatment by written notice sent to the Corporation at least ten (10) business days prior to the effective date of any such event:`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merger, consolidation, statutory conversion, transfer, domestication, or continuance in which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Corporation is a constituent party or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subsidiary of the Corporation is a constituent party and the Corporation issues shares of its capital stock pursuant to such merger, consolidation, statutory conversion, transfer, domestication, or continuance,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any such merger, consolidation, statutory conversion, transfer, domestication, or continuance involving the Corporation or a subsidiary in which the shares of capital stock of the Corporation outstanding immediately prior to such merger, consolidation, statutory conversion, transfer, domestication, or continuance continue to represent, or are converted into or exchanged for shares of capital stock or other equity interests that represent, immediately following such merger, consolidation, statutory conversion, transfer, domestication, or continuance (in substantially the same proportions and with substantially the same rights and privileges), at least a majority, by voting power, of the capital stock or other equity interests of (1) the surviving or resulting corporation or entity; or (2) if the surviving or resulting corporation or entity is a wholly owned subsidiary of another corporation or entity immediately following such merger, consolidation, statutory conversion, transfer, domestication, or continuance, the parent corporation or entity of such surviving or resulting corporation or entity; or</w:t>
      </w:r>
    </w:p>
    <w:p>
      <w:pPr>
        <w:pStyle w:val="TextBody"/>
        <w:bidi w:val="0"/>
        <w:spacing w:before="240" w:after="283"/>
        <w:jc w:val="both"/>
        <w:rPr>
          <w:rFonts w:ascii="Times New Roman" w:hAnsi="Times New Roman"/>
          <w:sz w:val="20"/>
        </w:rPr>
      </w:pPr>
      <w:r>
        <w:rPr>
          <w:rFonts w:ascii="Times New Roman" w:hAnsi="Times New Roman"/>
          <w:color w:val="000000"/>
          <w:sz w:val="24"/>
        </w:rPr>
        <w:t>(b) 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other disposition (whether by merger, consolidation, statutory conversion, transfer, domestication, or continuance or otherwise, and whether in a single transaction or a series of related transactions) of one or more subsidiaries of the Corporation if substantially all of the assets of the Corporation and its subsidiaries taken as a whole are held by such subsidiary or subsidiaries, except, in all cases, where such sale, lease, transfer, exclusive license or other disposition is to a wholly owned subsidiary of the Corporation.</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2.6.2</w:t>
      </w:r>
    </w:p>
    <w:p>
      <w:pPr>
        <w:pStyle w:val="TextBody"/>
        <w:bidi w:val="0"/>
        <w:spacing w:before="240" w:after="283"/>
        <w:jc w:val="both"/>
        <w:rPr/>
      </w:pPr>
      <w:r>
        <w:rPr>
          <w:rFonts w:ascii="Times New Roman" w:hAnsi="Times New Roman"/>
          <w:color w:val="000000"/>
          <w:sz w:val="24"/>
          <w:u w:val="single"/>
        </w:rPr>
        <w:t>Effecting a Deemed Liquidation Event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 xml:space="preserve">The Corporation shall not have the power to effect a Deemed Liquidation Event referred to in </w:t>
      </w:r>
      <w:r>
        <w:rPr>
          <w:rFonts w:ascii="Times New Roman" w:hAnsi="Times New Roman"/>
          <w:color w:val="000000"/>
          <w:sz w:val="24"/>
          <w:u w:val="single"/>
        </w:rPr>
        <w:t>Subsection 2.6.1(a)(i)</w:t>
      </w:r>
      <w:r>
        <w:rPr>
          <w:color w:val="000000"/>
        </w:rPr>
        <w:t xml:space="preserve"> </w:t>
      </w:r>
      <w:r>
        <w:rPr>
          <w:rFonts w:ascii="Times New Roman" w:hAnsi="Times New Roman"/>
          <w:color w:val="000000"/>
          <w:sz w:val="24"/>
        </w:rPr>
        <w:t>unless the agreement or plan with respect to such transaction, or the terms of such transaction (any such agreement, plan or terms, the “</w:t>
      </w:r>
      <w:r>
        <w:rPr>
          <w:rFonts w:ascii="Times New Roman" w:hAnsi="Times New Roman"/>
          <w:b/>
          <w:color w:val="000000"/>
          <w:sz w:val="24"/>
        </w:rPr>
        <w:t>Transaction Document</w:t>
      </w:r>
      <w:r>
        <w:rPr>
          <w:color w:val="000000"/>
        </w:rPr>
        <w:t>”</w:t>
      </w:r>
      <w:r>
        <w:rPr>
          <w:rFonts w:ascii="Times New Roman" w:hAnsi="Times New Roman"/>
          <w:color w:val="000000"/>
          <w:sz w:val="24"/>
        </w:rPr>
        <w:t xml:space="preserve">) provide that the consideration payable to the stockholders of the Corporation in such Deemed Liquidation Event shall be paid to the holders of capital stock of the Corporation in accordance with </w:t>
      </w:r>
      <w:r>
        <w:rPr>
          <w:rFonts w:ascii="Times New Roman" w:hAnsi="Times New Roman"/>
          <w:color w:val="000000"/>
          <w:sz w:val="24"/>
          <w:u w:val="single"/>
        </w:rPr>
        <w:t>Subsections 2.1</w:t>
      </w:r>
      <w:r>
        <w:rPr>
          <w:rFonts w:ascii="Times New Roman" w:hAnsi="Times New Roman"/>
          <w:color w:val="000000"/>
          <w:sz w:val="24"/>
        </w:rPr>
        <w:t xml:space="preserve">, </w:t>
      </w:r>
      <w:r>
        <w:rPr>
          <w:rFonts w:ascii="Times New Roman" w:hAnsi="Times New Roman"/>
          <w:color w:val="000000"/>
          <w:sz w:val="24"/>
          <w:u w:val="single"/>
        </w:rPr>
        <w:t>2.2,</w:t>
      </w:r>
      <w:r>
        <w:rPr>
          <w:color w:val="000000"/>
        </w:rPr>
        <w:t xml:space="preserve"> </w:t>
      </w:r>
      <w:r>
        <w:rPr>
          <w:rFonts w:ascii="Times New Roman" w:hAnsi="Times New Roman"/>
          <w:color w:val="000000"/>
          <w:sz w:val="24"/>
          <w:u w:val="single"/>
        </w:rPr>
        <w:t>2.3,</w:t>
      </w:r>
      <w:r>
        <w:rPr>
          <w:color w:val="000000"/>
        </w:rPr>
        <w:t xml:space="preserve"> </w:t>
      </w:r>
      <w:r>
        <w:rPr>
          <w:rFonts w:ascii="Times New Roman" w:hAnsi="Times New Roman"/>
          <w:color w:val="000000"/>
          <w:sz w:val="24"/>
          <w:u w:val="single"/>
        </w:rPr>
        <w:t>2.4</w:t>
      </w:r>
      <w:r>
        <w:rPr>
          <w:rFonts w:ascii="Times New Roman" w:hAnsi="Times New Roman"/>
          <w:color w:val="000000"/>
          <w:sz w:val="24"/>
        </w:rPr>
        <w:t xml:space="preserve">, and </w:t>
      </w:r>
      <w:r>
        <w:rPr>
          <w:rFonts w:ascii="Times New Roman" w:hAnsi="Times New Roman"/>
          <w:color w:val="000000"/>
          <w:sz w:val="24"/>
          <w:u w:val="single"/>
        </w:rPr>
        <w:t>2.5</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 xml:space="preserve">In the event of a Deemed Liquidation Event referred to in </w:t>
      </w:r>
      <w:r>
        <w:rPr>
          <w:rFonts w:ascii="Times New Roman" w:hAnsi="Times New Roman"/>
          <w:color w:val="000000"/>
          <w:sz w:val="24"/>
          <w:u w:val="single"/>
        </w:rPr>
        <w:t>Subsection 2.6.1(a)(ii)</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2.6.1(b)</w:t>
      </w:r>
      <w:r>
        <w:rPr>
          <w:rFonts w:ascii="Times New Roman" w:hAnsi="Times New Roman"/>
          <w:color w:val="000000"/>
          <w:sz w:val="24"/>
        </w:rPr>
        <w:t>, if the Corporation does not effect a dissolution of the Corporation under the General Corporation Law within ninety (90) days after such Deemed Liquidation Event, then (i) the Corporation shall send a written notice to each holder of Preferred Stock no later than the ninetieth (90</w:t>
      </w:r>
      <w:r>
        <w:rPr>
          <w:rFonts w:ascii="Times New Roman" w:hAnsi="Times New Roman"/>
          <w:color w:val="000000"/>
          <w:sz w:val="16"/>
        </w:rPr>
        <w:t>th</w:t>
      </w:r>
      <w:r>
        <w:rPr>
          <w:rFonts w:ascii="Times New Roman" w:hAnsi="Times New Roman"/>
          <w:color w:val="000000"/>
          <w:sz w:val="24"/>
        </w:rPr>
        <w:t>) day after the Deemed Liquidation Event advising such holders of their right (and the requirements to be met to secure such right) pursuant to the terms of the immediately following subclause (ii) to require the redemption of such shares of Preferred Stock, and (ii) if the Series D Required Holders so request in a written instrument delivered to the Corporation not later than one hundred twenty (120) days after such Deemed Liquidation Event, the Corporation shall use the consideration received by the Corporation from such Deemed Liquidation Event (net of any retained liabilities associated with the assets sold or technology licensed, as determined in good faith by the Board of Directors),</w:t>
      </w:r>
      <w:r>
        <w:rPr>
          <w:color w:val="000000"/>
        </w:rPr>
        <w:t xml:space="preserve"> </w:t>
      </w:r>
      <w:r>
        <w:rPr>
          <w:rFonts w:ascii="Times New Roman" w:hAnsi="Times New Roman"/>
          <w:color w:val="000000"/>
          <w:sz w:val="24"/>
        </w:rPr>
        <w:t>together with any other assets of the Corporation available for distribution to its stockholders, all to the extent permitted by Delaware law governing distributions to stockholders (the “</w:t>
      </w:r>
      <w:r>
        <w:rPr>
          <w:rFonts w:ascii="Times New Roman" w:hAnsi="Times New Roman"/>
          <w:b/>
          <w:color w:val="000000"/>
          <w:sz w:val="24"/>
        </w:rPr>
        <w:t>Available Proceeds</w:t>
      </w:r>
      <w:r>
        <w:rPr>
          <w:color w:val="000000"/>
        </w:rPr>
        <w:t>”</w:t>
      </w:r>
      <w:r>
        <w:rPr>
          <w:rFonts w:ascii="Times New Roman" w:hAnsi="Times New Roman"/>
          <w:color w:val="000000"/>
          <w:sz w:val="24"/>
        </w:rPr>
        <w:t>), on the one hundred fiftieth (150</w:t>
      </w:r>
      <w:r>
        <w:rPr>
          <w:rFonts w:ascii="Times New Roman" w:hAnsi="Times New Roman"/>
          <w:color w:val="000000"/>
          <w:sz w:val="16"/>
        </w:rPr>
        <w:t>th</w:t>
      </w:r>
      <w:r>
        <w:rPr>
          <w:rFonts w:ascii="Times New Roman" w:hAnsi="Times New Roman"/>
          <w:color w:val="000000"/>
          <w:sz w:val="24"/>
        </w:rPr>
        <w:t>) day after such Deemed Liquidation Event (the “</w:t>
      </w:r>
      <w:r>
        <w:rPr>
          <w:rFonts w:ascii="Times New Roman" w:hAnsi="Times New Roman"/>
          <w:b/>
          <w:color w:val="000000"/>
          <w:sz w:val="24"/>
        </w:rPr>
        <w:t>Redemption Date</w:t>
      </w:r>
      <w:r>
        <w:rPr>
          <w:color w:val="000000"/>
        </w:rPr>
        <w:t>”</w:t>
      </w:r>
      <w:r>
        <w:rPr>
          <w:rFonts w:ascii="Times New Roman" w:hAnsi="Times New Roman"/>
          <w:color w:val="000000"/>
          <w:sz w:val="24"/>
        </w:rPr>
        <w:t xml:space="preserve">), to redeem all outstanding shares of Preferred Stock at a price per share equal to the Liquidation Amount applicable to such shares. Notwithstanding the foregoing, in the event of a redemption pursuant to the preceding sentence, if the Available Proceeds are not sufficient to redeem all outstanding shares of Preferred Stock, the Corporation shall redeem (i) before any shares of Series A Preferred Stock, Series A-1 Preferred Stock, Series A-2 Preferred Stock, Series B Preferred Stock, Series C Preferred Stock or Series C-1 Preferred Stock shall be redeemed, a pro rata portion of each holder’s shares of Series D Preferred Stock to the fullest extent of such Available Proceeds in proportion to the respective amounts which would otherwise be payable in respect of the shares of Series D Preferred Stock to be redeemed if the Available Proceeds were sufficient to redeem all such shares of Series D Preferred Stock, (ii) after redemption in full of all outstanding shares of Series D Preferred Stock and before any shares of Series A Preferred Stock, Series A-1 Preferred Stock, Series A-2 Preferred Stock or Series B Preferred Stock shall be redeemed, a pro rata portion of each holder’s shares of Series C Preferred Stock and Series C-1 Preferred Stock to the fullest extent of such Available Proceeds in proportion to the respective amounts which would otherwise be payable in respect of the shares of Series C Preferred Stock and Series C-1 Preferred Stock to be redeemed if the Available Proceeds remaining after redemption of all outstanding shares of Series D Preferred Stock were sufficient to redeem all such shares of Series C Preferred Stock and Series C-1 Preferred Stock, (iii) after redemption in full of all outstanding shares of Series D Preferred Stock, Series C Preferred Stock and Series C-1 Preferred Stock and before any shares of Series A Preferred Stock, Series A-1 Preferred Stock or Series A-2 Preferred Stock shall be redeemed, a pro rata portion of each holder’s shares of Series B Preferred Stock to the fullest extent of such Available Proceeds in proportion to the respective amounts which would otherwise be payable in respect of the shares of Series B Preferred Stock to be redeemed if the Available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 xml:space="preserve">Proceeds remaining after redemption of all outstanding shares of Series D Preferred Stock, Series C Preferred Stock and Series C-1 Preferred Stock were sufficient to redeem all such shares of Series B Preferred Stock and (iv) after redemption in full of all outstanding shares of Series D Preferred Stock, Series C Preferred Stock, Series C-1 Preferred Stock and Series B Preferred Stock, a pro rata portion of each holder’s shares of Series A Preferred Stock, Series A-1 Preferred Stock and Series A-2 Preferred Stock, to the fullest extent of any remaining Available Proceeds, based on the respective amounts which would otherwise be payable in respect of the shares of Series A Preferred Stock, Series A-1 Preferred Stock and Series A-2 Preferred Stock to be redeemed if the Available Proceeds remaining after redemption of all outstanding shares of Series D Preferred Stock, Series C Preferred Stock, Series C-1 Preferred Stock and Series B Preferred Stock were sufficient to redeem all such shares of Series A Preferred Stock, Series A-1 Preferred Stock and Series A-2 Preferred Stock, and (v) shall redeem the remaining shares as soon as it may lawfully do so under Delaware law governing distributions to stockholders. The Corporation shall send written notice of the redemption pursuant to this </w:t>
      </w:r>
      <w:r>
        <w:rPr>
          <w:rFonts w:ascii="Times New Roman" w:hAnsi="Times New Roman"/>
          <w:color w:val="000000"/>
          <w:sz w:val="24"/>
          <w:u w:val="single"/>
        </w:rPr>
        <w:t>Subsection 2.6.2(b)</w:t>
      </w:r>
      <w:r>
        <w:rPr>
          <w:color w:val="000000"/>
        </w:rPr>
        <w:t xml:space="preserve"> </w:t>
      </w:r>
      <w:r>
        <w:rPr>
          <w:rFonts w:ascii="Times New Roman" w:hAnsi="Times New Roman"/>
          <w:color w:val="000000"/>
          <w:sz w:val="24"/>
        </w:rPr>
        <w:t>to each holder of Preferred Stock not less than forty (40) days prior to the Redemption Date, which notice shall state (the “</w:t>
      </w:r>
      <w:r>
        <w:rPr>
          <w:rFonts w:ascii="Times New Roman" w:hAnsi="Times New Roman"/>
          <w:b/>
          <w:color w:val="000000"/>
          <w:sz w:val="24"/>
        </w:rPr>
        <w:t>Redemption Notice</w:t>
      </w:r>
      <w:r>
        <w:rPr>
          <w:color w:val="000000"/>
        </w:rPr>
        <w:t>”</w:t>
      </w:r>
      <w:r>
        <w:rPr>
          <w:rFonts w:ascii="Times New Roman" w:hAnsi="Times New Roman"/>
          <w:color w:val="000000"/>
          <w:sz w:val="24"/>
        </w:rPr>
        <w:t xml:space="preserve">) (I) the number of shares of Preferred Stock held by the holder that the Corporation shall redeem on the Redemption Date specified in the Redemption Notice, (II) the Redemption Date and redemption price, (III) the date upon which the holder’s right to convert such shares terminates (as determined in accordance with </w:t>
      </w:r>
      <w:r>
        <w:rPr>
          <w:rFonts w:ascii="Times New Roman" w:hAnsi="Times New Roman"/>
          <w:color w:val="000000"/>
          <w:sz w:val="24"/>
          <w:u w:val="single"/>
        </w:rPr>
        <w:t>Subsection 4.1</w:t>
      </w:r>
      <w:r>
        <w:rPr>
          <w:rFonts w:ascii="Times New Roman" w:hAnsi="Times New Roman"/>
          <w:color w:val="000000"/>
          <w:sz w:val="24"/>
        </w:rPr>
        <w:t xml:space="preserve">) and (IV) that the holder is to surrender to the Corporation, in the manner and at the place designated, his, her or its certificate or certificates representing the shares of Preferred Stock to be redeemed. On or before the Redemption Date, each holder of shares of Preferred Stock shall surrender the certificate or certificates representing such shares, if any (or, if such certificate has been lost, stolen or destroyed, a lost certificate affidavit), to the Corporation, in the manner and at the place designated in the Redemption Notice, and thereupon the redemption price for such shares shall be payable to the order of the person whose name appears on such certificate or certificates as the owner thereof. Prior to the distribution or redemption provided for in this </w:t>
      </w:r>
      <w:r>
        <w:rPr>
          <w:rFonts w:ascii="Times New Roman" w:hAnsi="Times New Roman"/>
          <w:color w:val="000000"/>
          <w:sz w:val="24"/>
          <w:u w:val="single"/>
        </w:rPr>
        <w:t>Subsection 2.6.2(b)</w:t>
      </w:r>
      <w:r>
        <w:rPr>
          <w:rFonts w:ascii="Times New Roman" w:hAnsi="Times New Roman"/>
          <w:color w:val="000000"/>
          <w:sz w:val="24"/>
        </w:rPr>
        <w:t>, the Corporation shall not expend or dissipate the consideration received from such Deemed Liquidation Event, except to discharge expenses incurred in connection with such Deemed Liquidation Event or in the ordinary course of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2.6.3</w:t>
      </w:r>
    </w:p>
    <w:p>
      <w:pPr>
        <w:pStyle w:val="TextBody"/>
        <w:bidi w:val="0"/>
        <w:spacing w:before="240" w:after="283"/>
        <w:jc w:val="both"/>
        <w:rPr/>
      </w:pPr>
      <w:r>
        <w:rPr>
          <w:rFonts w:ascii="Times New Roman" w:hAnsi="Times New Roman"/>
          <w:color w:val="000000"/>
          <w:sz w:val="24"/>
          <w:u w:val="single"/>
        </w:rPr>
        <w:t>Amount Deemed Paid or Distributed</w:t>
      </w:r>
      <w:r>
        <w:rPr>
          <w:rFonts w:ascii="Times New Roman" w:hAnsi="Times New Roman"/>
          <w:color w:val="000000"/>
          <w:sz w:val="24"/>
        </w:rPr>
        <w:t>. The amount deemed paid or distributed to the holders of capital stock of the Corporation upon any such Deemed Liquidation Event or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of Directors.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2.6.4</w:t>
      </w:r>
    </w:p>
    <w:p>
      <w:pPr>
        <w:pStyle w:val="TextBody"/>
        <w:bidi w:val="0"/>
        <w:spacing w:before="240" w:after="283"/>
        <w:jc w:val="both"/>
        <w:rPr/>
      </w:pPr>
      <w:r>
        <w:rPr>
          <w:rFonts w:ascii="Times New Roman" w:hAnsi="Times New Roman"/>
          <w:color w:val="000000"/>
          <w:sz w:val="24"/>
          <w:u w:val="single"/>
        </w:rPr>
        <w:t>Allocation of Escrow and Contingent Consideration</w:t>
      </w:r>
      <w:r>
        <w:rPr>
          <w:rFonts w:ascii="Times New Roman" w:hAnsi="Times New Roman"/>
          <w:color w:val="000000"/>
          <w:sz w:val="24"/>
        </w:rPr>
        <w:t xml:space="preserve">. In the event of a Deemed Liquidation Event pursuant to </w:t>
      </w:r>
      <w:r>
        <w:rPr>
          <w:rFonts w:ascii="Times New Roman" w:hAnsi="Times New Roman"/>
          <w:color w:val="000000"/>
          <w:sz w:val="24"/>
          <w:u w:val="single"/>
        </w:rPr>
        <w:t>Subsection 2.6.1(a)(i)</w:t>
      </w:r>
      <w:r>
        <w:rPr>
          <w:rFonts w:ascii="Times New Roman" w:hAnsi="Times New Roman"/>
          <w:color w:val="000000"/>
          <w:sz w:val="24"/>
        </w:rPr>
        <w:t>, if any portion of the consideration payable to the stockholders of the Corporation is payable only upon satisfaction of contingencies (“</w:t>
      </w:r>
      <w:r>
        <w:rPr>
          <w:rFonts w:ascii="Times New Roman" w:hAnsi="Times New Roman"/>
          <w:b/>
          <w:color w:val="000000"/>
          <w:sz w:val="24"/>
        </w:rPr>
        <w:t>Additional Consideration</w:t>
      </w:r>
      <w:r>
        <w:rPr>
          <w:color w:val="000000"/>
        </w:rPr>
        <w:t>”</w:t>
      </w:r>
      <w:r>
        <w:rPr>
          <w:rFonts w:ascii="Times New Roman" w:hAnsi="Times New Roman"/>
          <w:color w:val="000000"/>
          <w:sz w:val="24"/>
        </w:rPr>
        <w:t>), the Transaction Document shall provide that (a) the portion of such consideration that is not Additional Consideration (such portion, the “</w:t>
      </w:r>
      <w:r>
        <w:rPr>
          <w:rFonts w:ascii="Times New Roman" w:hAnsi="Times New Roman"/>
          <w:b/>
          <w:color w:val="000000"/>
          <w:sz w:val="24"/>
        </w:rPr>
        <w:t>Initial Consideration</w:t>
      </w:r>
      <w:r>
        <w:rPr>
          <w:color w:val="000000"/>
        </w:rPr>
        <w:t>”</w:t>
      </w:r>
      <w:r>
        <w:rPr>
          <w:rFonts w:ascii="Times New Roman" w:hAnsi="Times New Roman"/>
          <w:color w:val="000000"/>
          <w:sz w:val="24"/>
        </w:rPr>
        <w:t xml:space="preserve">) shall be allocated among the holders of capital stock of the Corporation in accordance with </w:t>
      </w:r>
      <w:r>
        <w:rPr>
          <w:rFonts w:ascii="Times New Roman" w:hAnsi="Times New Roman"/>
          <w:color w:val="000000"/>
          <w:sz w:val="24"/>
          <w:u w:val="single"/>
        </w:rPr>
        <w:t>Subsections 2.1</w:t>
      </w:r>
      <w:r>
        <w:rPr>
          <w:rFonts w:ascii="Times New Roman" w:hAnsi="Times New Roman"/>
          <w:color w:val="000000"/>
          <w:sz w:val="24"/>
        </w:rPr>
        <w:t xml:space="preserve">, </w:t>
      </w:r>
      <w:r>
        <w:rPr>
          <w:rFonts w:ascii="Times New Roman" w:hAnsi="Times New Roman"/>
          <w:color w:val="000000"/>
          <w:sz w:val="24"/>
          <w:u w:val="single"/>
        </w:rPr>
        <w:t>2.2,</w:t>
      </w:r>
      <w:r>
        <w:rPr>
          <w:color w:val="000000"/>
        </w:rPr>
        <w:t xml:space="preserve"> </w:t>
      </w:r>
      <w:r>
        <w:rPr>
          <w:rFonts w:ascii="Times New Roman" w:hAnsi="Times New Roman"/>
          <w:color w:val="000000"/>
          <w:sz w:val="24"/>
          <w:u w:val="single"/>
        </w:rPr>
        <w:t>2.3</w:t>
      </w:r>
      <w:r>
        <w:rPr>
          <w:rFonts w:ascii="Times New Roman" w:hAnsi="Times New Roman"/>
          <w:color w:val="000000"/>
          <w:sz w:val="24"/>
        </w:rPr>
        <w:t xml:space="preserve">, </w:t>
      </w:r>
      <w:r>
        <w:rPr>
          <w:rFonts w:ascii="Times New Roman" w:hAnsi="Times New Roman"/>
          <w:color w:val="000000"/>
          <w:sz w:val="24"/>
          <w:u w:val="single"/>
        </w:rPr>
        <w:t>2.4</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2.5</w:t>
      </w:r>
      <w:r>
        <w:rPr>
          <w:color w:val="000000"/>
        </w:rPr>
        <w:t xml:space="preserve"> </w:t>
      </w:r>
      <w:r>
        <w:rPr>
          <w:rFonts w:ascii="Times New Roman" w:hAnsi="Times New Roman"/>
          <w:color w:val="000000"/>
          <w:sz w:val="24"/>
        </w:rPr>
        <w:t xml:space="preserve">as if the Initial Consideration were the only consideration payable in connection with such Deemed Liquidation Event; and (b) any Additional Consideration which becomes payable to the stockholders of the Corporation upon satisfaction of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 xml:space="preserve">such contingencies shall be allocated among the holders of capital stock of the Corporation in accordance with </w:t>
      </w:r>
      <w:r>
        <w:rPr>
          <w:rFonts w:ascii="Times New Roman" w:hAnsi="Times New Roman"/>
          <w:color w:val="000000"/>
          <w:sz w:val="24"/>
          <w:u w:val="single"/>
        </w:rPr>
        <w:t>Subsections 2.1</w:t>
      </w:r>
      <w:r>
        <w:rPr>
          <w:rFonts w:ascii="Times New Roman" w:hAnsi="Times New Roman"/>
          <w:color w:val="000000"/>
          <w:sz w:val="24"/>
        </w:rPr>
        <w:t xml:space="preserve">, </w:t>
      </w:r>
      <w:r>
        <w:rPr>
          <w:rFonts w:ascii="Times New Roman" w:hAnsi="Times New Roman"/>
          <w:color w:val="000000"/>
          <w:sz w:val="24"/>
          <w:u w:val="single"/>
        </w:rPr>
        <w:t>2.2,</w:t>
      </w:r>
      <w:r>
        <w:rPr>
          <w:color w:val="000000"/>
        </w:rPr>
        <w:t xml:space="preserve"> </w:t>
      </w:r>
      <w:r>
        <w:rPr>
          <w:rFonts w:ascii="Times New Roman" w:hAnsi="Times New Roman"/>
          <w:color w:val="000000"/>
          <w:sz w:val="24"/>
          <w:u w:val="single"/>
        </w:rPr>
        <w:t>2.3</w:t>
      </w:r>
      <w:r>
        <w:rPr>
          <w:rFonts w:ascii="Times New Roman" w:hAnsi="Times New Roman"/>
          <w:color w:val="000000"/>
          <w:sz w:val="24"/>
        </w:rPr>
        <w:t xml:space="preserve">, </w:t>
      </w:r>
      <w:r>
        <w:rPr>
          <w:rFonts w:ascii="Times New Roman" w:hAnsi="Times New Roman"/>
          <w:color w:val="000000"/>
          <w:sz w:val="24"/>
          <w:u w:val="single"/>
        </w:rPr>
        <w:t>2.4</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2.5</w:t>
      </w:r>
      <w:r>
        <w:rPr>
          <w:color w:val="000000"/>
        </w:rPr>
        <w:t xml:space="preserve"> </w:t>
      </w:r>
      <w:r>
        <w:rPr>
          <w:rFonts w:ascii="Times New Roman" w:hAnsi="Times New Roman"/>
          <w:color w:val="000000"/>
          <w:sz w:val="24"/>
        </w:rPr>
        <w:t xml:space="preserve">after taking into account the previous payment of the Initial Consideration as part of the same transaction. For the purposes of this </w:t>
      </w:r>
      <w:r>
        <w:rPr>
          <w:rFonts w:ascii="Times New Roman" w:hAnsi="Times New Roman"/>
          <w:color w:val="000000"/>
          <w:sz w:val="24"/>
          <w:u w:val="single"/>
        </w:rPr>
        <w:t>Subsection 2.6.4</w:t>
      </w:r>
      <w:r>
        <w:rPr>
          <w:rFonts w:ascii="Times New Roman" w:hAnsi="Times New Roman"/>
          <w:color w:val="000000"/>
          <w:sz w:val="24"/>
        </w:rPr>
        <w:t>, consideration placed into escrow or retained as a holdback to be available for satisfaction of indemnification or similar obligations in connection with such Deemed Liquidation Event shall be deemed to be Additional Consideration.</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Voting</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pPr>
      <w:r>
        <w:rPr>
          <w:rFonts w:ascii="Times New Roman" w:hAnsi="Times New Roman"/>
          <w:color w:val="000000"/>
          <w:sz w:val="24"/>
          <w:u w:val="single"/>
        </w:rPr>
        <w:t>General; Classes and Voting</w:t>
      </w:r>
      <w:r>
        <w:rPr>
          <w:rFonts w:ascii="Times New Roman" w:hAnsi="Times New Roman"/>
          <w:color w:val="000000"/>
          <w:sz w:val="24"/>
        </w:rPr>
        <w:t>. On any matter presented to the stockholders of the Corporation for their action or consideration at any meeting of stockholders of the Corporation (or by written consent of stockholders in lieu of meeting), each holder of outstanding shares of a series of Preferred Stock shall be entitled to cast the number of votes equal to the number of whole shares of Voting Common Stock into which the shares of such series of Preferred Stock held by such holder are convertible as of the record date for determining stockholders entitled to vote on such matter. Except as provided by law or by the other provisions of the Certificate of Incorporation, holders of Preferred Stock shall vote together with the holders of Voting Common Stock as a single class and on an as converted to Voting Common Stock basis.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pPr>
      <w:r>
        <w:rPr>
          <w:rFonts w:ascii="Times New Roman" w:hAnsi="Times New Roman"/>
          <w:color w:val="000000"/>
          <w:sz w:val="24"/>
          <w:u w:val="single"/>
        </w:rPr>
        <w:t>Election of Directors</w:t>
      </w:r>
      <w:r>
        <w:rPr>
          <w:rFonts w:ascii="Times New Roman" w:hAnsi="Times New Roman"/>
          <w:color w:val="000000"/>
          <w:sz w:val="24"/>
        </w:rPr>
        <w:t>. The holders of record of the shares of Series A Preferred Stock, Series A-1 Preferred Stock and Series A-2 Preferred Stock exclusively and voting together as a single class on an as-converted to Voting Common Stock basis, shall be entitled to elect two (2) directors of the Corporation (the “</w:t>
      </w:r>
      <w:r>
        <w:rPr>
          <w:rFonts w:ascii="Times New Roman" w:hAnsi="Times New Roman"/>
          <w:b/>
          <w:color w:val="000000"/>
          <w:sz w:val="24"/>
        </w:rPr>
        <w:t>Series A Directors</w:t>
      </w:r>
      <w:r>
        <w:rPr>
          <w:color w:val="000000"/>
        </w:rPr>
        <w:t>”</w:t>
      </w:r>
      <w:r>
        <w:rPr>
          <w:rFonts w:ascii="Times New Roman" w:hAnsi="Times New Roman"/>
          <w:color w:val="000000"/>
          <w:sz w:val="24"/>
        </w:rPr>
        <w:t>), the holders of record of the shares of Series D Preferred Stock, exclusively and as a separate class, shall be entitled to elect one (1) director of the Corporation (the “</w:t>
      </w:r>
      <w:r>
        <w:rPr>
          <w:rFonts w:ascii="Times New Roman" w:hAnsi="Times New Roman"/>
          <w:b/>
          <w:color w:val="000000"/>
          <w:sz w:val="24"/>
        </w:rPr>
        <w:t>Series D Director</w:t>
      </w:r>
      <w:r>
        <w:rPr>
          <w:color w:val="000000"/>
        </w:rPr>
        <w:t>”</w:t>
      </w:r>
      <w:r>
        <w:rPr>
          <w:rFonts w:ascii="Times New Roman" w:hAnsi="Times New Roman"/>
          <w:color w:val="000000"/>
          <w:sz w:val="24"/>
        </w:rPr>
        <w:t>, and together with the Series A Directors, the “</w:t>
      </w:r>
      <w:r>
        <w:rPr>
          <w:rFonts w:ascii="Times New Roman" w:hAnsi="Times New Roman"/>
          <w:b/>
          <w:color w:val="000000"/>
          <w:sz w:val="24"/>
        </w:rPr>
        <w:t>Preferred Directors</w:t>
      </w:r>
      <w:r>
        <w:rPr>
          <w:color w:val="000000"/>
        </w:rPr>
        <w:t>”</w:t>
      </w:r>
      <w:r>
        <w:rPr>
          <w:rFonts w:ascii="Times New Roman" w:hAnsi="Times New Roman"/>
          <w:color w:val="000000"/>
          <w:sz w:val="24"/>
        </w:rPr>
        <w:t xml:space="preserve">); provided, however, for administrative convenience, the initial Series D Director may also be appointed by the Board of Directors in connection with the approval of the initial issuance of Series D Preferred Stock without a separate action by the holders of Series D Preferred Stock.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Preferred Stock fail to elect a sufficient number of directors to fill all directorships for which they are entitled to elect directors, voting exclusively and as a separate class, pursuant to the first sentence of this </w:t>
      </w:r>
      <w:r>
        <w:rPr>
          <w:rFonts w:ascii="Times New Roman" w:hAnsi="Times New Roman"/>
          <w:color w:val="000000"/>
          <w:sz w:val="24"/>
          <w:u w:val="single"/>
        </w:rPr>
        <w:t>Subsection 3.2</w:t>
      </w:r>
      <w:r>
        <w:rPr>
          <w:rFonts w:ascii="Times New Roman" w:hAnsi="Times New Roman"/>
          <w:color w:val="000000"/>
          <w:sz w:val="24"/>
        </w:rPr>
        <w:t>, then any directorship not so filled shall remain vacant until such time as the holders of the Preferred Stock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w:t>
      </w:r>
      <w:r>
        <w:rPr>
          <w:color w:val="000000"/>
        </w:rPr>
        <w:t xml:space="preserve"> </w:t>
      </w:r>
      <w:r>
        <w:rPr>
          <w:rFonts w:ascii="Times New Roman" w:hAnsi="Times New Roman"/>
          <w:color w:val="000000"/>
          <w:sz w:val="24"/>
        </w:rPr>
        <w:t xml:space="preserve">class. The holders of record of the shares of Voting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hAnsi="Times New Roman"/>
          <w:color w:val="000000"/>
          <w:sz w:val="24"/>
          <w:u w:val="single"/>
        </w:rPr>
        <w:t>Subsection 3.2</w:t>
      </w:r>
      <w:r>
        <w:rPr>
          <w:rFonts w:ascii="Times New Roman" w:hAnsi="Times New Roman"/>
          <w:color w:val="000000"/>
          <w:sz w:val="24"/>
        </w:rPr>
        <w:t>,</w:t>
      </w:r>
      <w:r>
        <w:rPr>
          <w:color w:val="000000"/>
        </w:rPr>
        <w:t xml:space="preserve"> </w:t>
      </w:r>
      <w:r>
        <w:rPr>
          <w:rFonts w:ascii="Times New Roman" w:hAnsi="Times New Roman"/>
          <w:color w:val="000000"/>
          <w:sz w:val="24"/>
        </w:rPr>
        <w:t xml:space="preserve">a vacancy in any directorship filled by the holders of any class or classes or series shall be filled only by vote or written consent in lieu of a meeting of the holders of such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 xml:space="preserve">class or classes or series or by any remaining director or directors elected by the holders of such class or classes or series pursuant to this </w:t>
      </w:r>
      <w:r>
        <w:rPr>
          <w:rFonts w:ascii="Times New Roman" w:hAnsi="Times New Roman"/>
          <w:color w:val="000000"/>
          <w:sz w:val="24"/>
          <w:u w:val="single"/>
        </w:rPr>
        <w:t>Subsection 3.2</w:t>
      </w:r>
      <w:r>
        <w:rPr>
          <w:rFonts w:ascii="Times New Roman" w:hAnsi="Times New Roman"/>
          <w:color w:val="000000"/>
          <w:sz w:val="24"/>
        </w:rPr>
        <w:t>.</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w:t>
      </w:r>
    </w:p>
    <w:p>
      <w:pPr>
        <w:pStyle w:val="TextBody"/>
        <w:bidi w:val="0"/>
        <w:spacing w:before="240" w:after="283"/>
        <w:jc w:val="both"/>
        <w:rPr/>
      </w:pPr>
      <w:r>
        <w:rPr>
          <w:rFonts w:ascii="Times New Roman" w:hAnsi="Times New Roman"/>
          <w:color w:val="000000"/>
          <w:sz w:val="24"/>
          <w:u w:val="single"/>
        </w:rPr>
        <w:t>Preferred Stock Protective Provisions</w:t>
      </w:r>
      <w:r>
        <w:rPr>
          <w:rFonts w:ascii="Times New Roman" w:hAnsi="Times New Roman"/>
          <w:color w:val="000000"/>
          <w:sz w:val="24"/>
        </w:rPr>
        <w:t xml:space="preserve">. For so long as any shares of Preferred Stock are outstanding, the Corporation shall not, either directly or indirectly by amendment, merger, consolidation, domestication, transfer, continuance, reorganization, recapitalization, reclassification, waiver, statutory conversion or otherwise, do any of the following without (in addition to any other vote required by law or the Certificate of Incorporation) the written consent or affirmative vote of (i) the Required Holders and (ii) the Series D Required Holders, in each case, given in writing or by vote at a meeting, and any such act or transaction entered into without such consent or vote shall be null and void </w:t>
      </w:r>
      <w:r>
        <w:rPr>
          <w:rFonts w:ascii="Times New Roman" w:hAnsi="Times New Roman"/>
          <w:i/>
          <w:color w:val="000000"/>
          <w:sz w:val="24"/>
        </w:rPr>
        <w:t>ab initio</w:t>
      </w:r>
      <w:r>
        <w:rPr>
          <w:rFonts w:ascii="Times New Roman" w:hAnsi="Times New Roman"/>
          <w:color w:val="000000"/>
          <w:sz w:val="24"/>
        </w:rPr>
        <w:t xml:space="preserve">, and of no force or effect: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liquidate, dissolve or wind up the business and affairs of the Corporation or effect any Deemed Liquidation Event;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amend, alter or repeal any provision of the Certificate of Incorporation or Bylaws of the Corporation in a manner that adversely affects the powers, preferences or rights of the Preferred Stock (or any series thereof) or (ii) effect any alteration, repeal, change or amendment of the rights, privileges or preferences of the Preferred Stock (or any series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create, or authorize the creation of, any additional class or series of capital stock, or issue or obligate itself to issue shares of, or reclassify, any capital stock, unless the same ranks junior to the Preferred Stock with respect its rights, preferences and privileges, or (ii) increase the authorized number of shares of Preferred Stock or any additional class or series of capital stock of the Corporation unless the same ranks junior to the Preferred Stock with respect to its rights, preferences and privileges;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Voting Common Stock solely in the form of additional shares of Voting Common Stock and (iii) repurchases of stock from former employees, officers, directors, consultants or other persons who performed services, directly or indirectly through service providers, for the Corporation or any subsidiary in connection with the cessation of such employment or service at no greater than the original purchase price thereof;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create, assume, incur or guarantee indebtedness for borrowed money, if the aggregate indebtedness of the Corporation and its subsidiaries for borrowed money following such action would exceed $2,000,000 or (ii) grant any security interest in the assets of the Corporation and its subsidiaries (except for purchase money liens or statutory liens of landlords, mechanics, materialmen, workmen, warehousemen and other similar persons arising or incurred in the ordinary course of business), or in each case of the foregoing clauses (i) and (ii), permit any subsidiary to take any such 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create, or hold capital stock in, any subsidiary that is not wholly owned (either directly or through one (1) or more other subsidiaries) by the Corporation or dispose of any stock of any subsidiary of the Corporation, or permit any direct or indirect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subsidiary to sell, lease, transfer, exclusively license or otherwise dispose (in a single transaction or series of related transactions) of all or substantially all of the assets of such subsidiary to the extent such assets are material to the business of the Corporation and its subsidiaries taken as a whole as determined by a majority of the directors then serving on the Board of Directors, including the Mutual Independent Director (as defined in the Voting Agreement);</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3.3.7</w:t>
      </w:r>
    </w:p>
    <w:p>
      <w:pPr>
        <w:pStyle w:val="TextBody"/>
        <w:bidi w:val="0"/>
        <w:spacing w:before="240" w:after="283"/>
        <w:jc w:val="both"/>
        <w:rPr/>
      </w:pPr>
      <w:r>
        <w:rPr>
          <w:rFonts w:ascii="Times New Roman" w:hAnsi="Times New Roman"/>
          <w:color w:val="000000"/>
          <w:sz w:val="24"/>
        </w:rPr>
        <w:t>enter into or be a party to any transaction with any director, officer, employee or stockholder of the Corporation or any family member or affiliate of any such director, officer, employee or stockholder, except for (i) transactions contemplated by the Series D Preferred Stock Purchase Agreement, dated June 16, 2025, among the Corporation and the Purchasers named therein (the “</w:t>
      </w:r>
      <w:r>
        <w:rPr>
          <w:rFonts w:ascii="Times New Roman" w:hAnsi="Times New Roman"/>
          <w:b/>
          <w:color w:val="000000"/>
          <w:sz w:val="24"/>
        </w:rPr>
        <w:t>Series D Purchase Agreement</w:t>
      </w:r>
      <w:r>
        <w:rPr>
          <w:color w:val="000000"/>
        </w:rPr>
        <w:t>”</w:t>
      </w:r>
      <w:r>
        <w:rPr>
          <w:rFonts w:ascii="Times New Roman" w:hAnsi="Times New Roman"/>
          <w:color w:val="000000"/>
          <w:sz w:val="24"/>
        </w:rPr>
        <w:t>), (ii) transactions involving equity incentive awards issued or to be issued under any equity incentive plan of the Corporation, or (iii) transactions made in the ordinary course of business pursuant to reasonable requirements of the Corporation’s business upon fair and reasonable terms that (with respect to this clause (iii) only) are approved by the Board of Directors, including a majority of the disinterested members of the Board of Directors;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3.3.8</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increase or decrease the authorized number of directors constituting the Board of Directors, except as expressly provided for in the Voting Agreement, or change the number of votes entitled to be cast by any director or directors on any matter;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3.3.9</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consummate an initial public offering of Common Stock that does not constitute a Qualified IPO;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3.3.10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increase the number of shares of Common Stock reserved for issuance pursuant to any equity incentive plan of the Corporation or adopt any new equity incentive plan of the Corporation.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w:t>
      </w:r>
    </w:p>
    <w:p>
      <w:pPr>
        <w:pStyle w:val="TextBody"/>
        <w:bidi w:val="0"/>
        <w:spacing w:before="240" w:after="283"/>
        <w:jc w:val="both"/>
        <w:rPr/>
      </w:pPr>
      <w:r>
        <w:rPr>
          <w:rFonts w:ascii="Times New Roman" w:hAnsi="Times New Roman"/>
          <w:color w:val="000000"/>
          <w:sz w:val="24"/>
          <w:u w:val="single"/>
        </w:rPr>
        <w:t>Series A Preferred Stock Protective Provisions</w:t>
      </w:r>
      <w:r>
        <w:rPr>
          <w:rFonts w:ascii="Times New Roman" w:hAnsi="Times New Roman"/>
          <w:color w:val="000000"/>
          <w:sz w:val="24"/>
        </w:rPr>
        <w:t xml:space="preserve">. For so long as any shares of Series A Preferred Stock, Series A-1 Preferred Stock or Series A-2 Preferred Stock are outstanding, the Corporation shall not, either directly or indirectly by amendment, merger, consolidation, statutory conversion or otherwise, do any of the following without (in addition to any other vote required by law or the Certificate of Incorporation) the written consent or affirmative vote of the holders of a majority of the outstanding shares of Series A Preferred Stock, Series A-1 Preferred Stock and Series A-2 Preferred Stock, consenting or voting (as the case may be) together as a single class on an as-converted to Voting Common Stock basis, given in writing or by vote at a meeting, and any such act or transaction entered into without such consent or vote shall be null and void </w:t>
      </w:r>
      <w:r>
        <w:rPr>
          <w:rFonts w:ascii="Times New Roman" w:hAnsi="Times New Roman"/>
          <w:i/>
          <w:color w:val="000000"/>
          <w:sz w:val="24"/>
        </w:rPr>
        <w:t>ab initio</w:t>
      </w:r>
      <w:r>
        <w:rPr>
          <w:rFonts w:ascii="Times New Roman" w:hAnsi="Times New Roman"/>
          <w:color w:val="000000"/>
          <w:sz w:val="24"/>
        </w:rPr>
        <w:t xml:space="preserve">, and of no force or effect: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alter, amend, repeal or waive any provision of the Certificate of Incorporation if such amendment would alter or change the powers, preferences or special rights of the Series A Preferred Stock, Series A-1 Preferred Stock or Series A-2 Preferred Stock so as to affect them adversely but would not so affect the entire class of Preferred Stock;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3.4.2</w:t>
      </w:r>
    </w:p>
    <w:p>
      <w:pPr>
        <w:pStyle w:val="TextBody"/>
        <w:bidi w:val="0"/>
        <w:spacing w:before="240" w:after="283"/>
        <w:jc w:val="both"/>
        <w:rPr/>
      </w:pPr>
      <w:r>
        <w:rPr>
          <w:rFonts w:ascii="Times New Roman" w:hAnsi="Times New Roman"/>
          <w:color w:val="000000"/>
          <w:sz w:val="24"/>
        </w:rPr>
        <w:t xml:space="preserve">amend, alter, repeal or waive this </w:t>
      </w:r>
      <w:r>
        <w:rPr>
          <w:rFonts w:ascii="Times New Roman" w:hAnsi="Times New Roman"/>
          <w:color w:val="000000"/>
          <w:sz w:val="24"/>
          <w:u w:val="single"/>
        </w:rPr>
        <w:t>Subsection 3.4</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w:t>
      </w:r>
    </w:p>
    <w:p>
      <w:pPr>
        <w:pStyle w:val="TextBody"/>
        <w:bidi w:val="0"/>
        <w:spacing w:before="240" w:after="283"/>
        <w:jc w:val="both"/>
        <w:rPr/>
      </w:pPr>
      <w:r>
        <w:rPr>
          <w:rFonts w:ascii="Times New Roman" w:hAnsi="Times New Roman"/>
          <w:color w:val="000000"/>
          <w:sz w:val="24"/>
          <w:u w:val="single"/>
        </w:rPr>
        <w:t>Series B Preferred Stock Protective Provisions</w:t>
      </w:r>
      <w:r>
        <w:rPr>
          <w:rFonts w:ascii="Times New Roman" w:hAnsi="Times New Roman"/>
          <w:color w:val="000000"/>
          <w:sz w:val="24"/>
        </w:rPr>
        <w:t xml:space="preserve">. For so long as any shares of Series B Preferred Stock are outstanding, the Corporation shall not, either directly or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 xml:space="preserve">indirectly by amendment, merger, consolidation, statutory conversion or otherwise, do any of the following without (in addition to any other vote required by law or the Certificate of Incorporation) the written consent or affirmative vote of the holders of a majority of the outstanding shares of Series B Preferred Stock, consenting or voting (as the case may be) as a separate class, given in writing or by vote at a meeting, and any such act or transaction entered into without such consent or vote shall be null and void </w:t>
      </w:r>
      <w:r>
        <w:rPr>
          <w:rFonts w:ascii="Times New Roman" w:hAnsi="Times New Roman"/>
          <w:i/>
          <w:color w:val="000000"/>
          <w:sz w:val="24"/>
        </w:rPr>
        <w:t>ab initio</w:t>
      </w:r>
      <w:r>
        <w:rPr>
          <w:rFonts w:ascii="Times New Roman" w:hAnsi="Times New Roman"/>
          <w:color w:val="000000"/>
          <w:sz w:val="24"/>
        </w:rPr>
        <w:t>, and of no force or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alter, amend, repeal or waive any provision of the Certificate of Incorporation if such amendment would alter or change the powers, preferences or special rights of the Series B Preferred Stock so as to affect them adversely but would not so affect the entire class of Preferred Stock;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3.5.2</w:t>
      </w:r>
    </w:p>
    <w:p>
      <w:pPr>
        <w:pStyle w:val="TextBody"/>
        <w:bidi w:val="0"/>
        <w:spacing w:before="240" w:after="283"/>
        <w:jc w:val="both"/>
        <w:rPr/>
      </w:pPr>
      <w:r>
        <w:rPr>
          <w:rFonts w:ascii="Times New Roman" w:hAnsi="Times New Roman"/>
          <w:color w:val="000000"/>
          <w:sz w:val="24"/>
        </w:rPr>
        <w:t xml:space="preserve">amend, alter, repeal or waive this </w:t>
      </w:r>
      <w:r>
        <w:rPr>
          <w:rFonts w:ascii="Times New Roman" w:hAnsi="Times New Roman"/>
          <w:color w:val="000000"/>
          <w:sz w:val="24"/>
          <w:u w:val="single"/>
        </w:rPr>
        <w:t>Subsection 3.5</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3.6</w:t>
      </w:r>
    </w:p>
    <w:p>
      <w:pPr>
        <w:pStyle w:val="TextBody"/>
        <w:bidi w:val="0"/>
        <w:spacing w:before="240" w:after="283"/>
        <w:jc w:val="both"/>
        <w:rPr/>
      </w:pPr>
      <w:r>
        <w:rPr>
          <w:rFonts w:ascii="Times New Roman" w:hAnsi="Times New Roman"/>
          <w:color w:val="000000"/>
          <w:sz w:val="24"/>
          <w:u w:val="single"/>
        </w:rPr>
        <w:t>Series C Preferred Stock and Series C-1 Preferred Stock Protective Provisions</w:t>
      </w:r>
      <w:r>
        <w:rPr>
          <w:rFonts w:ascii="Times New Roman" w:hAnsi="Times New Roman"/>
          <w:color w:val="000000"/>
          <w:sz w:val="24"/>
        </w:rPr>
        <w:t xml:space="preserve">. For so long as any shares of Series C Preferred Stock or Series C-1 Preferred Stock are outstanding, the Corporation shall not, either directly or indirectly by amendment, merger, consolidation, statutory conversion or otherwise, do any of the following without (in addition to any other vote required by law or the Certificate of Incorporation) the written consent or affirmative vote of a majority of the outstanding shares of Series C Preferred Stock and Series C-1 Preferred Stock, consenting or voting (as the case may be) together as a single class on an as-converted to Voting Common Stock basis, given in writing or by vote at a meeting, and any such act or transaction entered into without such consent or vote shall be null and void </w:t>
      </w:r>
      <w:r>
        <w:rPr>
          <w:rFonts w:ascii="Times New Roman" w:hAnsi="Times New Roman"/>
          <w:i/>
          <w:color w:val="000000"/>
          <w:sz w:val="24"/>
        </w:rPr>
        <w:t>ab initio</w:t>
      </w:r>
      <w:r>
        <w:rPr>
          <w:rFonts w:ascii="Times New Roman" w:hAnsi="Times New Roman"/>
          <w:color w:val="000000"/>
          <w:sz w:val="24"/>
        </w:rPr>
        <w:t>, and of no force or effect: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3.6.1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alter, amend, repeal or waive any provision of the Certificate of Incorporation if such amendment would alter or change the powers, preferences or special rights of the Series C Preferred Stock or Series C-1 Preferred Stock so as to affect them adversely but would not so affect the entire class of Preferred Stock;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3.6.2</w:t>
      </w:r>
    </w:p>
    <w:p>
      <w:pPr>
        <w:pStyle w:val="TextBody"/>
        <w:bidi w:val="0"/>
        <w:spacing w:before="240" w:after="283"/>
        <w:jc w:val="both"/>
        <w:rPr/>
      </w:pPr>
      <w:r>
        <w:rPr>
          <w:rFonts w:ascii="Times New Roman" w:hAnsi="Times New Roman"/>
          <w:color w:val="000000"/>
          <w:sz w:val="24"/>
        </w:rPr>
        <w:t xml:space="preserve">amend, alter, repeal or waive this </w:t>
      </w:r>
      <w:r>
        <w:rPr>
          <w:rFonts w:ascii="Times New Roman" w:hAnsi="Times New Roman"/>
          <w:color w:val="000000"/>
          <w:sz w:val="24"/>
          <w:u w:val="single"/>
        </w:rPr>
        <w:t>Subsection 3.6</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Optional Conversion</w:t>
      </w:r>
      <w:r>
        <w:rPr>
          <w:rFonts w:ascii="Times New Roman" w:hAnsi="Times New Roman"/>
          <w:color w:val="000000"/>
          <w:sz w:val="24"/>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The holders of the Preferred Stock shall have conversion rights as follows (the “</w:t>
      </w:r>
      <w:r>
        <w:rPr>
          <w:rFonts w:ascii="Times New Roman" w:hAnsi="Times New Roman"/>
          <w:b/>
          <w:color w:val="000000"/>
          <w:sz w:val="24"/>
        </w:rPr>
        <w:t>Conversion Rights</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w:t>
      </w:r>
    </w:p>
    <w:p>
      <w:pPr>
        <w:pStyle w:val="TextBody"/>
        <w:bidi w:val="0"/>
        <w:spacing w:before="240" w:after="283"/>
        <w:jc w:val="both"/>
        <w:rPr/>
      </w:pPr>
      <w:r>
        <w:rPr>
          <w:rFonts w:ascii="Times New Roman" w:hAnsi="Times New Roman"/>
          <w:color w:val="000000"/>
          <w:sz w:val="24"/>
          <w:u w:val="single"/>
        </w:rPr>
        <w:t>Right to Convert</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4.1.1</w:t>
      </w:r>
    </w:p>
    <w:p>
      <w:pPr>
        <w:pStyle w:val="TextBody"/>
        <w:bidi w:val="0"/>
        <w:spacing w:before="240" w:after="283"/>
        <w:jc w:val="both"/>
        <w:rPr/>
      </w:pPr>
      <w:r>
        <w:rPr>
          <w:rFonts w:ascii="Times New Roman" w:hAnsi="Times New Roman"/>
          <w:color w:val="000000"/>
          <w:sz w:val="24"/>
          <w:u w:val="single"/>
        </w:rPr>
        <w:t>Conversion Ratio</w:t>
      </w:r>
      <w:r>
        <w:rPr>
          <w:rFonts w:ascii="Times New Roman" w:hAnsi="Times New Roman"/>
          <w:color w:val="000000"/>
          <w:sz w:val="24"/>
        </w:rPr>
        <w:t xml:space="preserve">. Each share of (i) Series A Preferred Stock shall be convertible, at the option of the holder thereof, at any time and from time to time, and without the payment of additional consideration by the holder thereof, into such number of fully paid and non-assessable shares of Voting Common Stock as is determined by dividing the Preferred Adjusted Price (as defined below) by the Series A Conversion Price (as defined below) in effect at the time of conversion, (ii) Series A-1 Preferred Stock shall be convertible, at the option of the holder thereof, at any time and from time to time, and without the payment of additional consideration by the holder thereof, into such number of fully paid and non-assessable shares of Voting Common Stock as is determined by dividing the Preferred Adjusted Price by the Series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A-1 Conversion Price (as defined below) in effect at the time of conversion, (iii) Series A-2 Preferred Stock shall be convertible, at the option of the holder thereof, at any time and from time to time, and without the payment of additional consideration by the holder thereof, into such number of fully paid and non-assessable shares of Voting Common Stock as is determined by dividing the Preferred Adjusted Price by the Series A-2 Conversion Price (as defined below) in effect at the time of conversion, (iv) Series B Preferred Stock shall be convertible, at the option of the holder thereof, at any time and from time to time, and without the payment of additional consideration by the holder thereof, into such number of fully paid and non-assessable shares of Voting Common Stock as is determined by dividing the Preferred Adjusted Price by the Series B Conversion Price (as defined below) in effect at the time of conversion, (v) Series C Preferred Stock shall be convertible, at the option of the holder thereof, at any time and from time to time, and without the payment of additional consideration by the holder thereof, into such number of fully paid and non-assessable shares of Voting Common Stock as is determined by dividing the Preferred Adjusted Price by the Series C Conversion Price (as defined below) in effect at the time of conversion, (vi) Series C-1 Preferred Stock shall be convertible, at the option of the holder thereof, at any time and from time to time, and without the payment of additional consideration by the holder thereof, into such number of fully paid and non-assessable shares of Voting Common Stock as is determined by dividing the Preferred Adjusted Price by the Series C-1 Conversion Price (as defined below) in effect at the time of conversion and (vii) Series D Preferred Stock shall be convertible, at the option of the holder thereof, at any time and from time to time, and without the payment of additional consideration by the holder thereof, into such number of fully paid and non-assessable shares of Voting Common Stock as is determined by dividing the Preferred Adjusted Price by the Series D Conversion Price (as defined below) in effect at the time of conversion. The “</w:t>
      </w:r>
      <w:r>
        <w:rPr>
          <w:rFonts w:ascii="Times New Roman" w:hAnsi="Times New Roman"/>
          <w:b/>
          <w:color w:val="000000"/>
          <w:sz w:val="24"/>
        </w:rPr>
        <w:t>Preferred Adjusted Price</w:t>
      </w:r>
      <w:r>
        <w:rPr>
          <w:color w:val="000000"/>
        </w:rPr>
        <w:t xml:space="preserve">” </w:t>
      </w:r>
      <w:r>
        <w:rPr>
          <w:rFonts w:ascii="Times New Roman" w:hAnsi="Times New Roman"/>
          <w:color w:val="000000"/>
          <w:sz w:val="24"/>
        </w:rPr>
        <w:t>shall be equal to $1.50497 per share, subject to appropriate adjustment in the event of any stock dividend, stock split, combination or other similar recapitalization with respect to the applicable series of Preferred Stock. The “</w:t>
      </w:r>
      <w:r>
        <w:rPr>
          <w:rFonts w:ascii="Times New Roman" w:hAnsi="Times New Roman"/>
          <w:b/>
          <w:color w:val="000000"/>
          <w:sz w:val="24"/>
        </w:rPr>
        <w:t>Series A Conversion Price</w:t>
      </w:r>
      <w:r>
        <w:rPr>
          <w:color w:val="000000"/>
        </w:rPr>
        <w:t xml:space="preserve">” </w:t>
      </w:r>
      <w:r>
        <w:rPr>
          <w:rFonts w:ascii="Times New Roman" w:hAnsi="Times New Roman"/>
          <w:color w:val="000000"/>
          <w:sz w:val="24"/>
        </w:rPr>
        <w:t>shall initially be equal to $1.50497. Such initial Series A Conversion Price, and the rate at which shares of Series A Preferred Stock may be converted into shares of Voting Common Stock, shall be subject to adjustment as provided below. The “</w:t>
      </w:r>
      <w:r>
        <w:rPr>
          <w:rFonts w:ascii="Times New Roman" w:hAnsi="Times New Roman"/>
          <w:b/>
          <w:color w:val="000000"/>
          <w:sz w:val="24"/>
        </w:rPr>
        <w:t>Series A-1 Conversion Price</w:t>
      </w:r>
      <w:r>
        <w:rPr>
          <w:color w:val="000000"/>
        </w:rPr>
        <w:t xml:space="preserve">” </w:t>
      </w:r>
      <w:r>
        <w:rPr>
          <w:rFonts w:ascii="Times New Roman" w:hAnsi="Times New Roman"/>
          <w:color w:val="000000"/>
          <w:sz w:val="24"/>
        </w:rPr>
        <w:t>shall initially be equal to $1.45775. Such initial Series A-1 Conversion Price, and the rate at which shares of Series A-1 Preferred Stock may be converted into shares of Voting Common Stock, shall be subject to adjustment as provided below. The “</w:t>
      </w:r>
      <w:r>
        <w:rPr>
          <w:rFonts w:ascii="Times New Roman" w:hAnsi="Times New Roman"/>
          <w:b/>
          <w:color w:val="000000"/>
          <w:sz w:val="24"/>
        </w:rPr>
        <w:t>Series A-2 Conversion Price</w:t>
      </w:r>
      <w:r>
        <w:rPr>
          <w:color w:val="000000"/>
        </w:rPr>
        <w:t xml:space="preserve">” </w:t>
      </w:r>
      <w:r>
        <w:rPr>
          <w:rFonts w:ascii="Times New Roman" w:hAnsi="Times New Roman"/>
          <w:color w:val="000000"/>
          <w:sz w:val="24"/>
        </w:rPr>
        <w:t>shall initially be equal to $1.44454. Such initial Series A-2 Conversion Price, and the rate at which shares of Series A-2 Preferred Stock may be converted into shares of Voting Common Stock, shall be subject to adjustment as provided below. The “</w:t>
      </w:r>
      <w:r>
        <w:rPr>
          <w:rFonts w:ascii="Times New Roman" w:hAnsi="Times New Roman"/>
          <w:b/>
          <w:color w:val="000000"/>
          <w:sz w:val="24"/>
        </w:rPr>
        <w:t>Series B Conversion Price</w:t>
      </w:r>
      <w:r>
        <w:rPr>
          <w:color w:val="000000"/>
        </w:rPr>
        <w:t xml:space="preserve">” </w:t>
      </w:r>
      <w:r>
        <w:rPr>
          <w:rFonts w:ascii="Times New Roman" w:hAnsi="Times New Roman"/>
          <w:color w:val="000000"/>
          <w:sz w:val="24"/>
        </w:rPr>
        <w:t>shall initially be equal to $1.43786. Such initial Series B Conversion Price, and the rate at which shares of Series B Preferred Stock may be converted into shares of Voting Common Stock, shall be subject to adjustment as provided below. The “</w:t>
      </w:r>
      <w:r>
        <w:rPr>
          <w:rFonts w:ascii="Times New Roman" w:hAnsi="Times New Roman"/>
          <w:b/>
          <w:color w:val="000000"/>
          <w:sz w:val="24"/>
        </w:rPr>
        <w:t>Series C Conversion Price</w:t>
      </w:r>
      <w:r>
        <w:rPr>
          <w:color w:val="000000"/>
        </w:rPr>
        <w:t xml:space="preserve">” </w:t>
      </w:r>
      <w:r>
        <w:rPr>
          <w:rFonts w:ascii="Times New Roman" w:hAnsi="Times New Roman"/>
          <w:color w:val="000000"/>
          <w:sz w:val="24"/>
        </w:rPr>
        <w:t>shall initially be equal to $1.50497. Such initial Series C Conversion Price, and the rate at which shares of Series C Preferred Stock may be converted into shares of Voting Common Stock, shall be subject to adjustment as provided below. The “</w:t>
      </w:r>
      <w:r>
        <w:rPr>
          <w:rFonts w:ascii="Times New Roman" w:hAnsi="Times New Roman"/>
          <w:b/>
          <w:color w:val="000000"/>
          <w:sz w:val="24"/>
        </w:rPr>
        <w:t>Series C-1 Conversion Price</w:t>
      </w:r>
      <w:r>
        <w:rPr>
          <w:color w:val="000000"/>
        </w:rPr>
        <w:t xml:space="preserve">” </w:t>
      </w:r>
      <w:r>
        <w:rPr>
          <w:rFonts w:ascii="Times New Roman" w:hAnsi="Times New Roman"/>
          <w:color w:val="000000"/>
          <w:sz w:val="24"/>
        </w:rPr>
        <w:t>shall initially be equal to $1.50497. Such initial Series C-1 Conversion Price, and the rate at which shares of Series C-1 Preferred Stock may be converted into shares of Voting Common Stock, shall be subject to adjustment as provided below. The “</w:t>
      </w:r>
      <w:r>
        <w:rPr>
          <w:rFonts w:ascii="Times New Roman" w:hAnsi="Times New Roman"/>
          <w:b/>
          <w:color w:val="000000"/>
          <w:sz w:val="24"/>
        </w:rPr>
        <w:t>Series D Conversion Price</w:t>
      </w:r>
      <w:r>
        <w:rPr>
          <w:color w:val="000000"/>
        </w:rPr>
        <w:t xml:space="preserve">” </w:t>
      </w:r>
      <w:r>
        <w:rPr>
          <w:rFonts w:ascii="Times New Roman" w:hAnsi="Times New Roman"/>
          <w:color w:val="000000"/>
          <w:sz w:val="24"/>
        </w:rPr>
        <w:t>shall initially be equal to $1.50497. Such initial Series D Conversion Price, and the rate at which shares of Series D Preferred Stock may be converted into shares of Voting Common Stock, shall be subject to adjustment as provided below. The “</w:t>
      </w:r>
      <w:r>
        <w:rPr>
          <w:rFonts w:ascii="Times New Roman" w:hAnsi="Times New Roman"/>
          <w:b/>
          <w:color w:val="000000"/>
          <w:sz w:val="24"/>
        </w:rPr>
        <w:t>Applicable Conversion Price</w:t>
      </w:r>
      <w:r>
        <w:rPr>
          <w:color w:val="000000"/>
        </w:rPr>
        <w:t xml:space="preserve">” </w:t>
      </w:r>
      <w:r>
        <w:rPr>
          <w:rFonts w:ascii="Times New Roman" w:hAnsi="Times New Roman"/>
          <w:color w:val="000000"/>
          <w:sz w:val="24"/>
        </w:rPr>
        <w:t>shall mean, as the</w:t>
      </w:r>
      <w:r>
        <w:rPr>
          <w:color w:val="000000"/>
        </w:rPr>
        <w:t xml:space="preserve">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 xml:space="preserve">context so requires, the Series A Conversion Price with respect to the Series A Preferred Stock, the Series A-1 Conversion Price with respect to the Series A-1 Preferred Stock, the Series A-2 Conversion Price with respect to the Series A-2 Preferred Stock, the Series B Conversion Price with respect to the Series B Preferred Stock, the Series C Conversion Price with respect to the Series C Preferred Stock, the Series C-1 Conversion Price with respect to the Series C-1 Preferred Stock, and the Series D Conversion Price with respect to the Series D Preferred Stock. Notwithstanding the foregoing, the right to convert shares of Preferred Stock into shares of Voting Common Stock pursuant to this </w:t>
      </w:r>
      <w:r>
        <w:rPr>
          <w:rFonts w:ascii="Times New Roman" w:hAnsi="Times New Roman"/>
          <w:color w:val="000000"/>
          <w:sz w:val="24"/>
          <w:u w:val="single"/>
        </w:rPr>
        <w:t>Subsection 4.1.1</w:t>
      </w:r>
      <w:r>
        <w:rPr>
          <w:color w:val="000000"/>
        </w:rPr>
        <w:t xml:space="preserve"> </w:t>
      </w:r>
      <w:r>
        <w:rPr>
          <w:rFonts w:ascii="Times New Roman" w:hAnsi="Times New Roman"/>
          <w:color w:val="000000"/>
          <w:sz w:val="24"/>
        </w:rPr>
        <w:t>(the “</w:t>
      </w:r>
      <w:r>
        <w:rPr>
          <w:rFonts w:ascii="Times New Roman" w:hAnsi="Times New Roman"/>
          <w:b/>
          <w:color w:val="000000"/>
          <w:sz w:val="24"/>
        </w:rPr>
        <w:t>Optional Conversion Right</w:t>
      </w:r>
      <w:r>
        <w:rPr>
          <w:color w:val="000000"/>
        </w:rPr>
        <w:t>”</w:t>
      </w:r>
      <w:r>
        <w:rPr>
          <w:rFonts w:ascii="Times New Roman" w:hAnsi="Times New Roman"/>
          <w:color w:val="000000"/>
          <w:sz w:val="24"/>
        </w:rPr>
        <w:t xml:space="preserve">) shall be suspended, and no optional conversion shall be effective (and any such attempt to so convert by a holder of shares of Preferred Stock shall be null and void ab initio, and of no force or effect), from and after the filing of this Eighth Amended and Restated Certificate of Incorporation with the Secretary of State of the State of Delaware until the date that is thirty (30) days following the consummation of the Initial Closing (as defined in the Series D Purchase Agreement);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foregoing suspension of the Optional Conversion Right shall not affect the calculation of the number of shares of Voting Common Stock deemed issuable upon conversion of shares of Preferred Stock for purposes of (A) voting rights under this Eighth Amended and Restated Certificate of Incorporation, or (B) determining amounts payable in respect of shares of Preferred Stock in connection with a dissolution, liquidation, or winding up of the Corporation or pursuant to a Deemed Liquidation Event, and such values shall be calculated pursuant to the conversion ratio implied by the Optional Conversion Right and not, for the avoidance of doubt, pursuant to the terms of the Special Mandatory Conversion (defined below).</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4.1.2</w:t>
      </w:r>
    </w:p>
    <w:p>
      <w:pPr>
        <w:pStyle w:val="TextBody"/>
        <w:bidi w:val="0"/>
        <w:spacing w:before="240" w:after="283"/>
        <w:jc w:val="both"/>
        <w:rPr/>
      </w:pPr>
      <w:r>
        <w:rPr>
          <w:rFonts w:ascii="Times New Roman" w:hAnsi="Times New Roman"/>
          <w:color w:val="000000"/>
          <w:sz w:val="24"/>
          <w:u w:val="single"/>
        </w:rPr>
        <w:t>Termination of Conversion Rights</w:t>
      </w:r>
      <w:r>
        <w:rPr>
          <w:rFonts w:ascii="Times New Roman" w:hAnsi="Times New Roman"/>
          <w:color w:val="000000"/>
          <w:sz w:val="24"/>
        </w:rPr>
        <w:t xml:space="preserve">.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 provided that the foregoing termination of Conversion Rights shall not affect the amount(s) otherwise paid or payable in accordance with </w:t>
      </w:r>
      <w:r>
        <w:rPr>
          <w:rFonts w:ascii="Times New Roman" w:hAnsi="Times New Roman"/>
          <w:color w:val="000000"/>
          <w:sz w:val="24"/>
          <w:u w:val="single"/>
        </w:rPr>
        <w:t>Subsection 2.1</w:t>
      </w:r>
      <w:r>
        <w:rPr>
          <w:rFonts w:ascii="Times New Roman" w:hAnsi="Times New Roman"/>
          <w:color w:val="000000"/>
          <w:sz w:val="24"/>
        </w:rPr>
        <w:t xml:space="preserve">, </w:t>
      </w:r>
      <w:r>
        <w:rPr>
          <w:rFonts w:ascii="Times New Roman" w:hAnsi="Times New Roman"/>
          <w:color w:val="000000"/>
          <w:sz w:val="24"/>
          <w:u w:val="single"/>
        </w:rPr>
        <w:t>2.2</w:t>
      </w:r>
      <w:r>
        <w:rPr>
          <w:rFonts w:ascii="Times New Roman" w:hAnsi="Times New Roman"/>
          <w:color w:val="000000"/>
          <w:sz w:val="24"/>
        </w:rPr>
        <w:t xml:space="preserve">, </w:t>
      </w:r>
      <w:r>
        <w:rPr>
          <w:rFonts w:ascii="Times New Roman" w:hAnsi="Times New Roman"/>
          <w:color w:val="000000"/>
          <w:sz w:val="24"/>
          <w:u w:val="single"/>
        </w:rPr>
        <w:t>2.3</w:t>
      </w:r>
      <w:r>
        <w:rPr>
          <w:rFonts w:ascii="Times New Roman" w:hAnsi="Times New Roman"/>
          <w:color w:val="000000"/>
          <w:sz w:val="24"/>
        </w:rPr>
        <w:t xml:space="preserve">, and </w:t>
      </w:r>
      <w:r>
        <w:rPr>
          <w:rFonts w:ascii="Times New Roman" w:hAnsi="Times New Roman"/>
          <w:color w:val="000000"/>
          <w:sz w:val="24"/>
          <w:u w:val="single"/>
        </w:rPr>
        <w:t>2.4</w:t>
      </w:r>
      <w:r>
        <w:rPr>
          <w:color w:val="000000"/>
        </w:rPr>
        <w:t xml:space="preserve"> </w:t>
      </w:r>
      <w:r>
        <w:rPr>
          <w:rFonts w:ascii="Times New Roman" w:hAnsi="Times New Roman"/>
          <w:color w:val="000000"/>
          <w:sz w:val="24"/>
        </w:rPr>
        <w:t>to holders of Preferred Stock pursuant to such liquidation, dissolution or winding up of the Corporation or a Deemed Liquidation Event.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w:t>
      </w:r>
    </w:p>
    <w:p>
      <w:pPr>
        <w:pStyle w:val="TextBody"/>
        <w:bidi w:val="0"/>
        <w:spacing w:before="240" w:after="283"/>
        <w:jc w:val="both"/>
        <w:rPr/>
      </w:pPr>
      <w:r>
        <w:rPr>
          <w:rFonts w:ascii="Times New Roman" w:hAnsi="Times New Roman"/>
          <w:color w:val="000000"/>
          <w:sz w:val="24"/>
          <w:u w:val="single"/>
        </w:rPr>
        <w:t>Fractional Shares</w:t>
      </w:r>
      <w:r>
        <w:rPr>
          <w:rFonts w:ascii="Times New Roman" w:hAnsi="Times New Roman"/>
          <w:color w:val="000000"/>
          <w:sz w:val="24"/>
        </w:rPr>
        <w:t xml:space="preserve">. No fractional shares of Voting Common Stock shall be issued upon conversion of the Preferred Stock. In lieu of any fractional shares to which the holder would otherwise be entitled, the number of shares of Voting Common Stock to be issued upon conversion of the Preferred Stock shall be rounded to the nearest whole share.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4.3</w:t>
      </w:r>
    </w:p>
    <w:p>
      <w:pPr>
        <w:pStyle w:val="TextBody"/>
        <w:bidi w:val="0"/>
        <w:spacing w:before="240" w:after="283"/>
        <w:jc w:val="both"/>
        <w:rPr/>
      </w:pPr>
      <w:r>
        <w:rPr>
          <w:rFonts w:ascii="Times New Roman" w:hAnsi="Times New Roman"/>
          <w:color w:val="000000"/>
          <w:sz w:val="24"/>
          <w:u w:val="single"/>
        </w:rPr>
        <w:t>Mechanics of Conversion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4.3.1</w:t>
      </w:r>
    </w:p>
    <w:p>
      <w:pPr>
        <w:pStyle w:val="TextBody"/>
        <w:bidi w:val="0"/>
        <w:spacing w:before="240" w:after="283"/>
        <w:jc w:val="both"/>
        <w:rPr/>
      </w:pPr>
      <w:r>
        <w:rPr>
          <w:rFonts w:ascii="Times New Roman" w:hAnsi="Times New Roman"/>
          <w:color w:val="000000"/>
          <w:sz w:val="24"/>
          <w:u w:val="single"/>
        </w:rPr>
        <w:t>Notice of Conversion</w:t>
      </w:r>
      <w:r>
        <w:rPr>
          <w:rFonts w:ascii="Times New Roman" w:hAnsi="Times New Roman"/>
          <w:color w:val="000000"/>
          <w:sz w:val="24"/>
        </w:rPr>
        <w:t xml:space="preserve">. In order for a holder of Preferred Stock to voluntarily convert shares of Preferred Stock into shares of Voting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Voting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Times New Roman" w:hAnsi="Times New Roman"/>
          <w:b/>
          <w:color w:val="000000"/>
          <w:sz w:val="24"/>
        </w:rPr>
        <w:t>Conversion Time</w:t>
      </w:r>
      <w:r>
        <w:rPr>
          <w:color w:val="000000"/>
        </w:rPr>
        <w:t>”</w:t>
      </w:r>
      <w:r>
        <w:rPr>
          <w:rFonts w:ascii="Times New Roman" w:hAnsi="Times New Roman"/>
          <w:color w:val="000000"/>
          <w:sz w:val="24"/>
        </w:rPr>
        <w:t>), and the shares of Voting Common Stock issuable upon conversion of the specified shares shall be deemed to be outstanding of record as of such time. The Corporation shall, as soon as practicable after the Conversion Time (i) issue and deliver to such holder of Preferred Stock, or to his, her or its nominees, a certificate or certificates for the number of full shares of Voting Common Stock issuable upon such conversion in accordance with the provisions hereof and a certificate for the number (if any) of the shares of Preferred Stock represented by the surrendered certificate that were not converted into Voting Common Stock, and (ii) pay all declared but unpaid dividends on the shares of Preferred Stock converted.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4.3.2</w:t>
      </w:r>
    </w:p>
    <w:p>
      <w:pPr>
        <w:pStyle w:val="TextBody"/>
        <w:bidi w:val="0"/>
        <w:spacing w:before="240" w:after="283"/>
        <w:jc w:val="both"/>
        <w:rPr/>
      </w:pPr>
      <w:r>
        <w:rPr>
          <w:rFonts w:ascii="Times New Roman" w:hAnsi="Times New Roman"/>
          <w:color w:val="000000"/>
          <w:sz w:val="24"/>
          <w:u w:val="single"/>
        </w:rPr>
        <w:t>Reservation of Shares</w:t>
      </w:r>
      <w:r>
        <w:rPr>
          <w:rFonts w:ascii="Times New Roman" w:hAnsi="Times New Roman"/>
          <w:color w:val="000000"/>
          <w:sz w:val="24"/>
        </w:rPr>
        <w:t>. The Corporation shall at all times when the Preferred Stock shall be outstanding, reserve and keep available out of its authorized but unissued capital stock, for the purpose of effecting the conversion of the Preferred Stock, such number of its duly authorized shares of Voting Common Stock as shall from time to time be sufficient to effect the conversion of all outstanding Preferred Stock; and if at any time the number of authorized but unissued shares of Voting Common Stock shall not be sufficient to effect the conversion of all then outstanding shares of the Preferred Stock, the Corporation shall take such corporate action as may be necessary to increase its authorized but unissued shares of Voting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Applicable Conversion Price for a series of Preferred Stock below the then-par value of the shares of Voting Common Stock issuable upon conversion of such series of Preferred Stock, the Corporation will take any corporate action which may, in the opinion of its counsel, be necessary in order that the Corporation may validly and legally issue fully paid and non-assessable shares of Voting Common Stock at such adjusted Applicable Conversion Price.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4.3.3</w:t>
      </w:r>
    </w:p>
    <w:p>
      <w:pPr>
        <w:pStyle w:val="TextBody"/>
        <w:bidi w:val="0"/>
        <w:spacing w:before="240" w:after="283"/>
        <w:jc w:val="both"/>
        <w:rPr/>
      </w:pPr>
      <w:r>
        <w:rPr>
          <w:rFonts w:ascii="Times New Roman" w:hAnsi="Times New Roman"/>
          <w:color w:val="000000"/>
          <w:sz w:val="24"/>
          <w:u w:val="single"/>
        </w:rPr>
        <w:t>Effect of Conversion</w:t>
      </w:r>
      <w:r>
        <w:rPr>
          <w:rFonts w:ascii="Times New Roman" w:hAnsi="Times New Roman"/>
          <w:color w:val="000000"/>
          <w:sz w:val="24"/>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Voting Common Stock in exchange therefor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4.3.4</w:t>
      </w:r>
    </w:p>
    <w:p>
      <w:pPr>
        <w:pStyle w:val="TextBody"/>
        <w:bidi w:val="0"/>
        <w:spacing w:before="240" w:after="283"/>
        <w:jc w:val="both"/>
        <w:rPr/>
      </w:pPr>
      <w:r>
        <w:rPr>
          <w:rFonts w:ascii="Times New Roman" w:hAnsi="Times New Roman"/>
          <w:color w:val="000000"/>
          <w:sz w:val="24"/>
          <w:u w:val="single"/>
        </w:rPr>
        <w:t>No Further Adjustment</w:t>
      </w:r>
      <w:r>
        <w:rPr>
          <w:rFonts w:ascii="Times New Roman" w:hAnsi="Times New Roman"/>
          <w:color w:val="000000"/>
          <w:sz w:val="24"/>
        </w:rPr>
        <w:t xml:space="preserve">. Upon any such conversion, no adjustment to the Applicable Conversion Price shall be made for any declared but unpaid dividends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on the Preferred Stock surrendered for conversion or on the Voting Common Stock delivered upon conversion.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4.3.5</w:t>
      </w:r>
    </w:p>
    <w:p>
      <w:pPr>
        <w:pStyle w:val="TextBody"/>
        <w:bidi w:val="0"/>
        <w:spacing w:before="240" w:after="283"/>
        <w:jc w:val="both"/>
        <w:rPr/>
      </w:pPr>
      <w:r>
        <w:rPr>
          <w:rFonts w:ascii="Times New Roman" w:hAnsi="Times New Roman"/>
          <w:color w:val="000000"/>
          <w:sz w:val="24"/>
          <w:u w:val="single"/>
        </w:rPr>
        <w:t>Taxes</w:t>
      </w:r>
      <w:r>
        <w:rPr>
          <w:rFonts w:ascii="Times New Roman" w:hAnsi="Times New Roman"/>
          <w:color w:val="000000"/>
          <w:sz w:val="24"/>
        </w:rPr>
        <w:t xml:space="preserve">. The Corporation shall pay any and all issue and other similar taxes that may be payable in respect of any issuance or delivery of shares of Voting Common Stock upon conversion of shares of Preferred Stock pursuant to this </w:t>
      </w:r>
      <w:r>
        <w:rPr>
          <w:rFonts w:ascii="Times New Roman" w:hAnsi="Times New Roman"/>
          <w:color w:val="000000"/>
          <w:sz w:val="24"/>
          <w:u w:val="single"/>
        </w:rPr>
        <w:t>Section 4</w:t>
      </w:r>
      <w:r>
        <w:rPr>
          <w:rFonts w:ascii="Times New Roman" w:hAnsi="Times New Roman"/>
          <w:color w:val="000000"/>
          <w:sz w:val="24"/>
        </w:rPr>
        <w:t>. The Corporation shall not, however, be required to pay any tax which may be payable in respect of any transfer involved in the issuance and delivery of shares of Voting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4.4</w:t>
      </w:r>
    </w:p>
    <w:p>
      <w:pPr>
        <w:pStyle w:val="TextBody"/>
        <w:bidi w:val="0"/>
        <w:spacing w:before="240" w:after="283"/>
        <w:jc w:val="both"/>
        <w:rPr/>
      </w:pPr>
      <w:r>
        <w:rPr>
          <w:rFonts w:ascii="Times New Roman" w:hAnsi="Times New Roman"/>
          <w:color w:val="000000"/>
          <w:sz w:val="24"/>
          <w:u w:val="single"/>
        </w:rPr>
        <w:t>Adjustments to Conversion Price for Diluting Issues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4.4.1</w:t>
      </w:r>
    </w:p>
    <w:p>
      <w:pPr>
        <w:pStyle w:val="TextBody"/>
        <w:bidi w:val="0"/>
        <w:spacing w:before="240" w:after="283"/>
        <w:jc w:val="both"/>
        <w:rPr/>
      </w:pPr>
      <w:r>
        <w:rPr>
          <w:rFonts w:ascii="Times New Roman" w:hAnsi="Times New Roman"/>
          <w:color w:val="000000"/>
          <w:sz w:val="24"/>
          <w:u w:val="single"/>
        </w:rPr>
        <w:t>Special Definitions</w:t>
      </w:r>
      <w:r>
        <w:rPr>
          <w:rFonts w:ascii="Times New Roman" w:hAnsi="Times New Roman"/>
          <w:color w:val="000000"/>
          <w:sz w:val="24"/>
        </w:rPr>
        <w:t xml:space="preserve">. For purposes of this Article Fourth, the following definitions shall apply: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color w:val="000000"/>
        </w:rPr>
        <w:t>“</w:t>
      </w:r>
      <w:r>
        <w:rPr>
          <w:rFonts w:ascii="Times New Roman" w:hAnsi="Times New Roman"/>
          <w:b/>
          <w:color w:val="000000"/>
          <w:sz w:val="24"/>
        </w:rPr>
        <w:t>Options</w:t>
      </w:r>
      <w:r>
        <w:rPr>
          <w:color w:val="000000"/>
        </w:rPr>
        <w:t xml:space="preserve">” </w:t>
      </w:r>
      <w:r>
        <w:rPr>
          <w:rFonts w:ascii="Times New Roman" w:hAnsi="Times New Roman"/>
          <w:color w:val="000000"/>
          <w:sz w:val="24"/>
        </w:rPr>
        <w:t>shall mean rights, options or warrants to subscribe for, purchase or otherwise acquire Common Stock or Convertible Securities.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color w:val="000000"/>
        </w:rPr>
        <w:t>“</w:t>
      </w:r>
      <w:r>
        <w:rPr>
          <w:rFonts w:ascii="Times New Roman" w:hAnsi="Times New Roman"/>
          <w:b/>
          <w:color w:val="000000"/>
          <w:sz w:val="24"/>
        </w:rPr>
        <w:t>Original Issue Date</w:t>
      </w:r>
      <w:r>
        <w:rPr>
          <w:color w:val="000000"/>
        </w:rPr>
        <w:t xml:space="preserve">” </w:t>
      </w:r>
      <w:r>
        <w:rPr>
          <w:rFonts w:ascii="Times New Roman" w:hAnsi="Times New Roman"/>
          <w:color w:val="000000"/>
          <w:sz w:val="24"/>
        </w:rPr>
        <w:t>shall mean the date on which the first share of Series D Preferred Stock is issued.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color w:val="000000"/>
        </w:rPr>
        <w:t>“</w:t>
      </w:r>
      <w:r>
        <w:rPr>
          <w:rFonts w:ascii="Times New Roman" w:hAnsi="Times New Roman"/>
          <w:b/>
          <w:color w:val="000000"/>
          <w:sz w:val="24"/>
        </w:rPr>
        <w:t>Convertible Securities</w:t>
      </w:r>
      <w:r>
        <w:rPr>
          <w:color w:val="000000"/>
        </w:rPr>
        <w:t xml:space="preserve">” </w:t>
      </w:r>
      <w:r>
        <w:rPr>
          <w:rFonts w:ascii="Times New Roman" w:hAnsi="Times New Roman"/>
          <w:color w:val="000000"/>
          <w:sz w:val="24"/>
        </w:rPr>
        <w:t>shall mean any evidences of indebtedness, shares or other securities directly or indirectly convertible into or exchangeable for Common Stock, but excluding Options.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color w:val="000000"/>
        </w:rPr>
        <w:t>“</w:t>
      </w:r>
      <w:r>
        <w:rPr>
          <w:rFonts w:ascii="Times New Roman" w:hAnsi="Times New Roman"/>
          <w:b/>
          <w:color w:val="000000"/>
          <w:sz w:val="24"/>
        </w:rPr>
        <w:t>Additional Shares of Common Stock</w:t>
      </w:r>
      <w:r>
        <w:rPr>
          <w:color w:val="000000"/>
        </w:rPr>
        <w:t xml:space="preserve">” </w:t>
      </w:r>
      <w:r>
        <w:rPr>
          <w:rFonts w:ascii="Times New Roman" w:hAnsi="Times New Roman"/>
          <w:color w:val="000000"/>
          <w:sz w:val="24"/>
        </w:rPr>
        <w:t xml:space="preserve">shall mean all shares of Common Stock issued (or, pursuant to </w:t>
      </w:r>
      <w:r>
        <w:rPr>
          <w:rFonts w:ascii="Times New Roman" w:hAnsi="Times New Roman"/>
          <w:color w:val="000000"/>
          <w:sz w:val="24"/>
          <w:u w:val="single"/>
        </w:rPr>
        <w:t>Subsection 4.4.3</w:t>
      </w:r>
      <w:r>
        <w:rPr>
          <w:color w:val="000000"/>
        </w:rPr>
        <w:t xml:space="preserve"> </w:t>
      </w:r>
      <w:r>
        <w:rPr>
          <w:rFonts w:ascii="Times New Roman" w:hAnsi="Times New Roman"/>
          <w:color w:val="000000"/>
          <w:sz w:val="24"/>
        </w:rPr>
        <w:t>below, deemed to be issued) by the Corporation on or after the Original Issue Date, other than (1) the following shares of Common Stock and (2) shares of Common Stock deemed issued pursuant to the following Options and Convertible Securities (clauses (1) and (2), collectively, “</w:t>
      </w:r>
      <w:r>
        <w:rPr>
          <w:rFonts w:ascii="Times New Roman" w:hAnsi="Times New Roman"/>
          <w:b/>
          <w:color w:val="000000"/>
          <w:sz w:val="24"/>
        </w:rPr>
        <w:t>Exempted Securities</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shares of Common Stock, Options or Convertible Securities issued as a dividend or distribution on Preferred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rPr>
        <w:t xml:space="preserve">shares of Common Stock, Options or Convertible Securities issued by reason of a dividend, stock split, split-up or other distribution on shares of Common Stock that is covered by </w:t>
      </w:r>
      <w:r>
        <w:rPr>
          <w:rFonts w:ascii="Times New Roman" w:hAnsi="Times New Roman"/>
          <w:color w:val="000000"/>
          <w:sz w:val="24"/>
          <w:u w:val="single"/>
        </w:rPr>
        <w:t>Subsection 4.5</w:t>
      </w:r>
      <w:r>
        <w:rPr>
          <w:rFonts w:ascii="Times New Roman" w:hAnsi="Times New Roman"/>
          <w:color w:val="000000"/>
          <w:sz w:val="24"/>
        </w:rPr>
        <w:t xml:space="preserve">, </w:t>
      </w:r>
      <w:r>
        <w:rPr>
          <w:rFonts w:ascii="Times New Roman" w:hAnsi="Times New Roman"/>
          <w:color w:val="000000"/>
          <w:sz w:val="24"/>
          <w:u w:val="single"/>
        </w:rPr>
        <w:t>4.6</w:t>
      </w:r>
      <w:r>
        <w:rPr>
          <w:rFonts w:ascii="Times New Roman" w:hAnsi="Times New Roman"/>
          <w:color w:val="000000"/>
          <w:sz w:val="24"/>
        </w:rPr>
        <w:t xml:space="preserve">, </w:t>
      </w:r>
      <w:r>
        <w:rPr>
          <w:rFonts w:ascii="Times New Roman" w:hAnsi="Times New Roman"/>
          <w:color w:val="000000"/>
          <w:sz w:val="24"/>
          <w:u w:val="single"/>
        </w:rPr>
        <w:t>4.7</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4.8</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shares of Common Stock or Options issued to employees or directors of, or consultants or advisors or other persons who performed services (directly or indirectly through service providers) to, the Corporation or any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of its subsidiaries, in each case, pursuant to a plan, agreement or arrangement approved by the Board of Directors, including the approval of at least one (1) Preferred Director;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including the approval of at least one (1) Preferred Director;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shares of Common Stock, Options or Convertible Securities issued to suppliers or third party service providers in connection with the provision of goods or services pursuant to transactions approved by the Board of Directors of the Corporation, including the approval of at least one (1) Preferred Director;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shares of Common Stock, Options or Convertible Securities issued as acquisition consideration pursuant to the acquisition of another corporation by the Corporation by merger, purchase of substantially all of the assets or other reorganization or to a joint venture agreement, provided that such issuances are approved by the Board of Directors of the Corporation, including the approval of at least one (1) Preferred Director;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shares of Common Stock, Options or Convertible Securities issued in connection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 sponsored research, collaboration, technology license, development, OEM, marketing or other similar agreements or strategic partnerships approved by the Board of Directors of the Corporation, including the approval of at least one (1) Preferred Director.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4.4.2</w:t>
      </w:r>
    </w:p>
    <w:p>
      <w:pPr>
        <w:pStyle w:val="TextBody"/>
        <w:bidi w:val="0"/>
        <w:spacing w:before="240" w:after="283"/>
        <w:jc w:val="both"/>
        <w:rPr/>
      </w:pPr>
      <w:r>
        <w:rPr>
          <w:rFonts w:ascii="Times New Roman" w:hAnsi="Times New Roman"/>
          <w:color w:val="000000"/>
          <w:sz w:val="24"/>
          <w:u w:val="single"/>
        </w:rPr>
        <w:t>No Adjustment of Conversion Price</w:t>
      </w:r>
      <w:r>
        <w:rPr>
          <w:rFonts w:ascii="Times New Roman" w:hAnsi="Times New Roman"/>
          <w:color w:val="000000"/>
          <w:sz w:val="24"/>
        </w:rPr>
        <w:t>. No adjustment in the Series A Conversion Price, Series A-1 Conversion Price, Series A-2 Conversion Price, Series B Conversion Price, Series C Conversion Price, Series C-1 Conversion Price or Series D Conversion Price shall be made as the result of the issuance or deemed issuance of Additional Shares of Common Stock if the Corporation receives written notice from the Required Holders, and in the case of a waiver with respect to the Series D Conversion Price, the Series D Required Holders, waiving any such adjustment that would otherwise be made as the result of the issuance or deemed issuance of such Additional Shares of Common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4.4.3</w:t>
      </w:r>
    </w:p>
    <w:p>
      <w:pPr>
        <w:pStyle w:val="TextBody"/>
        <w:bidi w:val="0"/>
        <w:spacing w:before="240" w:after="283"/>
        <w:jc w:val="both"/>
        <w:rPr/>
      </w:pPr>
      <w:r>
        <w:rPr>
          <w:rFonts w:ascii="Times New Roman" w:hAnsi="Times New Roman"/>
          <w:color w:val="000000"/>
          <w:sz w:val="24"/>
          <w:u w:val="single"/>
        </w:rPr>
        <w:t>Deemed Issue of Additional Shares of Common Stock</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Corporation at any time or from time to time on or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 xml:space="preserve">If the terms of any Option or Convertible Security, the issuance of which resulted in an adjustment to the Applicable Conversion Price pursuant to the terms of </w:t>
      </w:r>
      <w:r>
        <w:rPr>
          <w:rFonts w:ascii="Times New Roman" w:hAnsi="Times New Roman"/>
          <w:color w:val="000000"/>
          <w:sz w:val="24"/>
          <w:u w:val="single"/>
        </w:rPr>
        <w:t>Subsection 4.4.4</w:t>
      </w:r>
      <w:r>
        <w:rPr>
          <w:rFonts w:ascii="Times New Roman" w:hAnsi="Times New Roman"/>
          <w:color w:val="000000"/>
          <w:sz w:val="24"/>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Applicable Conversion Price as would have obtained had such revised terms been in effect upon the original date of issuance of such Option or Convertible Security. Notwithstanding the foregoing, no readjustment pursuant to this clause (b) shall have the effect of increasing the Applicable Conversion Price to an amount which exceeds the lower of (i) the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rPr>
        <w:t xml:space="preserve">If the terms of any Option or Convertible Security (excluding Options or Convertible Securities which are themselves Exempted Securities), the issuance of which did not result in an adjustment to the Applicable Conversion Price pursuant to the terms of </w:t>
      </w:r>
      <w:r>
        <w:rPr>
          <w:rFonts w:ascii="Times New Roman" w:hAnsi="Times New Roman"/>
          <w:color w:val="000000"/>
          <w:sz w:val="24"/>
          <w:u w:val="single"/>
        </w:rPr>
        <w:t>Subsection 4.4.4</w:t>
      </w:r>
      <w:r>
        <w:rPr>
          <w:color w:val="000000"/>
        </w:rPr>
        <w:t xml:space="preserve"> </w:t>
      </w:r>
      <w:r>
        <w:rPr>
          <w:rFonts w:ascii="Times New Roman" w:hAnsi="Times New Roman"/>
          <w:color w:val="000000"/>
          <w:sz w:val="24"/>
        </w:rPr>
        <w:t xml:space="preserve">(either because the consideration per share (determined pursuant to </w:t>
      </w:r>
      <w:r>
        <w:rPr>
          <w:rFonts w:ascii="Times New Roman" w:hAnsi="Times New Roman"/>
          <w:color w:val="000000"/>
          <w:sz w:val="24"/>
          <w:u w:val="single"/>
        </w:rPr>
        <w:t>Subsection 4.4.5</w:t>
      </w:r>
      <w:r>
        <w:rPr>
          <w:rFonts w:ascii="Times New Roman" w:hAnsi="Times New Roman"/>
          <w:color w:val="000000"/>
          <w:sz w:val="24"/>
        </w:rPr>
        <w:t xml:space="preserve">) of the Additional Shares of Common Stock subject thereto was equal to or greater than the Applicable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hAnsi="Times New Roman"/>
          <w:color w:val="000000"/>
          <w:sz w:val="24"/>
          <w:u w:val="single"/>
        </w:rPr>
        <w:t>Subsection 4.4.3(a)</w:t>
      </w:r>
      <w:r>
        <w:rPr>
          <w:rFonts w:ascii="Times New Roman" w:hAnsi="Times New Roman"/>
          <w:color w:val="000000"/>
          <w:sz w:val="24"/>
        </w:rPr>
        <w:t>) shall be deemed to have been issued effective upon such increase or decrease becoming effective.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Times New Roman" w:hAnsi="Times New Roman"/>
          <w:color w:val="000000"/>
          <w:sz w:val="24"/>
          <w:u w:val="single"/>
        </w:rPr>
        <w:t>Subsection 4.4.4</w:t>
      </w:r>
      <w:r>
        <w:rPr>
          <w:rFonts w:ascii="Times New Roman" w:hAnsi="Times New Roman"/>
          <w:color w:val="000000"/>
          <w:sz w:val="24"/>
        </w:rPr>
        <w:t xml:space="preserve">, the Applicable Conversion Price shall be readjusted to such Applicable Conversion Price as would have obtained had such Option or Convertible Security (or portion thereof) never been issued.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Times New Roman" w:hAnsi="Times New Roman"/>
          <w:color w:val="000000"/>
          <w:sz w:val="24"/>
          <w:u w:val="single"/>
        </w:rPr>
        <w:t>Subsection 4.4.3</w:t>
      </w:r>
      <w:r>
        <w:rPr>
          <w:color w:val="000000"/>
        </w:rPr>
        <w:t xml:space="preserve"> </w:t>
      </w:r>
      <w:r>
        <w:rPr>
          <w:rFonts w:ascii="Times New Roman" w:hAnsi="Times New Roman"/>
          <w:color w:val="000000"/>
          <w:sz w:val="24"/>
        </w:rPr>
        <w:t xml:space="preserve">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Times New Roman" w:hAnsi="Times New Roman"/>
          <w:color w:val="000000"/>
          <w:sz w:val="24"/>
          <w:u w:val="single"/>
        </w:rPr>
        <w:t>Subsection 4.4.3</w:t>
      </w:r>
      <w:r>
        <w:rPr>
          <w:rFonts w:ascii="Times New Roman" w:hAnsi="Times New Roman"/>
          <w:color w:val="000000"/>
          <w:sz w:val="24"/>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Times New Roman" w:hAnsi="Times New Roman"/>
          <w:color w:val="000000"/>
          <w:sz w:val="24"/>
          <w:u w:val="single"/>
        </w:rPr>
        <w:t>Subsection 4.4.3</w:t>
      </w:r>
      <w:r>
        <w:rPr>
          <w:color w:val="000000"/>
        </w:rPr>
        <w:t xml:space="preserve"> </w:t>
      </w:r>
      <w:r>
        <w:rPr>
          <w:rFonts w:ascii="Times New Roman" w:hAnsi="Times New Roman"/>
          <w:color w:val="000000"/>
          <w:sz w:val="24"/>
        </w:rPr>
        <w:t xml:space="preserve">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4.4.4</w:t>
      </w:r>
    </w:p>
    <w:p>
      <w:pPr>
        <w:pStyle w:val="TextBody"/>
        <w:bidi w:val="0"/>
        <w:spacing w:before="240" w:after="283"/>
        <w:jc w:val="both"/>
        <w:rPr/>
      </w:pPr>
      <w:r>
        <w:rPr>
          <w:rFonts w:ascii="Times New Roman" w:hAnsi="Times New Roman"/>
          <w:color w:val="000000"/>
          <w:sz w:val="24"/>
          <w:u w:val="single"/>
        </w:rPr>
        <w:t>Adjustment of Conversion Price Upon Issuance of Additional Shares of Common Stock</w:t>
      </w:r>
      <w:r>
        <w:rPr>
          <w:rFonts w:ascii="Times New Roman" w:hAnsi="Times New Roman"/>
          <w:color w:val="000000"/>
          <w:sz w:val="24"/>
        </w:rPr>
        <w:t xml:space="preserve">. In the event the Corporation shall at any time or from time to time on or after the Original Issue Date issue Additional Shares of Common Stock (including Additional Shares of Common Stock deemed to be issued pursuant to </w:t>
      </w:r>
      <w:r>
        <w:rPr>
          <w:rFonts w:ascii="Times New Roman" w:hAnsi="Times New Roman"/>
          <w:color w:val="000000"/>
          <w:sz w:val="24"/>
          <w:u w:val="single"/>
        </w:rPr>
        <w:t>Subsection 4.4.3</w:t>
      </w:r>
      <w:r>
        <w:rPr>
          <w:rFonts w:ascii="Times New Roman" w:hAnsi="Times New Roman"/>
          <w:color w:val="000000"/>
          <w:sz w:val="24"/>
        </w:rPr>
        <w:t>), without consideration or for a consideration per share less than the Applicable Conversion Price in effect immediately prior to such issuance or deemed issuance, then the Applicable Conversion Price shall be reduced, concurrently with such issuance or deemed issuance, to a price (calculated to the nearest one-hundredth of a cent) determined in accordance with the following formula:</w:t>
      </w:r>
    </w:p>
    <w:p>
      <w:pPr>
        <w:pStyle w:val="TextBody"/>
        <w:bidi w:val="0"/>
        <w:spacing w:before="240" w:after="283"/>
        <w:jc w:val="center"/>
        <w:rPr>
          <w:rFonts w:ascii="Times New Roman" w:hAnsi="Times New Roman"/>
          <w:sz w:val="20"/>
        </w:rPr>
      </w:pPr>
      <w:r>
        <w:rPr>
          <w:rFonts w:ascii="Times New Roman" w:hAnsi="Times New Roman"/>
          <w:color w:val="000000"/>
          <w:sz w:val="24"/>
        </w:rPr>
        <w:t>CP</w:t>
      </w:r>
      <w:r>
        <w:rPr>
          <w:rFonts w:ascii="Times New Roman" w:hAnsi="Times New Roman"/>
          <w:color w:val="000000"/>
          <w:sz w:val="16"/>
        </w:rPr>
        <w:t>2</w:t>
      </w:r>
      <w:r>
        <w:rPr>
          <w:rFonts w:ascii="Times New Roman" w:hAnsi="Times New Roman"/>
          <w:color w:val="000000"/>
          <w:sz w:val="20"/>
        </w:rPr>
        <w:t xml:space="preserve"> </w:t>
      </w:r>
      <w:r>
        <w:rPr>
          <w:rFonts w:ascii="Times New Roman" w:hAnsi="Times New Roman"/>
          <w:color w:val="000000"/>
          <w:sz w:val="24"/>
        </w:rPr>
        <w:t>= (CP</w:t>
      </w:r>
      <w:r>
        <w:rPr>
          <w:rFonts w:ascii="Times New Roman" w:hAnsi="Times New Roman"/>
          <w:color w:val="000000"/>
          <w:sz w:val="16"/>
        </w:rPr>
        <w:t>1</w:t>
      </w:r>
      <w:r>
        <w:rPr>
          <w:rFonts w:ascii="Times New Roman" w:hAnsi="Times New Roman"/>
          <w:color w:val="000000"/>
          <w:sz w:val="24"/>
        </w:rPr>
        <w:t>* (A + B)) ÷ (A + C).</w:t>
      </w:r>
    </w:p>
    <w:p>
      <w:pPr>
        <w:pStyle w:val="TextBody"/>
        <w:bidi w:val="0"/>
        <w:spacing w:before="240" w:after="283"/>
        <w:jc w:val="both"/>
        <w:rPr>
          <w:rFonts w:ascii="Times New Roman" w:hAnsi="Times New Roman"/>
          <w:sz w:val="20"/>
        </w:rPr>
      </w:pPr>
      <w:r>
        <w:rPr>
          <w:rFonts w:ascii="Times New Roman" w:hAnsi="Times New Roman"/>
          <w:color w:val="000000"/>
          <w:sz w:val="24"/>
        </w:rPr>
        <w:t>For purposes of the foregoing formula, the following definitions shall apply: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color w:val="000000"/>
        </w:rPr>
        <w:t>“</w:t>
      </w:r>
      <w:r>
        <w:rPr>
          <w:rFonts w:ascii="Times New Roman" w:hAnsi="Times New Roman"/>
          <w:color w:val="000000"/>
          <w:sz w:val="24"/>
        </w:rPr>
        <w:t>CP</w:t>
      </w:r>
      <w:r>
        <w:rPr>
          <w:rFonts w:ascii="Times New Roman" w:hAnsi="Times New Roman"/>
          <w:color w:val="000000"/>
          <w:sz w:val="16"/>
        </w:rPr>
        <w:t>2</w:t>
      </w:r>
      <w:r>
        <w:rPr>
          <w:color w:val="000000"/>
        </w:rPr>
        <w:t xml:space="preserve">” </w:t>
      </w:r>
      <w:r>
        <w:rPr>
          <w:rFonts w:ascii="Times New Roman" w:hAnsi="Times New Roman"/>
          <w:color w:val="000000"/>
          <w:sz w:val="24"/>
        </w:rPr>
        <w:t>shall mean the Applicable Conversion Price in effect immediately after such issuance or deemed issuance of Additional Shares of Common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color w:val="000000"/>
        </w:rPr>
        <w:t>“</w:t>
      </w:r>
      <w:r>
        <w:rPr>
          <w:rFonts w:ascii="Times New Roman" w:hAnsi="Times New Roman"/>
          <w:color w:val="000000"/>
          <w:sz w:val="24"/>
        </w:rPr>
        <w:t>CP</w:t>
      </w:r>
      <w:r>
        <w:rPr>
          <w:rFonts w:ascii="Times New Roman" w:hAnsi="Times New Roman"/>
          <w:color w:val="000000"/>
          <w:sz w:val="16"/>
        </w:rPr>
        <w:t>1</w:t>
      </w:r>
      <w:r>
        <w:rPr>
          <w:color w:val="000000"/>
        </w:rPr>
        <w:t xml:space="preserve">” </w:t>
      </w:r>
      <w:r>
        <w:rPr>
          <w:rFonts w:ascii="Times New Roman" w:hAnsi="Times New Roman"/>
          <w:color w:val="000000"/>
          <w:sz w:val="24"/>
        </w:rPr>
        <w:t xml:space="preserve">shall mean the Applicable Conversion Price in effect immediately prior to such issuance or deemed issuance of Additional Shares of Common Stock;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color w:val="000000"/>
        </w:rPr>
      </w:pPr>
      <w:r>
        <w:rPr>
          <w:color w:val="000000"/>
        </w:rPr>
        <w:t>“</w:t>
      </w:r>
      <w:r>
        <w:rPr>
          <w:rFonts w:ascii="Times New Roman" w:hAnsi="Times New Roman"/>
          <w:color w:val="000000"/>
          <w:sz w:val="24"/>
        </w:rPr>
        <w:t xml:space="preserve">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color w:val="000000"/>
        </w:rPr>
        <w:t>“</w:t>
      </w:r>
      <w:r>
        <w:rPr>
          <w:rFonts w:ascii="Times New Roman" w:hAnsi="Times New Roman"/>
          <w:color w:val="000000"/>
          <w:sz w:val="24"/>
        </w:rPr>
        <w:t>B” shall mean the number of shares of Common Stock that would have been issued if such Additional Shares of Common Stock had been issued or deemed issued at a price per share equal to CP</w:t>
      </w:r>
      <w:r>
        <w:rPr>
          <w:rFonts w:ascii="Times New Roman" w:hAnsi="Times New Roman"/>
          <w:color w:val="000000"/>
          <w:sz w:val="16"/>
        </w:rPr>
        <w:t>1</w:t>
      </w:r>
      <w:r>
        <w:rPr>
          <w:color w:val="000000"/>
        </w:rPr>
        <w:t xml:space="preserve"> </w:t>
      </w:r>
      <w:r>
        <w:rPr>
          <w:rFonts w:ascii="Times New Roman" w:hAnsi="Times New Roman"/>
          <w:color w:val="000000"/>
          <w:sz w:val="24"/>
        </w:rPr>
        <w:t>(determined by dividing the aggregate consideration received by the Corporation in respect of such issue by CP</w:t>
      </w:r>
      <w:r>
        <w:rPr>
          <w:rFonts w:ascii="Times New Roman" w:hAnsi="Times New Roman"/>
          <w:color w:val="000000"/>
          <w:sz w:val="16"/>
        </w:rPr>
        <w:t>1</w:t>
      </w:r>
      <w:r>
        <w:rPr>
          <w:rFonts w:ascii="Times New Roman" w:hAnsi="Times New Roman"/>
          <w:color w:val="000000"/>
          <w:sz w:val="24"/>
        </w:rPr>
        <w: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color w:val="000000"/>
        </w:rPr>
      </w:pPr>
      <w:r>
        <w:rPr>
          <w:color w:val="000000"/>
        </w:rPr>
        <w:t>“</w:t>
      </w:r>
      <w:r>
        <w:rPr>
          <w:rFonts w:ascii="Times New Roman" w:hAnsi="Times New Roman"/>
          <w:color w:val="000000"/>
          <w:sz w:val="24"/>
        </w:rPr>
        <w:t xml:space="preserve">C” shall mean the number of such Additional Shares of Common Stock issued in such transaction.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4.4.5</w:t>
      </w:r>
    </w:p>
    <w:p>
      <w:pPr>
        <w:pStyle w:val="TextBody"/>
        <w:bidi w:val="0"/>
        <w:spacing w:before="240" w:after="283"/>
        <w:jc w:val="both"/>
        <w:rPr/>
      </w:pPr>
      <w:r>
        <w:rPr>
          <w:rFonts w:ascii="Times New Roman" w:hAnsi="Times New Roman"/>
          <w:color w:val="000000"/>
          <w:sz w:val="24"/>
          <w:u w:val="single"/>
        </w:rPr>
        <w:t>Determination of Consideration</w:t>
      </w:r>
      <w:r>
        <w:rPr>
          <w:rFonts w:ascii="Times New Roman" w:hAnsi="Times New Roman"/>
          <w:color w:val="000000"/>
          <w:sz w:val="24"/>
        </w:rPr>
        <w:t xml:space="preserve">. For purposes of this </w:t>
      </w:r>
      <w:r>
        <w:rPr>
          <w:rFonts w:ascii="Times New Roman" w:hAnsi="Times New Roman"/>
          <w:color w:val="000000"/>
          <w:sz w:val="24"/>
          <w:u w:val="single"/>
        </w:rPr>
        <w:t>Subsection 4.4</w:t>
      </w:r>
      <w:r>
        <w:rPr>
          <w:rFonts w:ascii="Times New Roman" w:hAnsi="Times New Roman"/>
          <w:color w:val="000000"/>
          <w:sz w:val="24"/>
        </w:rPr>
        <w:t>, the consideration received by the Corporation for the issuance or deemed issuance of any Additional Shares of Common Stock shall be computed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Cash and Property</w:t>
      </w:r>
      <w:r>
        <w:rPr>
          <w:rFonts w:ascii="Times New Roman" w:hAnsi="Times New Roman"/>
          <w:color w:val="000000"/>
          <w:sz w:val="24"/>
        </w:rPr>
        <w:t>: Such consideration shall: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insofar as it consists of cash, be computed at the aggregate amount of cash received by the Corporation, excluding amounts paid or payable for accrued interest;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insofar as it consists of property other than cash, be computed at the fair market value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thereof at the time of such issue, as determined in good faith by the Board of Directors;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Options and Convertible Securities</w:t>
      </w:r>
      <w:r>
        <w:rPr>
          <w:rFonts w:ascii="Times New Roman" w:hAnsi="Times New Roman"/>
          <w:color w:val="000000"/>
          <w:sz w:val="24"/>
        </w:rPr>
        <w:t xml:space="preserve">. The consideration per share received by the Corporation for Additional Shares of Common Stock deemed to have been issued pursuant to </w:t>
      </w:r>
      <w:r>
        <w:rPr>
          <w:rFonts w:ascii="Times New Roman" w:hAnsi="Times New Roman"/>
          <w:color w:val="000000"/>
          <w:sz w:val="24"/>
          <w:u w:val="single"/>
        </w:rPr>
        <w:t>Subsection 4.4.3</w:t>
      </w:r>
      <w:r>
        <w:rPr>
          <w:rFonts w:ascii="Times New Roman" w:hAnsi="Times New Roman"/>
          <w:color w:val="000000"/>
          <w:sz w:val="24"/>
        </w:rPr>
        <w:t>, relating to Options and Convertible Securities, shall be determined by dividing: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4.4.6</w:t>
      </w:r>
    </w:p>
    <w:p>
      <w:pPr>
        <w:pStyle w:val="TextBody"/>
        <w:bidi w:val="0"/>
        <w:spacing w:before="240" w:after="283"/>
        <w:jc w:val="both"/>
        <w:rPr/>
      </w:pPr>
      <w:r>
        <w:rPr>
          <w:rFonts w:ascii="Times New Roman" w:hAnsi="Times New Roman"/>
          <w:color w:val="000000"/>
          <w:sz w:val="24"/>
          <w:u w:val="single"/>
        </w:rPr>
        <w:t>Multiple Closing Dates</w:t>
      </w:r>
      <w:r>
        <w:rPr>
          <w:rFonts w:ascii="Times New Roman" w:hAnsi="Times New Roman"/>
          <w:color w:val="000000"/>
          <w:sz w:val="24"/>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Times New Roman" w:hAnsi="Times New Roman"/>
          <w:color w:val="000000"/>
          <w:sz w:val="24"/>
          <w:u w:val="single"/>
        </w:rPr>
        <w:t>Subsection 4.4.4</w:t>
      </w:r>
      <w:r>
        <w:rPr>
          <w:rFonts w:ascii="Times New Roman" w:hAnsi="Times New Roman"/>
          <w:color w:val="000000"/>
          <w:sz w:val="24"/>
        </w:rPr>
        <w:t>, and such issuance dates occur within a period of no more than ninety (90) days from the first such issuance to the final such issuance,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4.5</w:t>
      </w:r>
    </w:p>
    <w:p>
      <w:pPr>
        <w:pStyle w:val="TextBody"/>
        <w:bidi w:val="0"/>
        <w:spacing w:before="240" w:after="283"/>
        <w:jc w:val="both"/>
        <w:rPr/>
      </w:pPr>
      <w:r>
        <w:rPr>
          <w:rFonts w:ascii="Times New Roman" w:hAnsi="Times New Roman"/>
          <w:color w:val="000000"/>
          <w:sz w:val="24"/>
          <w:u w:val="single"/>
        </w:rPr>
        <w:t>Adjustment for Stock Splits and Combinations</w:t>
      </w:r>
      <w:r>
        <w:rPr>
          <w:rFonts w:ascii="Times New Roman" w:hAnsi="Times New Roman"/>
          <w:color w:val="000000"/>
          <w:sz w:val="24"/>
        </w:rPr>
        <w:t>. If the Corporation shall at any time or from time to time after the Original Issue Date effect a subdivision of the outstanding Common Stock, the Applicable Conversion Price in effect immediately before that subdivision shall be proportionately decreased so that the number of shares of Voting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Applicable Conversion Price in effect immediately before the combination shall be proportionately increased so that the number of shares of Voting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4.6</w:t>
      </w:r>
    </w:p>
    <w:p>
      <w:pPr>
        <w:pStyle w:val="TextBody"/>
        <w:bidi w:val="0"/>
        <w:spacing w:before="240" w:after="283"/>
        <w:jc w:val="both"/>
        <w:rPr/>
      </w:pPr>
      <w:r>
        <w:rPr>
          <w:rFonts w:ascii="Times New Roman" w:hAnsi="Times New Roman"/>
          <w:color w:val="000000"/>
          <w:sz w:val="24"/>
          <w:u w:val="single"/>
        </w:rPr>
        <w:t>Adjustment for Certain Dividends and Distributions</w:t>
      </w:r>
      <w:r>
        <w:rPr>
          <w:rFonts w:ascii="Times New Roman" w:hAnsi="Times New Roman"/>
          <w:color w:val="000000"/>
          <w:sz w:val="24"/>
        </w:rPr>
        <w:t>. In the event the Corporation at any time or from time to time after the Original Issue Date shall make or issue, or fix a record date for the determination of holders of Common Stock entitled to receive, a dividend or other distribution payable on Common Stock in additional shares of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numerator of which shall be the total number of shares of Common Stock issued and outstanding immediately prior to the time of such issuance or the close of business on such record date,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such Applicable Conversion Price shall be adjusted pursuant to this subsection as of the time of actual payment of such dividends or distributions; and (b) no such adjustment shall be</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made if the holders of Preferred Stock simultaneously receive a dividend or other distribution of shares of Common Stock in a number equal to the number of shares of Voting Common Stock as they would have received if all outstanding shares of Preferred Stock had been converted into Voting Common Stock on the date of such event.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4.7</w:t>
      </w:r>
    </w:p>
    <w:p>
      <w:pPr>
        <w:pStyle w:val="TextBody"/>
        <w:bidi w:val="0"/>
        <w:spacing w:before="240" w:after="283"/>
        <w:jc w:val="both"/>
        <w:rPr/>
      </w:pPr>
      <w:r>
        <w:rPr>
          <w:rFonts w:ascii="Times New Roman" w:hAnsi="Times New Roman"/>
          <w:color w:val="000000"/>
          <w:sz w:val="24"/>
          <w:u w:val="single"/>
        </w:rPr>
        <w:t>Adjustments for Other Dividends and Distributions</w:t>
      </w:r>
      <w:r>
        <w:rPr>
          <w:rFonts w:ascii="Times New Roman" w:hAnsi="Times New Roman"/>
          <w:color w:val="000000"/>
          <w:sz w:val="24"/>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hAnsi="Times New Roman"/>
          <w:color w:val="000000"/>
          <w:sz w:val="24"/>
          <w:u w:val="single"/>
        </w:rPr>
        <w:t>Section 1</w:t>
      </w:r>
      <w:r>
        <w:rPr>
          <w:color w:val="000000"/>
        </w:rPr>
        <w:t xml:space="preserve"> </w:t>
      </w:r>
      <w:r>
        <w:rPr>
          <w:rFonts w:ascii="Times New Roman" w:hAnsi="Times New Roman"/>
          <w:color w:val="000000"/>
          <w:sz w:val="24"/>
        </w:rPr>
        <w:t>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Voting Common Stock on the date of such event.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4.8</w:t>
      </w:r>
    </w:p>
    <w:p>
      <w:pPr>
        <w:pStyle w:val="TextBody"/>
        <w:bidi w:val="0"/>
        <w:spacing w:before="240" w:after="283"/>
        <w:jc w:val="both"/>
        <w:rPr/>
      </w:pPr>
      <w:r>
        <w:rPr>
          <w:rFonts w:ascii="Times New Roman" w:hAnsi="Times New Roman"/>
          <w:color w:val="000000"/>
          <w:sz w:val="24"/>
          <w:u w:val="single"/>
        </w:rPr>
        <w:t>Adjustment for Merger or Reorganization, etc</w:t>
      </w:r>
      <w:r>
        <w:rPr>
          <w:rFonts w:ascii="Times New Roman" w:hAnsi="Times New Roman"/>
          <w:color w:val="000000"/>
          <w:sz w:val="24"/>
        </w:rPr>
        <w:t xml:space="preserve">. Subject to the provisions of </w:t>
      </w:r>
      <w:r>
        <w:rPr>
          <w:rFonts w:ascii="Times New Roman" w:hAnsi="Times New Roman"/>
          <w:color w:val="000000"/>
          <w:sz w:val="24"/>
          <w:u w:val="single"/>
        </w:rPr>
        <w:t>Subsection 2.6</w:t>
      </w:r>
      <w:r>
        <w:rPr>
          <w:rFonts w:ascii="Times New Roman" w:hAnsi="Times New Roman"/>
          <w:color w:val="000000"/>
          <w:sz w:val="24"/>
        </w:rPr>
        <w:t xml:space="preserve">, if there shall occur any reorganization, recapitalization, reclassification, consolidation, merger or statutory conversion involving the Corporation in which Voting Common Stock (but not the Preferred Stock) is converted into or exchanged for securities, cash or other property (other than a transaction covered by </w:t>
      </w:r>
      <w:r>
        <w:rPr>
          <w:rFonts w:ascii="Times New Roman" w:hAnsi="Times New Roman"/>
          <w:color w:val="000000"/>
          <w:sz w:val="24"/>
          <w:u w:val="single"/>
        </w:rPr>
        <w:t>Subsections 4.5</w:t>
      </w:r>
      <w:r>
        <w:rPr>
          <w:rFonts w:ascii="Times New Roman" w:hAnsi="Times New Roman"/>
          <w:color w:val="000000"/>
          <w:sz w:val="24"/>
        </w:rPr>
        <w:t xml:space="preserve">, </w:t>
      </w:r>
      <w:r>
        <w:rPr>
          <w:rFonts w:ascii="Times New Roman" w:hAnsi="Times New Roman"/>
          <w:color w:val="000000"/>
          <w:sz w:val="24"/>
          <w:u w:val="single"/>
        </w:rPr>
        <w:t>4.6</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4.7</w:t>
      </w:r>
      <w:r>
        <w:rPr>
          <w:rFonts w:ascii="Times New Roman" w:hAnsi="Times New Roman"/>
          <w:color w:val="000000"/>
          <w:sz w:val="24"/>
        </w:rPr>
        <w:t xml:space="preserve">), then, following any such reorganization, recapitalization, reclassification, consolidation, merger or statutory conversion, each share of Preferred Stock shall thereafter be convertible in lieu of Voting Common Stock into which it was convertible prior to such event into the kind and amount of securities, cash or other property which a holder of the number of shares of Voting Common Stock of the Corporation issuable upon conversion of one share of Series A Preferred Stock, Series A-1 Preferred Stock, Series A-2 Preferred Stock, Series B Preferred Stock, Series C Preferred Stock, Series C-1 Preferred Stock or Series D Preferred Stock, as applicable, immediately prior to such reorganization, recapitalization, reclassification, consolidation, merger or statutory conversion would have been entitled to receive pursuant to such transaction; and, in such case, appropriate adjustment (as determined in good faith by the Board of Directors) shall be made in the application of the provisions in this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 xml:space="preserve">with respect to the rights and interests thereafter of the holders of the Preferred Stock, to the end that the provisions set forth in this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 xml:space="preserve">(including provisions with respect to changes in and other adjustments of the Applicable Conversion Price) shall thereafter be applicable, as nearly as reasonably may be, in relation to any securities or other property thereafter deliverable upon the conversion of the Preferred Stock.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4.9</w:t>
      </w:r>
    </w:p>
    <w:p>
      <w:pPr>
        <w:pStyle w:val="TextBody"/>
        <w:bidi w:val="0"/>
        <w:spacing w:before="240" w:after="283"/>
        <w:jc w:val="both"/>
        <w:rPr/>
      </w:pPr>
      <w:r>
        <w:rPr>
          <w:rFonts w:ascii="Times New Roman" w:hAnsi="Times New Roman"/>
          <w:color w:val="000000"/>
          <w:sz w:val="24"/>
          <w:u w:val="single"/>
        </w:rPr>
        <w:t>Certificate as to Adjustments</w:t>
      </w:r>
      <w:r>
        <w:rPr>
          <w:rFonts w:ascii="Times New Roman" w:hAnsi="Times New Roman"/>
          <w:color w:val="000000"/>
          <w:sz w:val="24"/>
        </w:rPr>
        <w:t xml:space="preserve">. Upon the occurrence of each adjustment or readjustment of the Applicable Conversion Price pursuant to this </w:t>
      </w:r>
      <w:r>
        <w:rPr>
          <w:rFonts w:ascii="Times New Roman" w:hAnsi="Times New Roman"/>
          <w:color w:val="000000"/>
          <w:sz w:val="24"/>
          <w:u w:val="single"/>
        </w:rPr>
        <w:t>Section 4</w:t>
      </w:r>
      <w:r>
        <w:rPr>
          <w:rFonts w:ascii="Times New Roman" w:hAnsi="Times New Roman"/>
          <w:color w:val="000000"/>
          <w:sz w:val="24"/>
        </w:rPr>
        <w:t xml:space="preserve">, the Corporation at its expense shall, as promptly as reasonably practicable but in any event not later than ten (10) days thereafter, compute such adjustment or readjustment in accordance with the terms hereof and furnish to each holder of Series A Preferred Stock, Series A-1 Preferred Stock, Series A-2 Preferred Stock, Series B Preferred Stock, Series C Preferred Stock, Series C-1 Preferred Stock or Series D Preferred Stock, as applicable, a certificate setting forth such adjustment or readjustment (including the kind and amount of securities, cash or other property into which the Preferred Stock is convertible) and showing in detail the facts upon which such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Applicable Conversion Price then in effect, and (ii) the number of shares of Voting Common Stock and the amount, if any, of other securities, cash or property which then would be received upon the conversion of Series A Preferred Stock, Series A-1 Preferred Stock, Series A-2 Preferred Stock, Series B Preferred Stock, Series C Preferred Stock, Series C-1 Preferred Stock or Series D Preferred Stock, as applicable.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4.10</w:t>
      </w:r>
    </w:p>
    <w:p>
      <w:pPr>
        <w:pStyle w:val="TextBody"/>
        <w:bidi w:val="0"/>
        <w:spacing w:before="240" w:after="283"/>
        <w:jc w:val="both"/>
        <w:rPr/>
      </w:pPr>
      <w:r>
        <w:rPr>
          <w:rFonts w:ascii="Times New Roman" w:hAnsi="Times New Roman"/>
          <w:color w:val="000000"/>
          <w:sz w:val="24"/>
          <w:u w:val="single"/>
        </w:rPr>
        <w:t>Notice of Record Date</w:t>
      </w:r>
      <w:r>
        <w:rPr>
          <w:rFonts w:ascii="Times New Roman" w:hAnsi="Times New Roman"/>
          <w:color w:val="000000"/>
          <w:sz w:val="24"/>
        </w:rPr>
        <w:t>. In the event: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of any capital reorganization of the Corporation, any reclassification of Common Stock of the Corporation, or any Deemed Liquidation Event;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of the voluntary or involuntary dissolution, liquidation or winding-up of the Corporation,</w:t>
      </w:r>
    </w:p>
    <w:p>
      <w:pPr>
        <w:pStyle w:val="TextBody"/>
        <w:bidi w:val="0"/>
        <w:spacing w:before="240" w:after="283"/>
        <w:jc w:val="both"/>
        <w:rPr>
          <w:rFonts w:ascii="Times New Roman" w:hAnsi="Times New Roman"/>
          <w:sz w:val="20"/>
        </w:rPr>
      </w:pPr>
      <w:r>
        <w:rPr>
          <w:rFonts w:ascii="Times New Roman" w:hAnsi="Times New Roman"/>
          <w:color w:val="000000"/>
          <w:sz w:val="24"/>
        </w:rPr>
        <w:t>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Deemed Liquidation Event,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Deemed Liquidation Event, dissolution, liquidation or winding-up, and the amount per share and character of such exchange applicable to the Preferred Stock and Common Stock. Such notice shall be sent at least ten (10) days prior to the record date or effective date for the event specified in such notice.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Mandatory Conversion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5.1</w:t>
      </w:r>
    </w:p>
    <w:p>
      <w:pPr>
        <w:pStyle w:val="TextBody"/>
        <w:bidi w:val="0"/>
        <w:spacing w:before="240" w:after="283"/>
        <w:jc w:val="both"/>
        <w:rPr/>
      </w:pPr>
      <w:r>
        <w:rPr>
          <w:rFonts w:ascii="Times New Roman" w:hAnsi="Times New Roman"/>
          <w:color w:val="000000"/>
          <w:sz w:val="24"/>
          <w:u w:val="single"/>
        </w:rPr>
        <w:t>Trigger Events</w:t>
      </w:r>
      <w:r>
        <w:rPr>
          <w:rFonts w:ascii="Times New Roman" w:hAnsi="Times New Roman"/>
          <w:color w:val="000000"/>
          <w:sz w:val="24"/>
        </w:rPr>
        <w:t>. Upon either (a) the closing of the sale of shares of Voting Common Stock to the public in a firm-commitment underwritten public offering pursuant to an effective registration statement under the Securities Act of 1933, as amended, on the New York Stock Exchange or the Nasdaq Stock Market resulting in at least $100,000,000 of gross proceeds, net of the underwriting discount and commissions, to the Corporation (a “</w:t>
      </w:r>
      <w:r>
        <w:rPr>
          <w:rFonts w:ascii="Times New Roman" w:hAnsi="Times New Roman"/>
          <w:b/>
          <w:color w:val="000000"/>
          <w:sz w:val="24"/>
        </w:rPr>
        <w:t>Qualified IPO</w:t>
      </w:r>
      <w:r>
        <w:rPr>
          <w:color w:val="000000"/>
        </w:rPr>
        <w:t>”</w:t>
      </w:r>
      <w:r>
        <w:rPr>
          <w:rFonts w:ascii="Times New Roman" w:hAnsi="Times New Roman"/>
          <w:color w:val="000000"/>
          <w:sz w:val="24"/>
        </w:rPr>
        <w:t>), (b) the completion by the Corporation of a business combination, merger, consolidation or share exchange with a special purpose acquisition company (a “</w:t>
      </w:r>
      <w:r>
        <w:rPr>
          <w:rFonts w:ascii="Times New Roman" w:hAnsi="Times New Roman"/>
          <w:b/>
          <w:color w:val="000000"/>
          <w:sz w:val="24"/>
        </w:rPr>
        <w:t>SPAC</w:t>
      </w:r>
      <w:r>
        <w:rPr>
          <w:color w:val="000000"/>
        </w:rPr>
        <w:t>”</w:t>
      </w:r>
      <w:r>
        <w:rPr>
          <w:rFonts w:ascii="Times New Roman" w:hAnsi="Times New Roman"/>
          <w:color w:val="000000"/>
          <w:sz w:val="24"/>
        </w:rPr>
        <w:t xml:space="preserve">) or its subsidiary in which the common stock (or substantively similar securities) of the surviving or parent entity is listed on the New York Stock Exchange or the Nasdaq Stock Market, and in connection therewith, as of the consummation of such transaction, after taking into account any redemptions from the SPAC’s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trust account, the surviving entity or parent entity holds at least $100,000,000 in cash, whether such cash is held in trust by the sponsor of the SPAC or such cash represents gross proceeds, net underwriting discount and commissions, from the sale of its equity securities concurrently with such business combination, merger, consolidation or share exchange, or (c) the date and time, or the occurrence of an event, specified by vote or written consent of (1) the Series D Required Holders and (2) the holders of a majority of the outstanding shares of Series A Preferred Stock, Series A-1 Preferred Stock, Series A-2 Preferred Stock, Series B Preferred Stock, Series C Preferred Stock and Series C-1 Preferred Stock, consenting or voting (as the case may be) together as a single class on an as-converted to Voting Common Stock basis (the time of such closing or the date and time specified or the time of the event specified in such vote or written consent is referred to herein as the “</w:t>
      </w:r>
      <w:r>
        <w:rPr>
          <w:rFonts w:ascii="Times New Roman" w:hAnsi="Times New Roman"/>
          <w:b/>
          <w:color w:val="000000"/>
          <w:sz w:val="24"/>
        </w:rPr>
        <w:t>Mandatory Conversion Time</w:t>
      </w:r>
      <w:r>
        <w:rPr>
          <w:color w:val="000000"/>
        </w:rPr>
        <w:t>”</w:t>
      </w:r>
      <w:r>
        <w:rPr>
          <w:rFonts w:ascii="Times New Roman" w:hAnsi="Times New Roman"/>
          <w:color w:val="000000"/>
          <w:sz w:val="24"/>
        </w:rPr>
        <w:t xml:space="preserve">), then (A) all outstanding shares of Preferred Stock shall automatically be converted into shares of Voting Common Stock, at the then effective conversion rate as calculated pursuant to </w:t>
      </w:r>
      <w:r>
        <w:rPr>
          <w:rFonts w:ascii="Times New Roman" w:hAnsi="Times New Roman"/>
          <w:color w:val="000000"/>
          <w:sz w:val="24"/>
          <w:u w:val="single"/>
        </w:rPr>
        <w:t>Subsection 4.1.1</w:t>
      </w:r>
      <w:r>
        <w:rPr>
          <w:color w:val="000000"/>
        </w:rPr>
        <w:t xml:space="preserve"> </w:t>
      </w:r>
      <w:r>
        <w:rPr>
          <w:rFonts w:ascii="Times New Roman" w:hAnsi="Times New Roman"/>
          <w:color w:val="000000"/>
          <w:sz w:val="24"/>
        </w:rPr>
        <w:t xml:space="preserve">and (B) such shares may not be reissued by the Corporation. Notwithstanding anything to the contrary set forth in </w:t>
      </w:r>
      <w:r>
        <w:rPr>
          <w:rFonts w:ascii="Times New Roman" w:hAnsi="Times New Roman"/>
          <w:color w:val="000000"/>
          <w:sz w:val="24"/>
          <w:u w:val="single"/>
        </w:rPr>
        <w:t>Subsection 3.3.2</w:t>
      </w:r>
      <w:r>
        <w:rPr>
          <w:rFonts w:ascii="Times New Roman" w:hAnsi="Times New Roman"/>
          <w:color w:val="000000"/>
          <w:sz w:val="24"/>
        </w:rPr>
        <w:t xml:space="preserve">, the Corporation shall not, either directly or indirectly by amendment, merger, consolidation, recapitalization, reclassification, statutory conversion or otherwise, amend, alter, waive or repeal this </w:t>
      </w:r>
      <w:r>
        <w:rPr>
          <w:rFonts w:ascii="Times New Roman" w:hAnsi="Times New Roman"/>
          <w:color w:val="000000"/>
          <w:sz w:val="24"/>
          <w:u w:val="single"/>
        </w:rPr>
        <w:t>Subsection 5.1</w:t>
      </w:r>
      <w:r>
        <w:rPr>
          <w:color w:val="000000"/>
        </w:rPr>
        <w:t xml:space="preserve"> </w:t>
      </w:r>
      <w:r>
        <w:rPr>
          <w:rFonts w:ascii="Times New Roman" w:hAnsi="Times New Roman"/>
          <w:color w:val="000000"/>
          <w:sz w:val="24"/>
        </w:rPr>
        <w:t>without (in addition to any other vote required by law or the Certificate of Incorporation) the written consent or affirmative vote of (A) the Series D Required Holders and (B) the holders of a majority of the outstanding shares of Series A Preferred Stock, Series A-1 Preferred Stock, Series A-2 Preferred Stock, Series B Preferred Stock, Series C Preferred Stock and Series C-1 Preferred Stock, consenting or voting (as the case may be) together as a single class on an as-converted to Voting Common Stock basis.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5.2</w:t>
      </w:r>
    </w:p>
    <w:p>
      <w:pPr>
        <w:pStyle w:val="TextBody"/>
        <w:bidi w:val="0"/>
        <w:spacing w:before="240" w:after="283"/>
        <w:jc w:val="both"/>
        <w:rPr/>
      </w:pPr>
      <w:r>
        <w:rPr>
          <w:rFonts w:ascii="Times New Roman" w:hAnsi="Times New Roman"/>
          <w:color w:val="000000"/>
          <w:sz w:val="24"/>
          <w:u w:val="single"/>
        </w:rPr>
        <w:t>Procedural Requirements</w:t>
      </w:r>
      <w:r>
        <w:rPr>
          <w:rFonts w:ascii="Times New Roman" w:hAnsi="Times New Roman"/>
          <w:color w:val="000000"/>
          <w:sz w:val="24"/>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 w:hAnsi="Times New Roman"/>
          <w:color w:val="000000"/>
          <w:sz w:val="24"/>
          <w:u w:val="single"/>
        </w:rPr>
        <w:t>Section 5</w:t>
      </w:r>
      <w:r>
        <w:rPr>
          <w:rFonts w:ascii="Times New Roman" w:hAnsi="Times New Roman"/>
          <w:color w:val="000000"/>
          <w:sz w:val="24"/>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hAnsi="Times New Roman"/>
          <w:color w:val="000000"/>
          <w:sz w:val="24"/>
          <w:u w:val="single"/>
        </w:rPr>
        <w:t>Subsection 5.1</w:t>
      </w:r>
      <w:r>
        <w:rPr>
          <w:rFonts w:ascii="Times New Roman" w:hAnsi="Times New Roman"/>
          <w:color w:val="000000"/>
          <w:sz w:val="24"/>
        </w:rPr>
        <w:t xml:space="preserve">, including the rights, if any, to receive notices and vote (other than as a holder of Voting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hAnsi="Times New Roman"/>
          <w:color w:val="000000"/>
          <w:sz w:val="24"/>
          <w:u w:val="single"/>
        </w:rPr>
        <w:t>Subsection 5.2</w:t>
      </w:r>
      <w:r>
        <w:rPr>
          <w:rFonts w:ascii="Times New Roman" w:hAnsi="Times New Roman"/>
          <w:color w:val="000000"/>
          <w:sz w:val="24"/>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Voting Common Stock issuable upon such conversion in accordance with the provisions hereof and (b) pay any declared but unpaid dividends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Special Mandatory Conversion.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6.1</w:t>
      </w:r>
    </w:p>
    <w:p>
      <w:pPr>
        <w:pStyle w:val="TextBody"/>
        <w:bidi w:val="0"/>
        <w:spacing w:before="240" w:after="283"/>
        <w:jc w:val="both"/>
        <w:rPr/>
      </w:pPr>
      <w:r>
        <w:rPr>
          <w:rFonts w:ascii="Times New Roman" w:hAnsi="Times New Roman"/>
          <w:color w:val="000000"/>
          <w:sz w:val="24"/>
          <w:u w:val="single"/>
        </w:rPr>
        <w:t>Trigger Event</w:t>
      </w:r>
      <w:r>
        <w:rPr>
          <w:rFonts w:ascii="Times New Roman" w:hAnsi="Times New Roman"/>
          <w:color w:val="000000"/>
          <w:sz w:val="24"/>
        </w:rPr>
        <w:t>. In the event that any holder of shares of Series A Preferred Stock, Series A-1 Preferred Stock, Series A-2 Preferred Stock, Series B Preferred Stock, Series C Preferred Stock, and/or Series C-1 Preferred Stock (each, an “</w:t>
      </w:r>
      <w:r>
        <w:rPr>
          <w:rFonts w:ascii="Times New Roman" w:hAnsi="Times New Roman"/>
          <w:b/>
          <w:color w:val="000000"/>
          <w:sz w:val="24"/>
        </w:rPr>
        <w:t>Existing</w:t>
      </w:r>
      <w:r>
        <w:rPr>
          <w:color w:val="000000"/>
        </w:rPr>
        <w:t xml:space="preserve"> </w:t>
      </w:r>
      <w:r>
        <w:rPr>
          <w:rFonts w:ascii="Times New Roman" w:hAnsi="Times New Roman"/>
          <w:b/>
          <w:color w:val="000000"/>
          <w:sz w:val="24"/>
        </w:rPr>
        <w:t>Holder</w:t>
      </w:r>
      <w:r>
        <w:rPr>
          <w:color w:val="000000"/>
        </w:rPr>
        <w:t>”</w:t>
      </w:r>
      <w:r>
        <w:rPr>
          <w:rFonts w:ascii="Times New Roman" w:hAnsi="Times New Roman"/>
          <w:color w:val="000000"/>
          <w:sz w:val="24"/>
        </w:rPr>
        <w:t>) does not participate in the Series D Financing (as defined below) by purchasing, on the Original Issue Date (or such later date (not to exceed ten (10) days following the Original Issue Date) as the Board of Directors may have approved on or prior to the Original Issue Date with respect to one or more Existing Holders (such a later date, an “</w:t>
      </w:r>
      <w:r>
        <w:rPr>
          <w:rFonts w:ascii="Times New Roman" w:hAnsi="Times New Roman"/>
          <w:b/>
          <w:color w:val="000000"/>
          <w:sz w:val="24"/>
        </w:rPr>
        <w:t>Extended Deadline</w:t>
      </w:r>
      <w:r>
        <w:rPr>
          <w:color w:val="000000"/>
        </w:rPr>
        <w:t>”</w:t>
      </w:r>
      <w:r>
        <w:rPr>
          <w:rFonts w:ascii="Times New Roman" w:hAnsi="Times New Roman"/>
          <w:color w:val="000000"/>
          <w:sz w:val="24"/>
        </w:rPr>
        <w:t>)), at least its Designated Portion (as defined below) of the shares of Series D Preferred Stock offered by the Corporation in connection with the Series D Financing (such Existing Holder, a “</w:t>
      </w:r>
      <w:r>
        <w:rPr>
          <w:rFonts w:ascii="Times New Roman" w:hAnsi="Times New Roman"/>
          <w:b/>
          <w:color w:val="000000"/>
          <w:sz w:val="24"/>
        </w:rPr>
        <w:t>Non-Participating Holder</w:t>
      </w:r>
      <w:r>
        <w:rPr>
          <w:color w:val="000000"/>
        </w:rPr>
        <w:t>”</w:t>
      </w:r>
      <w:r>
        <w:rPr>
          <w:rFonts w:ascii="Times New Roman" w:hAnsi="Times New Roman"/>
          <w:color w:val="000000"/>
          <w:sz w:val="24"/>
        </w:rPr>
        <w:t>), then all shares of Series A Preferred Stock, Series A-1 Preferred Stock, Series A-2 Preferred Stock, Series B Preferred Stock, Series C Preferred Stock, and/or Series C-1 Preferred Stock held by such Non-Participating Holder shall automatically, and without any further action on the part of such Non-Participating Holder, be converted, effective immediately upon consummation of the Initial Closing (or, if applicable to an Existing Holder, on the Extended Deadline applicable to such Existing Holder), into a number of shares of Voting Common Stock equal to the quotient of (a) the number of shares of Voting Common Stock that would be issuable upon conversion of all shares of Series A Preferred Stock, Series A-1 Preferred Stock, Series A-2 Preferred Stock, Series B Preferred Stock, Series C Preferred Stock, and/or Series C-1 Preferred Stock held by such Non-Participating Holder pursuant to Subsection 4.1.1 (assuming the Optional Conversion Right was not suspended pursuant to the penultimate sentence of Subsection 4.1.1) as of immediately prior to the Original Issue Date, divided by (b) ten (10), which quotient shall be rounded down to the nearest whole share (such conversion, a “</w:t>
      </w:r>
      <w:r>
        <w:rPr>
          <w:rFonts w:ascii="Times New Roman" w:hAnsi="Times New Roman"/>
          <w:b/>
          <w:color w:val="000000"/>
          <w:sz w:val="24"/>
        </w:rPr>
        <w:t>Special Mandatory Conversion</w:t>
      </w:r>
      <w:r>
        <w:rPr>
          <w:color w:val="000000"/>
        </w:rPr>
        <w:t>”</w:t>
      </w:r>
      <w:r>
        <w:rPr>
          <w:rFonts w:ascii="Times New Roman" w:hAnsi="Times New Roman"/>
          <w:color w:val="000000"/>
          <w:sz w:val="24"/>
        </w:rPr>
        <w:t xml:space="preserve">). For purposes of determining (i) an Existing Holder’s Pro Rata Percentage, all shares of Preferred Stock held by Affiliates (as defined below) of such Existing Holder shall be aggregated with such Existing Holder’s shares of Preferred Stock and (ii) the number of shares of Series D Preferred Stock an Existing Holder has purchased in the Series D Financing, all shares of Series D Preferred Stock purchased by Affiliates of such Existing Holder shall be aggregated with the shares of Series D Preferred Stock purchased by such Existing Holder;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in each case, no shares shall be attributed to more than one entity or person within any such group of Affiliated entities or persons.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6.2</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 xml:space="preserve">. For purposes of this </w:t>
      </w:r>
      <w:r>
        <w:rPr>
          <w:rFonts w:ascii="Times New Roman" w:hAnsi="Times New Roman"/>
          <w:color w:val="000000"/>
          <w:sz w:val="24"/>
          <w:u w:val="single"/>
        </w:rPr>
        <w:t>Section 6</w:t>
      </w:r>
      <w:r>
        <w:rPr>
          <w:rFonts w:ascii="Times New Roman" w:hAnsi="Times New Roman"/>
          <w:color w:val="000000"/>
          <w:sz w:val="24"/>
        </w:rPr>
        <w:t>, the following definitions shall apply: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6.2.1</w:t>
      </w:r>
    </w:p>
    <w:p>
      <w:pPr>
        <w:pStyle w:val="TextBody"/>
        <w:bidi w:val="0"/>
        <w:spacing w:before="240" w:after="283"/>
        <w:jc w:val="both"/>
        <w:rPr/>
      </w:pPr>
      <w:r>
        <w:rPr>
          <w:color w:val="000000"/>
        </w:rPr>
        <w:t>“</w:t>
      </w:r>
      <w:r>
        <w:rPr>
          <w:rFonts w:ascii="Times New Roman" w:hAnsi="Times New Roman"/>
          <w:b/>
          <w:color w:val="000000"/>
          <w:sz w:val="24"/>
        </w:rPr>
        <w:t>Affiliate</w:t>
      </w:r>
      <w:r>
        <w:rPr>
          <w:color w:val="000000"/>
        </w:rPr>
        <w:t xml:space="preserve">” </w:t>
      </w:r>
      <w:r>
        <w:rPr>
          <w:rFonts w:ascii="Times New Roman" w:hAnsi="Times New Roman"/>
          <w:color w:val="000000"/>
          <w:sz w:val="24"/>
        </w:rPr>
        <w:t xml:space="preserve">shall mean, with respect to any Existing Holder, any person, entity or firm which, directly or indirectly, controls, is controlled by or is under common control with such Existing Holder, including, without limitation, any entity of which such Existing Holder is a partner or member, any partner, officer, director, or member of such Existing Holder and any venture capital fund or other investment fund now or hereafter existing of which the Existing Holder is a partner or member which is controlled by or under common control with one or more general partners, managing members or investment advisors of such Existing Holder or shares the same management company or investment advisor with such Existing Holder.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6.2.2</w:t>
      </w:r>
    </w:p>
    <w:p>
      <w:pPr>
        <w:pStyle w:val="TextBody"/>
        <w:bidi w:val="0"/>
        <w:spacing w:before="240" w:after="283"/>
        <w:jc w:val="both"/>
        <w:rPr/>
      </w:pPr>
      <w:r>
        <w:rPr>
          <w:color w:val="000000"/>
        </w:rPr>
        <w:t>“</w:t>
      </w:r>
      <w:r>
        <w:rPr>
          <w:rFonts w:ascii="Times New Roman" w:hAnsi="Times New Roman"/>
          <w:b/>
          <w:color w:val="000000"/>
          <w:sz w:val="24"/>
        </w:rPr>
        <w:t>Designated Portion</w:t>
      </w:r>
      <w:r>
        <w:rPr>
          <w:color w:val="000000"/>
        </w:rPr>
        <w:t xml:space="preserve">” </w:t>
      </w:r>
      <w:r>
        <w:rPr>
          <w:rFonts w:ascii="Times New Roman" w:hAnsi="Times New Roman"/>
          <w:color w:val="000000"/>
          <w:sz w:val="24"/>
        </w:rPr>
        <w:t xml:space="preserve">with respect to each Existing Holder, means the number of shares of Series D Preferred Stock equal to the quotient of (a) such Existing Holder’s Pro Rata Percentage, multiplied by $70,000,000, </w:t>
      </w:r>
      <w:r>
        <w:rPr>
          <w:rFonts w:ascii="Times New Roman" w:hAnsi="Times New Roman"/>
          <w:i/>
          <w:color w:val="000000"/>
          <w:sz w:val="24"/>
        </w:rPr>
        <w:t>divided by</w:t>
      </w:r>
      <w:r>
        <w:rPr>
          <w:color w:val="000000"/>
        </w:rPr>
        <w:t xml:space="preserve"> </w:t>
      </w:r>
      <w:r>
        <w:rPr>
          <w:rFonts w:ascii="Times New Roman" w:hAnsi="Times New Roman"/>
          <w:color w:val="000000"/>
          <w:sz w:val="24"/>
        </w:rPr>
        <w:t>(b) the Series D Liquidation Price, rounded down to the nearest whole share. The Designated Portion for each Existing Holder is set forth on Schedule 2 of the Purchase Agreement and, in the event of any conflict between the number of shares resulting from the foregoing calculation for an Existing Holder and the Designated Portion set forth opposite the name of such Existing Holder on Schedule 2 of the Purchaser Agreement, the Designated Portion set forth on Schedule 2 of the Purchase Agreement shall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6.2.3</w:t>
      </w:r>
    </w:p>
    <w:p>
      <w:pPr>
        <w:pStyle w:val="TextBody"/>
        <w:bidi w:val="0"/>
        <w:spacing w:before="240" w:after="283"/>
        <w:jc w:val="both"/>
        <w:rPr/>
      </w:pPr>
      <w:r>
        <w:rPr>
          <w:color w:val="000000"/>
        </w:rPr>
        <w:t>“</w:t>
      </w:r>
      <w:r>
        <w:rPr>
          <w:rFonts w:ascii="Times New Roman" w:hAnsi="Times New Roman"/>
          <w:b/>
          <w:color w:val="000000"/>
          <w:sz w:val="24"/>
        </w:rPr>
        <w:t>Pro Rata Percentage</w:t>
      </w:r>
      <w:r>
        <w:rPr>
          <w:color w:val="000000"/>
        </w:rPr>
        <w:t xml:space="preserve">” </w:t>
      </w:r>
      <w:r>
        <w:rPr>
          <w:rFonts w:ascii="Times New Roman" w:hAnsi="Times New Roman"/>
          <w:color w:val="000000"/>
          <w:sz w:val="24"/>
        </w:rPr>
        <w:t xml:space="preserve">with respect to each Existing Holder, means the percentage, expressed as a fraction, the numerator of which is equal to the aggregate number of shares of Voting Common Stock that would be issuable upon conversion of all shares of Preferred Stock held by such Existing Holder pursuant to Subsection 4.1.1 (assuming the Optional Conversion Right was not suspended pursuant to the penultimate sentence of Subsection 4.1.1) as of immediately prior to the Original Issue Date, and the denominator of which is equal to 132,892,661.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6.2.4</w:t>
      </w:r>
    </w:p>
    <w:p>
      <w:pPr>
        <w:pStyle w:val="TextBody"/>
        <w:bidi w:val="0"/>
        <w:spacing w:before="240" w:after="283"/>
        <w:jc w:val="both"/>
        <w:rPr/>
      </w:pPr>
      <w:r>
        <w:rPr>
          <w:color w:val="000000"/>
        </w:rPr>
        <w:t>“</w:t>
      </w:r>
      <w:r>
        <w:rPr>
          <w:rFonts w:ascii="Times New Roman" w:hAnsi="Times New Roman"/>
          <w:b/>
          <w:color w:val="000000"/>
          <w:sz w:val="24"/>
        </w:rPr>
        <w:t>Series D Financing</w:t>
      </w:r>
      <w:r>
        <w:rPr>
          <w:color w:val="000000"/>
        </w:rPr>
        <w:t xml:space="preserve">” </w:t>
      </w:r>
      <w:r>
        <w:rPr>
          <w:rFonts w:ascii="Times New Roman" w:hAnsi="Times New Roman"/>
          <w:color w:val="000000"/>
          <w:sz w:val="24"/>
        </w:rPr>
        <w:t>means the issuance and sale of shares of Series D Preferred Stock pursuant to the Series D Purchase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6.3</w:t>
      </w:r>
    </w:p>
    <w:p>
      <w:pPr>
        <w:pStyle w:val="TextBody"/>
        <w:bidi w:val="0"/>
        <w:spacing w:before="240" w:after="283"/>
        <w:jc w:val="both"/>
        <w:rPr/>
      </w:pPr>
      <w:r>
        <w:rPr>
          <w:rFonts w:ascii="Times New Roman" w:hAnsi="Times New Roman"/>
          <w:color w:val="000000"/>
          <w:sz w:val="24"/>
          <w:u w:val="single"/>
        </w:rPr>
        <w:t>Procedural Requirements</w:t>
      </w:r>
      <w:r>
        <w:rPr>
          <w:rFonts w:ascii="Times New Roman" w:hAnsi="Times New Roman"/>
          <w:color w:val="000000"/>
          <w:sz w:val="24"/>
        </w:rPr>
        <w:t xml:space="preserve">. Upon a Special Mandatory Conversion, the stock certificates formerly evidencing shares of Preferred Stock converted pursuant to the Special Mandatory Conversion shall be cancelled by the Corporation, and new stock certificates shall be issued to such Non-Participating Holder for any shares of Voting Common Stock held by such Non-Participating Holder as a result of such Special Mandatory Conversion. All rights with respect to the Preferred Stock converted pursuant to Special Mandatory Conversion, including the rights, if any, to receive notices and vote with respect to such shares, will terminate at the time of the Special Mandatory Conversion.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Redeemed or Otherwise Acquired Shares</w:t>
      </w:r>
      <w:r>
        <w:rPr>
          <w:rFonts w:ascii="Times New Roman" w:hAnsi="Times New Roman"/>
          <w:color w:val="000000"/>
          <w:sz w:val="24"/>
        </w:rPr>
        <w:t>. Any shares of Preferred Stock that are redeemed, converted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Waiver</w:t>
      </w:r>
      <w:r>
        <w:rPr>
          <w:rFonts w:ascii="Times New Roman" w:hAnsi="Times New Roman"/>
          <w:color w:val="000000"/>
          <w:sz w:val="24"/>
        </w:rPr>
        <w:t>. Except as otherwise set forth in Subsections 3.4, 3.5, 3.6, 4.4.2 and 5.1, any of the rights, powers, preferences and other terms of the Preferred Stock set forth herein may be waived on behalf of all holders of Preferred Stock by the affirmative written consent or vote of the Required Holders and the Series D Required Holders. At any time more than one (1) series of Preferred Stock is issued and outstanding, any of the rights, powers, preferences and other terms of any series of Preferred Stock set forth herein may be waived on behalf of all holders of such series of Preferred Stock by the affirmative written consent or vote of the holders of at least a majority of the shares of such series of Preferred Stock then outstanding.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Notices</w:t>
      </w:r>
      <w:r>
        <w:rPr>
          <w:rFonts w:ascii="Times New Roman" w:hAnsi="Times New Roman"/>
          <w:color w:val="000000"/>
          <w:sz w:val="24"/>
        </w:rPr>
        <w:t xml:space="preserve">. Any notice required or permitted by the provisions of this Article Fourth to be given to a holder of shares of Preferred Stock shall be mailed, postage prepaid, to the post office address last shown on the records of the Corporation, or given by electronic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communication in compliance with the provisions of the General Corporation Law, and shall be deemed sent upon such mailing or electronic transmission.</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FIFTH: </w:t>
      </w:r>
      <w:r>
        <w:rPr>
          <w:rFonts w:ascii="Times New Roman" w:hAnsi="Times New Roman"/>
          <w:color w:val="000000"/>
          <w:sz w:val="24"/>
        </w:rPr>
        <w:t>Subject to any additional vote required by the Certificate of Incorporation or Bylaws, in furtherance and not in limitation of the powers conferred by statute, the Board of Directors is expressly authorized to make, repeal, alter, amend and rescind any or all of the Bylaws of the Corporation.</w:t>
      </w:r>
    </w:p>
    <w:p>
      <w:pPr>
        <w:pStyle w:val="TextBody"/>
        <w:bidi w:val="0"/>
        <w:spacing w:before="240" w:after="283"/>
        <w:jc w:val="both"/>
        <w:rPr>
          <w:rFonts w:ascii="Times New Roman" w:hAnsi="Times New Roman"/>
          <w:sz w:val="20"/>
        </w:rPr>
      </w:pPr>
      <w:r>
        <w:rPr>
          <w:rFonts w:ascii="Times New Roman" w:hAnsi="Times New Roman"/>
          <w:b/>
          <w:color w:val="000000"/>
          <w:sz w:val="24"/>
        </w:rPr>
        <w:t>SIXTH:</w:t>
      </w:r>
      <w:r>
        <w:rPr>
          <w:rFonts w:ascii="Times New Roman" w:hAnsi="Times New Roman"/>
          <w:color w:val="000000"/>
          <w:sz w:val="20"/>
        </w:rPr>
        <w:t xml:space="preserve"> </w:t>
      </w:r>
      <w:r>
        <w:rPr>
          <w:rFonts w:ascii="Times New Roman" w:hAnsi="Times New Roman"/>
          <w:color w:val="000000"/>
          <w:sz w:val="24"/>
        </w:rPr>
        <w:t xml:space="preserve">Subject to any additional vote required by the Certificate of Incorporation, the number of directors of the Corporation shall be determined in the manner set forth in the Bylaws of the Corporation. Each director shall be entitled to one (1) vote on each matter presented to the Board of Directors;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so long as the holders of Preferred Stock are entitled to elect at least one Preferred Director, the affirmative vote of the applicable Preferred Director(s) specified in </w:t>
      </w:r>
      <w:r>
        <w:rPr>
          <w:rFonts w:ascii="Times New Roman" w:hAnsi="Times New Roman"/>
          <w:color w:val="000000"/>
          <w:sz w:val="24"/>
          <w:u w:val="single"/>
        </w:rPr>
        <w:t>Section 5.1</w:t>
      </w:r>
      <w:r>
        <w:rPr>
          <w:rFonts w:ascii="Times New Roman" w:hAnsi="Times New Roman"/>
          <w:color w:val="000000"/>
          <w:sz w:val="24"/>
        </w:rPr>
        <w:t xml:space="preserve">, </w:t>
      </w:r>
      <w:r>
        <w:rPr>
          <w:rFonts w:ascii="Times New Roman" w:hAnsi="Times New Roman"/>
          <w:color w:val="000000"/>
          <w:sz w:val="24"/>
          <w:u w:val="single"/>
        </w:rPr>
        <w:t>Section 5.2</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5.3</w:t>
      </w:r>
      <w:r>
        <w:rPr>
          <w:rFonts w:ascii="Times New Roman" w:hAnsi="Times New Roman"/>
          <w:color w:val="000000"/>
          <w:sz w:val="20"/>
        </w:rPr>
        <w:t xml:space="preserve"> </w:t>
      </w:r>
      <w:r>
        <w:rPr>
          <w:rFonts w:ascii="Times New Roman" w:hAnsi="Times New Roman"/>
          <w:color w:val="000000"/>
          <w:sz w:val="24"/>
        </w:rPr>
        <w:t>of the Third Amended and Restated Investors’ Rights Agreement, dated June 16, 2025, by and among the Corporation and the other parties thereto, as such agreement may be amended from time to time, shall be required for the authorization by the Board of Directors of the applicable matters set forth therein.</w:t>
      </w:r>
    </w:p>
    <w:p>
      <w:pPr>
        <w:pStyle w:val="TextBody"/>
        <w:bidi w:val="0"/>
        <w:spacing w:before="240" w:after="283"/>
        <w:jc w:val="both"/>
        <w:rPr>
          <w:rFonts w:ascii="Times New Roman" w:hAnsi="Times New Roman"/>
          <w:sz w:val="20"/>
        </w:rPr>
      </w:pPr>
      <w:r>
        <w:rPr>
          <w:rFonts w:ascii="Times New Roman" w:hAnsi="Times New Roman"/>
          <w:b/>
          <w:color w:val="000000"/>
          <w:sz w:val="24"/>
        </w:rPr>
        <w:t>SEVENTH:</w:t>
      </w:r>
      <w:r>
        <w:rPr>
          <w:rFonts w:ascii="Times New Roman" w:hAnsi="Times New Roman"/>
          <w:color w:val="000000"/>
          <w:sz w:val="20"/>
        </w:rPr>
        <w:t xml:space="preserve"> </w:t>
      </w:r>
      <w:r>
        <w:rPr>
          <w:rFonts w:ascii="Times New Roman" w:hAnsi="Times New Roman"/>
          <w:color w:val="000000"/>
          <w:sz w:val="24"/>
        </w:rPr>
        <w:t>Elections of directors need not be by written ballot unless the Bylaws of the Corporation shall so provide.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4"/>
        </w:rPr>
        <w:t>EIGHTH:</w:t>
      </w:r>
      <w:r>
        <w:rPr>
          <w:rFonts w:ascii="Times New Roman" w:hAnsi="Times New Roman"/>
          <w:color w:val="000000"/>
          <w:sz w:val="20"/>
        </w:rPr>
        <w:t xml:space="preserve"> </w:t>
      </w:r>
      <w:r>
        <w:rPr>
          <w:rFonts w:ascii="Times New Roman" w:hAnsi="Times New Roman"/>
          <w:color w:val="000000"/>
          <w:sz w:val="24"/>
        </w:rPr>
        <w:t>Meetings of stockholders may be held within or without the State of Delaware, as the Bylaws of the Corporation may provide. The books of the Corporation may be kept outside the State of Delaware at such place or places as may be designated from time to time by the Board of Directors or in the Bylaws of the Corporation.</w:t>
      </w:r>
    </w:p>
    <w:p>
      <w:pPr>
        <w:pStyle w:val="TextBody"/>
        <w:bidi w:val="0"/>
        <w:spacing w:before="240" w:after="283"/>
        <w:jc w:val="both"/>
        <w:rPr>
          <w:rFonts w:ascii="Times New Roman" w:hAnsi="Times New Roman"/>
          <w:sz w:val="20"/>
        </w:rPr>
      </w:pPr>
      <w:r>
        <w:rPr>
          <w:rFonts w:ascii="Times New Roman" w:hAnsi="Times New Roman"/>
          <w:b/>
          <w:color w:val="000000"/>
          <w:sz w:val="24"/>
        </w:rPr>
        <w:t>NINTH:</w:t>
      </w:r>
      <w:r>
        <w:rPr>
          <w:rFonts w:ascii="Times New Roman" w:hAnsi="Times New Roman"/>
          <w:color w:val="000000"/>
          <w:sz w:val="20"/>
        </w:rPr>
        <w:t xml:space="preserve"> </w:t>
      </w:r>
      <w:r>
        <w:rPr>
          <w:rFonts w:ascii="Times New Roman" w:hAnsi="Times New Roman"/>
          <w:color w:val="000000"/>
          <w:sz w:val="24"/>
        </w:rPr>
        <w:t>To the fullest extent permitted by law, a director of the Corporation shall not be personally liable to the Corporation or its 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amendment,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amendment, repeal or modification.</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TENTH: </w:t>
      </w:r>
      <w:r>
        <w:rPr>
          <w:rFonts w:ascii="Times New Roman" w:hAnsi="Times New Roman"/>
          <w:color w:val="000000"/>
          <w:sz w:val="24"/>
        </w:rPr>
        <w:t>To the fullest extent permitted by applicable law, the Corporation is authorized to provide indemnification of (and advancement of expenses to) directors, officers and agents of the Corporation (and any other persons to which the General Corporation Law permits the Corporation to provide indemnification) through Bylaw provisions, agreements with such agents or other persons, vote of stockholders or disinterested directors or otherwise, in excess of</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the indemnification and advancement otherwise permitted by </w:t>
      </w:r>
      <w:r>
        <w:rPr>
          <w:rFonts w:ascii="Times New Roman" w:hAnsi="Times New Roman"/>
          <w:color w:val="000000"/>
          <w:sz w:val="24"/>
          <w:u w:val="single"/>
        </w:rPr>
        <w:t>Section 145</w:t>
      </w:r>
      <w:r>
        <w:rPr>
          <w:rFonts w:ascii="Times New Roman" w:hAnsi="Times New Roman"/>
          <w:color w:val="000000"/>
          <w:sz w:val="20"/>
        </w:rPr>
        <w:t xml:space="preserve"> </w:t>
      </w:r>
      <w:r>
        <w:rPr>
          <w:rFonts w:ascii="Times New Roman" w:hAnsi="Times New Roman"/>
          <w:color w:val="000000"/>
          <w:sz w:val="24"/>
        </w:rPr>
        <w:t>of the General Corporation Law.</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amendment, repeal or modification of the foregoing provisions of this Article Tenth by the stockholders of the Corporation shall not adversely affect any right or protection of any director, officer or agent of the Corporation or any other person described in the foregoing paragraph of this Article Tenth existing at the time of, or increase the liability of any such director, officer, agent or person with respect to any acts or omissions of such director, officer, agent or person occurring prior to, such amendment, repeal or modification.</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ELEVENTH: </w:t>
      </w:r>
      <w:r>
        <w:rPr>
          <w:rFonts w:ascii="Times New Roman" w:hAnsi="Times New Roman"/>
          <w:color w:val="000000"/>
          <w:sz w:val="24"/>
        </w:rPr>
        <w:t>The Corporation renounces, to the fullest extent permitted by law, any interest or expectancy of the Corporation in, or in being offered an opportunity to participate in, any Excluded Opportunity. An “</w:t>
      </w:r>
      <w:r>
        <w:rPr>
          <w:rFonts w:ascii="Times New Roman" w:hAnsi="Times New Roman"/>
          <w:b/>
          <w:color w:val="000000"/>
          <w:sz w:val="24"/>
        </w:rPr>
        <w:t>Excluded Opportunity</w:t>
      </w:r>
      <w:r>
        <w:rPr>
          <w:rFonts w:ascii="Times New Roman" w:hAnsi="Times New Roman"/>
          <w:color w:val="000000"/>
          <w:sz w:val="20"/>
        </w:rPr>
        <w:t xml:space="preserve">” </w:t>
      </w:r>
      <w:r>
        <w:rPr>
          <w:rFonts w:ascii="Times New Roman" w:hAnsi="Times New Roman"/>
          <w:color w:val="000000"/>
          <w:sz w:val="24"/>
        </w:rPr>
        <w:t>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affiliate or agent of any such holder, other than someone who is an employee of the Corporation or any of its subsidiaries (collectively, the persons referred to in clauses (i) and (ii) are “</w:t>
      </w:r>
      <w:r>
        <w:rPr>
          <w:rFonts w:ascii="Times New Roman" w:hAnsi="Times New Roman"/>
          <w:b/>
          <w:color w:val="000000"/>
          <w:sz w:val="24"/>
        </w:rPr>
        <w:t>Covered Persons</w:t>
      </w:r>
      <w:r>
        <w:rPr>
          <w:rFonts w:ascii="Times New Roman" w:hAnsi="Times New Roman"/>
          <w:color w:val="000000"/>
          <w:sz w:val="20"/>
        </w:rPr>
        <w:t>”</w:t>
      </w:r>
      <w:r>
        <w:rPr>
          <w:rFonts w:ascii="Times New Roman" w:hAnsi="Times New Roman"/>
          <w:color w:val="000000"/>
          <w:sz w:val="24"/>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Eleventh will only be prospective and will not affect the rights under this Article Eleventh in effect at the time of the occurrence of any actions or omissions to act giving rise to liability. Notwithstanding anything to the contrary contained elsewhere in this Certificate of Incorporation, the affirmative vote of the Required Holders will be required to amend or repeal this Article Eleventh.</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TWELFTH: </w:t>
      </w:r>
      <w:r>
        <w:rPr>
          <w:rFonts w:ascii="Times New Roman" w:hAnsi="Times New Roman"/>
          <w:color w:val="000000"/>
          <w:sz w:val="24"/>
        </w:rPr>
        <w:t>Unless the Corporation consents in writing to the selection of an alternative forum, the Court of Chancery in the State of Delaware (or, if the Court of Chancery of the State of Delaware does not have jurisdiction, another State court in Delaware or the federal district court for the District of Delaware) shall, to the fullest extent permitted by applicable law, be the sole and exclusive forum for (i) any derivative action or proceeding brought on behalf of the Corporation, (ii) any action asserting a claim of breach of fiduciary duty owed by any director, stockholder, officer or other employee of the Corporation to the Corporation or the Corporation’s stockholders, (iii) any action asserting a claim against the Corporation, its directors, stockholders, officers or employees arising pursuant to any provision of the General Corporation Law or the Corporation’s certificate of incorporation or bylaws or (iv) any action asserting a claim against the Corporation, its directors, stockholders,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4"/>
        </w:rPr>
        <w:t xml:space="preserve">THIRTEENTH: </w:t>
      </w:r>
      <w:r>
        <w:rPr>
          <w:rFonts w:ascii="Times New Roman" w:hAnsi="Times New Roman"/>
          <w:color w:val="000000"/>
          <w:sz w:val="24"/>
        </w:rPr>
        <w:t>If any provision or provisions of this Certificate of Incorporation shall be held to be invalid, illegal or unenforceable as applied to any person or entity or circumstance for any reason whatsoever, then, to the fullest extent permitted by law, the validity,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That the foregoing amendment and restatement was approved by the holders of the requisite number of shares of this corporation in accordance with Section 228 of the General Corporation Law.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That this Eighth Amended and Restated Certificate of Incorporation, which restates and integrates and further amends the provisions of this Corporation’s Certificate of Incorporation, has been duly adopted in accordance with Sections 242 and 245 of the General Corporation Law. </w:t>
      </w:r>
    </w:p>
    <w:p>
      <w:pPr>
        <w:pStyle w:val="TextBody"/>
        <w:bidi w:val="0"/>
        <w:spacing w:before="240" w:after="283"/>
        <w:jc w:val="center"/>
        <w:rPr>
          <w:rFonts w:ascii="Times New Roman" w:hAnsi="Times New Roman"/>
          <w:sz w:val="20"/>
        </w:rPr>
      </w:pPr>
      <w:r>
        <w:rPr>
          <w:rFonts w:ascii="Times New Roman" w:hAnsi="Times New Roman"/>
          <w:color w:val="000000"/>
          <w:sz w:val="24"/>
        </w:rPr>
        <w:t>[</w:t>
      </w:r>
      <w:r>
        <w:rPr>
          <w:rFonts w:ascii="Times New Roman" w:hAnsi="Times New Roman"/>
          <w:b/>
          <w:color w:val="000000"/>
          <w:sz w:val="24"/>
        </w:rPr>
        <w:t>Signature Page Follows</w:t>
      </w:r>
      <w:r>
        <w:rPr>
          <w:rFonts w:ascii="Times New Roman" w:hAnsi="Times New Roman"/>
          <w:color w:val="000000"/>
          <w:sz w:val="24"/>
        </w:rPr>
        <w:t>]</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this Eighth Amended and Restated Certificate of Incorporation has been executed by a duly authorized officer of this Corporation on this 16th day of June, 2025.</w:t>
      </w:r>
    </w:p>
    <w:p>
      <w:pPr>
        <w:pStyle w:val="TextBody"/>
        <w:bidi w:val="0"/>
        <w:jc w:val="left"/>
        <w:rPr/>
      </w:pPr>
      <w:r>
        <w:rPr/>
        <w:t> </w:t>
      </w:r>
    </w:p>
    <w:tbl>
      <w:tblPr>
        <w:tblW w:w="4367" w:type="dxa"/>
        <w:jc w:val="left"/>
        <w:tblInd w:w="0" w:type="dxa"/>
        <w:tblLayout w:type="fixed"/>
        <w:tblCellMar>
          <w:top w:w="28" w:type="dxa"/>
          <w:left w:w="28" w:type="dxa"/>
          <w:bottom w:w="28" w:type="dxa"/>
          <w:right w:w="28" w:type="dxa"/>
        </w:tblCellMar>
      </w:tblPr>
      <w:tblGrid>
        <w:gridCol w:w="466"/>
        <w:gridCol w:w="3901"/>
      </w:tblGrid>
      <w:tr>
        <w:trPr/>
        <w:tc>
          <w:tcPr>
            <w:tcW w:w="466"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9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Gary D. Glick</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Gary D. Glick, Chief Executive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[Signature Page to the Eighth Amended and Restated Certificate of Incorporation]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4"/>
        </w:rPr>
        <w:t>Certificate of Amendment</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24"/>
        </w:rPr>
      </w:pPr>
      <w:r>
        <w:rPr>
          <w:rFonts w:ascii="Times New Roman" w:hAnsi="Times New Roman"/>
          <w:b/>
          <w:caps/>
          <w:color w:val="000000"/>
          <w:sz w:val="24"/>
        </w:rPr>
        <w:t>of THE</w:t>
      </w:r>
    </w:p>
    <w:p>
      <w:pPr>
        <w:pStyle w:val="TextBody"/>
        <w:bidi w:val="0"/>
        <w:jc w:val="center"/>
        <w:rPr>
          <w:rFonts w:ascii="Times New Roman" w:hAnsi="Times New Roman"/>
          <w:b/>
          <w:caps/>
          <w:color w:val="000000"/>
          <w:sz w:val="24"/>
        </w:rPr>
      </w:pPr>
      <w:r>
        <w:rPr>
          <w:rFonts w:ascii="Times New Roman" w:hAnsi="Times New Roman"/>
          <w:b/>
          <w:caps/>
          <w:color w:val="000000"/>
          <w:sz w:val="24"/>
        </w:rPr>
        <w:t>EIGHTH AMENDED AND RESTATED Certificate of Incorporation</w:t>
      </w:r>
    </w:p>
    <w:p>
      <w:pPr>
        <w:pStyle w:val="TextBody"/>
        <w:bidi w:val="0"/>
        <w:jc w:val="center"/>
        <w:rPr>
          <w:rFonts w:ascii="Times New Roman" w:hAnsi="Times New Roman"/>
          <w:b/>
          <w:caps/>
          <w:color w:val="000000"/>
          <w:sz w:val="24"/>
        </w:rPr>
      </w:pPr>
      <w:r>
        <w:rPr>
          <w:rFonts w:ascii="Times New Roman" w:hAnsi="Times New Roman"/>
          <w:b/>
          <w:caps/>
          <w:color w:val="000000"/>
          <w:sz w:val="24"/>
        </w:rPr>
        <w:t>of</w:t>
      </w:r>
    </w:p>
    <w:p>
      <w:pPr>
        <w:pStyle w:val="TextBody"/>
        <w:bidi w:val="0"/>
        <w:jc w:val="center"/>
        <w:rPr>
          <w:rFonts w:ascii="Times New Roman" w:hAnsi="Times New Roman"/>
          <w:b/>
          <w:color w:val="000000"/>
          <w:sz w:val="24"/>
        </w:rPr>
      </w:pPr>
      <w:r>
        <w:rPr>
          <w:rFonts w:ascii="Times New Roman" w:hAnsi="Times New Roman"/>
          <w:b/>
          <w:color w:val="000000"/>
          <w:sz w:val="24"/>
        </w:rPr>
        <w:t>ODYSSEY THERAPEUTICS, INC.</w:t>
      </w:r>
    </w:p>
    <w:p>
      <w:pPr>
        <w:pStyle w:val="TextBody"/>
        <w:bidi w:val="0"/>
        <w:spacing w:before="240" w:after="283"/>
        <w:jc w:val="both"/>
        <w:rPr>
          <w:rFonts w:ascii="Times New Roman" w:hAnsi="Times New Roman"/>
          <w:sz w:val="20"/>
        </w:rPr>
      </w:pPr>
      <w:r>
        <w:rPr>
          <w:rFonts w:ascii="Times New Roman" w:hAnsi="Times New Roman"/>
          <w:color w:val="000000"/>
          <w:sz w:val="24"/>
        </w:rPr>
        <w:t>Odyssey Therapeutics, Inc. (the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 a corporation duly organized and existing under the General Corporation Law of the State of Delaware (the “</w:t>
      </w:r>
      <w:r>
        <w:rPr>
          <w:rFonts w:ascii="Times New Roman" w:hAnsi="Times New Roman"/>
          <w:b/>
          <w:color w:val="000000"/>
          <w:sz w:val="24"/>
        </w:rPr>
        <w:t>DGCL</w:t>
      </w:r>
      <w:r>
        <w:rPr>
          <w:rFonts w:ascii="Times New Roman" w:hAnsi="Times New Roman"/>
          <w:color w:val="000000"/>
          <w:sz w:val="20"/>
        </w:rPr>
        <w:t>”</w:t>
      </w:r>
      <w:r>
        <w:rPr>
          <w:rFonts w:ascii="Times New Roman" w:hAnsi="Times New Roman"/>
          <w:color w:val="000000"/>
          <w:sz w:val="24"/>
        </w:rPr>
        <w:t>), does hereby certify that: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FIRST: The Corporation’s Eighth Amended and Restated Certificate of Incorporation was filed with the Secretary of State of the State of Delaware on June 16, 2025 (the “</w:t>
      </w:r>
      <w:r>
        <w:rPr>
          <w:rFonts w:ascii="Times New Roman" w:hAnsi="Times New Roman"/>
          <w:b/>
          <w:color w:val="000000"/>
          <w:sz w:val="24"/>
        </w:rPr>
        <w:t>Eighth Amended and Restated Certificate of Incorporation</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SECOND: The amendment to the Eighth Amended and Restated Certificate of Incorporation set forth below was duly adopted by the board of directors and the stockholders of the Corporation in accordance with Sections 228 and 242 of the DGCL.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THIRD: Article Fourth Part B Subsection 6.1 of the Eighth Amended and Restated Certificate of Incorporation is hereby amended and restated in its entirety to read as follows:</w:t>
      </w:r>
    </w:p>
    <w:p>
      <w:pPr>
        <w:pStyle w:val="TextBody"/>
        <w:bidi w:val="0"/>
        <w:spacing w:before="240" w:after="283"/>
        <w:jc w:val="both"/>
        <w:rPr/>
      </w:pPr>
      <w:r>
        <w:rPr>
          <w:color w:val="000000"/>
        </w:rPr>
        <w:t>“</w:t>
      </w:r>
      <w:r>
        <w:rPr>
          <w:rFonts w:ascii="Times New Roman" w:hAnsi="Times New Roman"/>
          <w:color w:val="000000"/>
          <w:sz w:val="24"/>
        </w:rPr>
        <w:t xml:space="preserve">6.1 </w:t>
      </w:r>
      <w:r>
        <w:rPr>
          <w:rFonts w:ascii="Times New Roman" w:hAnsi="Times New Roman"/>
          <w:color w:val="000000"/>
          <w:sz w:val="24"/>
          <w:u w:val="single"/>
        </w:rPr>
        <w:t>Trigger Event</w:t>
      </w:r>
      <w:r>
        <w:rPr>
          <w:rFonts w:ascii="Times New Roman" w:hAnsi="Times New Roman"/>
          <w:color w:val="000000"/>
          <w:sz w:val="24"/>
        </w:rPr>
        <w:t>. In the event that any holder of shares of Series A Preferred Stock, Series A-1 Preferred Stock, Series A-2 Preferred Stock, Series B Preferred Stock, Series C Preferred Stock, and/or Series C-1 Preferred Stock (each, an “</w:t>
      </w:r>
      <w:r>
        <w:rPr>
          <w:rFonts w:ascii="Times New Roman" w:hAnsi="Times New Roman"/>
          <w:b/>
          <w:color w:val="000000"/>
          <w:sz w:val="24"/>
        </w:rPr>
        <w:t>Existing</w:t>
      </w:r>
      <w:r>
        <w:rPr>
          <w:rFonts w:ascii="Times New Roman" w:hAnsi="Times New Roman"/>
          <w:color w:val="000000"/>
          <w:sz w:val="20"/>
        </w:rPr>
        <w:t xml:space="preserve"> </w:t>
      </w:r>
      <w:r>
        <w:rPr>
          <w:rFonts w:ascii="Times New Roman" w:hAnsi="Times New Roman"/>
          <w:b/>
          <w:color w:val="000000"/>
          <w:sz w:val="24"/>
        </w:rPr>
        <w:t>Holder</w:t>
      </w:r>
      <w:r>
        <w:rPr>
          <w:rFonts w:ascii="Times New Roman" w:hAnsi="Times New Roman"/>
          <w:color w:val="000000"/>
          <w:sz w:val="20"/>
        </w:rPr>
        <w:t>”</w:t>
      </w:r>
      <w:r>
        <w:rPr>
          <w:rFonts w:ascii="Times New Roman" w:hAnsi="Times New Roman"/>
          <w:color w:val="000000"/>
          <w:sz w:val="24"/>
        </w:rPr>
        <w:t>) does not participate in the Series D Financing (as defined below) by purchasing, on the Original Issue Date (or such later date (not to exceed twenty one (21) days following the Original Issue Date) as the Board of Directors may approve from time to time with respect to one or more Existing Holders (such a later date, an “</w:t>
      </w:r>
      <w:r>
        <w:rPr>
          <w:rFonts w:ascii="Times New Roman" w:hAnsi="Times New Roman"/>
          <w:b/>
          <w:color w:val="000000"/>
          <w:sz w:val="24"/>
        </w:rPr>
        <w:t>Extended Deadline</w:t>
      </w:r>
      <w:r>
        <w:rPr>
          <w:rFonts w:ascii="Times New Roman" w:hAnsi="Times New Roman"/>
          <w:color w:val="000000"/>
          <w:sz w:val="20"/>
        </w:rPr>
        <w:t>”</w:t>
      </w:r>
      <w:r>
        <w:rPr>
          <w:rFonts w:ascii="Times New Roman" w:hAnsi="Times New Roman"/>
          <w:color w:val="000000"/>
          <w:sz w:val="24"/>
        </w:rPr>
        <w:t>)), at least its Designated Portion (as defined below) of the shares of Series D Preferred Stock offered by the Corporation in connection with the Series D Financing (such Existing Holder, a “</w:t>
      </w:r>
      <w:r>
        <w:rPr>
          <w:rFonts w:ascii="Times New Roman" w:hAnsi="Times New Roman"/>
          <w:b/>
          <w:color w:val="000000"/>
          <w:sz w:val="24"/>
        </w:rPr>
        <w:t>Non-Participating Holder</w:t>
      </w:r>
      <w:r>
        <w:rPr>
          <w:rFonts w:ascii="Times New Roman" w:hAnsi="Times New Roman"/>
          <w:color w:val="000000"/>
          <w:sz w:val="20"/>
        </w:rPr>
        <w:t>”</w:t>
      </w:r>
      <w:r>
        <w:rPr>
          <w:rFonts w:ascii="Times New Roman" w:hAnsi="Times New Roman"/>
          <w:color w:val="000000"/>
          <w:sz w:val="24"/>
        </w:rPr>
        <w:t>), then all shares of Series A Preferred Stock, Series A-1 Preferred Stock, Series A-2 Preferred Stock, Series B Preferred Stock, Series C Preferred Stock, and/or Series C-1 Preferred Stock held by such Non-Participating Holder shall automatically, and without any further action on the part of such Non-Participating Holder, be converted, effective immediately upon consummation of the Initial Closing (or, if applicable to an Existing Holder, on the Extended Deadline applicable to such Existing Holder), into a number of shares of Voting Common Stock equal to the quotient of (a) the number of shares of Voting Common Stock that would be issuable upon conversion of all shares of Series A Preferred Stock, Series A-1 Preferred Stock, Series A-2 Preferred Stock, Series B Preferred Stock, Series C Preferred Stock, and/or Series C-1 Preferred Stock held by such Non-Participating Holder pursuant to Subsection 4.1.1 (assuming the Optional Conversion Right was not suspended pursuant to the penultimate sentence of Subsection 4.1.1) as of immediately prior to the Original Issue Date, divided by (b) ten (10), which quotient shall be rounded down to the nearest whole share (such conversion, a “</w:t>
      </w:r>
      <w:r>
        <w:rPr>
          <w:rFonts w:ascii="Times New Roman" w:hAnsi="Times New Roman"/>
          <w:b/>
          <w:color w:val="000000"/>
          <w:sz w:val="24"/>
        </w:rPr>
        <w:t>Special Mandatory Conversion</w:t>
      </w:r>
      <w:r>
        <w:rPr>
          <w:rFonts w:ascii="Times New Roman" w:hAnsi="Times New Roman"/>
          <w:color w:val="000000"/>
          <w:sz w:val="20"/>
        </w:rPr>
        <w:t>”</w:t>
      </w:r>
      <w:r>
        <w:rPr>
          <w:rFonts w:ascii="Times New Roman" w:hAnsi="Times New Roman"/>
          <w:color w:val="000000"/>
          <w:sz w:val="24"/>
        </w:rPr>
        <w:t>). For purposes of determining (i)</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an Existing Holder’s Pro Rata Percentage, all shares of Preferred Stock held by Affiliates (as defined below) of such Existing Holder shall be aggregated with such Existing Holder’s shares of Preferred Stock and (ii) the number of shares of Series D Preferred Stock an Existing Holder has purchased in the Series D Financing, all shares of Series D Preferred Stock purchased by Affiliates of such Existing Holder shall be aggregated with the shares of Series D Preferred Stock purchased by such Existing Holder;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each case, no shares shall be attributed to more than one entity or person within any such group of Affiliated entities or persons.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FOURTH: This Certificate of Amendment of the Eighth Amended and Restated Certificate of Incorporation shall be effective upon filing with the Secretary of State of the State of Delaware.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 *</w:t>
      </w:r>
    </w:p>
    <w:p>
      <w:pPr>
        <w:pStyle w:val="TextBody"/>
        <w:bidi w:val="0"/>
        <w:spacing w:before="12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Corporation has caused this Certificate of Amendment to be executed by the undersigned authorized officer as of the 23rd day of June, 2025.</w:t>
      </w:r>
    </w:p>
    <w:p>
      <w:pPr>
        <w:pStyle w:val="TextBody"/>
        <w:bidi w:val="0"/>
        <w:jc w:val="left"/>
        <w:rPr/>
      </w:pPr>
      <w:r>
        <w:rPr/>
        <w:t> </w:t>
      </w:r>
    </w:p>
    <w:tbl>
      <w:tblPr>
        <w:tblW w:w="4607" w:type="dxa"/>
        <w:jc w:val="left"/>
        <w:tblInd w:w="0" w:type="dxa"/>
        <w:tblLayout w:type="fixed"/>
        <w:tblCellMar>
          <w:top w:w="28" w:type="dxa"/>
          <w:left w:w="28" w:type="dxa"/>
          <w:bottom w:w="28" w:type="dxa"/>
          <w:right w:w="28" w:type="dxa"/>
        </w:tblCellMar>
      </w:tblPr>
      <w:tblGrid>
        <w:gridCol w:w="856"/>
        <w:gridCol w:w="3751"/>
      </w:tblGrid>
      <w:tr>
        <w:trPr/>
        <w:tc>
          <w:tcPr>
            <w:tcW w:w="85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460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w:t>
            </w:r>
          </w:p>
        </w:tc>
      </w:tr>
      <w:tr>
        <w:trPr/>
        <w:tc>
          <w:tcPr>
            <w:tcW w:w="46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Gary D. Glick</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Name:</w:t>
            </w:r>
            <w:r>
              <w:rPr>
                <w:rFonts w:ascii="Times New Roman" w:hAnsi="Times New Roman"/>
                <w:color w:val="000000"/>
                <w:sz w:val="24"/>
              </w:rPr>
              <w:t xml:space="preserve">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Gary D. Glick</w:t>
            </w:r>
          </w:p>
        </w:tc>
      </w:tr>
      <w:tr>
        <w:trPr/>
        <w:tc>
          <w:tcPr>
            <w:tcW w:w="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Title:</w:t>
            </w:r>
            <w:r>
              <w:rPr>
                <w:rFonts w:ascii="Times New Roman" w:hAnsi="Times New Roman"/>
                <w:color w:val="000000"/>
                <w:sz w:val="24"/>
              </w:rPr>
              <w:t xml:space="preserve"> </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President and Chief Executive Officer</w:t>
            </w:r>
          </w:p>
        </w:tc>
      </w:tr>
    </w:tbl>
    <w:p>
      <w:pPr>
        <w:pStyle w:val="TextBody"/>
        <w:bidi w:val="0"/>
        <w:jc w:val="left"/>
        <w:rPr/>
      </w:pPr>
      <w:r>
        <w:rPr/>
        <w:t> </w:t>
      </w:r>
    </w:p>
    <w:p>
      <w:pPr>
        <w:pStyle w:val="TextBody"/>
        <w:bidi w:val="0"/>
        <w:spacing w:before="120" w:after="283"/>
        <w:jc w:val="center"/>
        <w:rPr>
          <w:rFonts w:ascii="Times New Roman" w:hAnsi="Times New Roman"/>
          <w:i/>
          <w:color w:val="000000"/>
          <w:sz w:val="22"/>
        </w:rPr>
      </w:pPr>
      <w:r>
        <w:rPr>
          <w:rFonts w:ascii="Times New Roman" w:hAnsi="Times New Roman"/>
          <w:i/>
          <w:color w:val="000000"/>
          <w:sz w:val="22"/>
        </w:rPr>
        <w:t>[Signature page to the Certificate of Amendment of the Eighth A&amp;R Certificate of Incorporation]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4"/>
        </w:rPr>
        <w:t>Certificate of Amendment</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24"/>
        </w:rPr>
      </w:pPr>
      <w:r>
        <w:rPr>
          <w:rFonts w:ascii="Times New Roman" w:hAnsi="Times New Roman"/>
          <w:b/>
          <w:caps/>
          <w:color w:val="000000"/>
          <w:sz w:val="24"/>
        </w:rPr>
        <w:t>of THE</w:t>
      </w:r>
    </w:p>
    <w:p>
      <w:pPr>
        <w:pStyle w:val="TextBody"/>
        <w:bidi w:val="0"/>
        <w:jc w:val="center"/>
        <w:rPr>
          <w:rFonts w:ascii="Times New Roman" w:hAnsi="Times New Roman"/>
          <w:b/>
          <w:caps/>
          <w:color w:val="000000"/>
          <w:sz w:val="24"/>
        </w:rPr>
      </w:pPr>
      <w:r>
        <w:rPr>
          <w:rFonts w:ascii="Times New Roman" w:hAnsi="Times New Roman"/>
          <w:b/>
          <w:caps/>
          <w:color w:val="000000"/>
          <w:sz w:val="24"/>
        </w:rPr>
        <w:t>EIGHTH AMENDED AND RESTATED Certificate of Incorporation</w:t>
      </w:r>
    </w:p>
    <w:p>
      <w:pPr>
        <w:pStyle w:val="TextBody"/>
        <w:bidi w:val="0"/>
        <w:jc w:val="center"/>
        <w:rPr>
          <w:rFonts w:ascii="Times New Roman" w:hAnsi="Times New Roman"/>
          <w:b/>
          <w:caps/>
          <w:color w:val="000000"/>
          <w:sz w:val="24"/>
        </w:rPr>
      </w:pPr>
      <w:r>
        <w:rPr>
          <w:rFonts w:ascii="Times New Roman" w:hAnsi="Times New Roman"/>
          <w:b/>
          <w:caps/>
          <w:color w:val="000000"/>
          <w:sz w:val="24"/>
        </w:rPr>
        <w:t>of</w:t>
      </w:r>
    </w:p>
    <w:p>
      <w:pPr>
        <w:pStyle w:val="TextBody"/>
        <w:bidi w:val="0"/>
        <w:jc w:val="center"/>
        <w:rPr>
          <w:rFonts w:ascii="Times New Roman" w:hAnsi="Times New Roman"/>
          <w:b/>
          <w:color w:val="000000"/>
          <w:sz w:val="24"/>
        </w:rPr>
      </w:pPr>
      <w:r>
        <w:rPr>
          <w:rFonts w:ascii="Times New Roman" w:hAnsi="Times New Roman"/>
          <w:b/>
          <w:color w:val="000000"/>
          <w:sz w:val="24"/>
        </w:rPr>
        <w:t>ODYSSEY THERAPEUTICS, INC.</w:t>
      </w:r>
    </w:p>
    <w:p>
      <w:pPr>
        <w:pStyle w:val="TextBody"/>
        <w:bidi w:val="0"/>
        <w:spacing w:before="240" w:after="283"/>
        <w:jc w:val="both"/>
        <w:rPr>
          <w:rFonts w:ascii="Times New Roman" w:hAnsi="Times New Roman"/>
          <w:sz w:val="20"/>
        </w:rPr>
      </w:pPr>
      <w:r>
        <w:rPr>
          <w:rFonts w:ascii="Times New Roman" w:hAnsi="Times New Roman"/>
          <w:color w:val="000000"/>
          <w:sz w:val="24"/>
        </w:rPr>
        <w:t>Odyssey Therapeutics, Inc. (the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 a corporation duly organized and existing under the General Corporation Law of the State of Delaware (the “</w:t>
      </w:r>
      <w:r>
        <w:rPr>
          <w:rFonts w:ascii="Times New Roman" w:hAnsi="Times New Roman"/>
          <w:b/>
          <w:color w:val="000000"/>
          <w:sz w:val="24"/>
        </w:rPr>
        <w:t>DGCL</w:t>
      </w:r>
      <w:r>
        <w:rPr>
          <w:rFonts w:ascii="Times New Roman" w:hAnsi="Times New Roman"/>
          <w:color w:val="000000"/>
          <w:sz w:val="20"/>
        </w:rPr>
        <w:t>”</w:t>
      </w:r>
      <w:r>
        <w:rPr>
          <w:rFonts w:ascii="Times New Roman" w:hAnsi="Times New Roman"/>
          <w:color w:val="000000"/>
          <w:sz w:val="24"/>
        </w:rPr>
        <w:t>), does hereby certify that: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FIRST: The Corporation’s Eighth Amended and Restated Certificate of Incorporation was filed with the Secretary of State of the State of Delaware on June 16, 2025 and was amended by a Certificate of Amendment filed with the Secretary of State of the State of Delaware on June 23, 2025 (as so amended, the “</w:t>
      </w:r>
      <w:r>
        <w:rPr>
          <w:rFonts w:ascii="Times New Roman" w:hAnsi="Times New Roman"/>
          <w:b/>
          <w:color w:val="000000"/>
          <w:sz w:val="24"/>
        </w:rPr>
        <w:t>Eighth Amended and Restated Certificate of Incorporation</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SECOND: The amendment to the Eighth Amended and Restated Certificate of Incorporation set forth below was duly adopted by the board of directors and the stockholders of the Corporation in accordance with Sections 228 and 242 of the DGCL.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THIRD: The first paragraph of Article Fourth of the Eighth Amended and Restated Certificate of Incorporation is amended to read in its entirety as follows:</w:t>
      </w:r>
    </w:p>
    <w:p>
      <w:pPr>
        <w:pStyle w:val="TextBody"/>
        <w:bidi w:val="0"/>
        <w:spacing w:before="240" w:after="283"/>
        <w:jc w:val="both"/>
        <w:rPr/>
      </w:pPr>
      <w:r>
        <w:rPr>
          <w:color w:val="000000"/>
        </w:rPr>
        <w:t>“</w:t>
      </w:r>
      <w:r>
        <w:rPr>
          <w:rFonts w:ascii="Times New Roman" w:hAnsi="Times New Roman"/>
          <w:color w:val="000000"/>
          <w:sz w:val="24"/>
        </w:rPr>
        <w:t>The total number of shares of all classes of stock which the Corporation shall have authority to issue is 585,290,225, consisting of (i) 350,000,000 shares of common stock, $0.0001 par value per share (the “</w:t>
      </w:r>
      <w:r>
        <w:rPr>
          <w:rFonts w:ascii="Times New Roman" w:hAnsi="Times New Roman"/>
          <w:b/>
          <w:color w:val="000000"/>
          <w:sz w:val="24"/>
        </w:rPr>
        <w:t>Voting Common Stock</w:t>
      </w:r>
      <w:r>
        <w:rPr>
          <w:rFonts w:ascii="Times New Roman" w:hAnsi="Times New Roman"/>
          <w:color w:val="000000"/>
          <w:sz w:val="20"/>
        </w:rPr>
        <w:t>”</w:t>
      </w:r>
      <w:r>
        <w:rPr>
          <w:rFonts w:ascii="Times New Roman" w:hAnsi="Times New Roman"/>
          <w:color w:val="000000"/>
          <w:sz w:val="24"/>
        </w:rPr>
        <w:t>), (ii) 81,240 shares of non-voting common stock, $0.0001 par value per share (the “</w:t>
      </w:r>
      <w:r>
        <w:rPr>
          <w:rFonts w:ascii="Times New Roman" w:hAnsi="Times New Roman"/>
          <w:b/>
          <w:color w:val="000000"/>
          <w:sz w:val="24"/>
        </w:rPr>
        <w:t>Non-Voting Common Stock</w:t>
      </w:r>
      <w:r>
        <w:rPr>
          <w:rFonts w:ascii="Times New Roman" w:hAnsi="Times New Roman"/>
          <w:color w:val="000000"/>
          <w:sz w:val="20"/>
        </w:rPr>
        <w:t xml:space="preserve">” </w:t>
      </w:r>
      <w:r>
        <w:rPr>
          <w:rFonts w:ascii="Times New Roman" w:hAnsi="Times New Roman"/>
          <w:color w:val="000000"/>
          <w:sz w:val="24"/>
        </w:rPr>
        <w:t>and together with the Voting Common Stock, the “</w:t>
      </w:r>
      <w:r>
        <w:rPr>
          <w:rFonts w:ascii="Times New Roman" w:hAnsi="Times New Roman"/>
          <w:b/>
          <w:color w:val="000000"/>
          <w:sz w:val="24"/>
        </w:rPr>
        <w:t>Common Stock</w:t>
      </w:r>
      <w:r>
        <w:rPr>
          <w:rFonts w:ascii="Times New Roman" w:hAnsi="Times New Roman"/>
          <w:color w:val="000000"/>
          <w:sz w:val="20"/>
        </w:rPr>
        <w:t>”</w:t>
      </w:r>
      <w:r>
        <w:rPr>
          <w:rFonts w:ascii="Times New Roman" w:hAnsi="Times New Roman"/>
          <w:color w:val="000000"/>
          <w:sz w:val="24"/>
        </w:rPr>
        <w:t>) and (iii) 235,208,985 shares of Preferred Stock, $0.0001 par value per share (“</w:t>
      </w:r>
      <w:r>
        <w:rPr>
          <w:rFonts w:ascii="Times New Roman" w:hAnsi="Times New Roman"/>
          <w:b/>
          <w:color w:val="000000"/>
          <w:sz w:val="24"/>
        </w:rPr>
        <w:t>Preferred Stock</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FOURTH: The first paragraph of Part B of Article Fourth of the Eighth Amended and Restated Certificate of Incorporation is amended to read in its entirety as follows:</w:t>
      </w:r>
    </w:p>
    <w:p>
      <w:pPr>
        <w:pStyle w:val="TextBody"/>
        <w:bidi w:val="0"/>
        <w:spacing w:before="240" w:after="283"/>
        <w:jc w:val="both"/>
        <w:rPr/>
      </w:pPr>
      <w:r>
        <w:rPr>
          <w:color w:val="000000"/>
        </w:rPr>
        <w:t>“</w:t>
      </w:r>
      <w:r>
        <w:rPr>
          <w:rFonts w:ascii="Times New Roman" w:hAnsi="Times New Roman"/>
          <w:color w:val="000000"/>
          <w:sz w:val="24"/>
        </w:rPr>
        <w:t>28,357,989 shares of the authorized Preferred Stock are hereby designated “</w:t>
      </w:r>
      <w:r>
        <w:rPr>
          <w:rFonts w:ascii="Times New Roman" w:hAnsi="Times New Roman"/>
          <w:b/>
          <w:color w:val="000000"/>
          <w:sz w:val="24"/>
        </w:rPr>
        <w:t>Series A Preferred Stock</w:t>
      </w:r>
      <w:r>
        <w:rPr>
          <w:rFonts w:ascii="Times New Roman" w:hAnsi="Times New Roman"/>
          <w:color w:val="000000"/>
          <w:sz w:val="24"/>
        </w:rPr>
        <w:t>,” 7,575,753 shares of the authorized Preferred Stock are hereby designated “</w:t>
      </w:r>
      <w:r>
        <w:rPr>
          <w:rFonts w:ascii="Times New Roman" w:hAnsi="Times New Roman"/>
          <w:b/>
          <w:color w:val="000000"/>
          <w:sz w:val="24"/>
        </w:rPr>
        <w:t>Series A-1 Preferred Stock</w:t>
      </w:r>
      <w:r>
        <w:rPr>
          <w:rFonts w:ascii="Times New Roman" w:hAnsi="Times New Roman"/>
          <w:color w:val="000000"/>
          <w:sz w:val="24"/>
        </w:rPr>
        <w:t>,” 7,815,303 shares of the authorized Preferred Stock are hereby designated “</w:t>
      </w:r>
      <w:r>
        <w:rPr>
          <w:rFonts w:ascii="Times New Roman" w:hAnsi="Times New Roman"/>
          <w:b/>
          <w:color w:val="000000"/>
          <w:sz w:val="24"/>
        </w:rPr>
        <w:t>Series A-2 Preferred Stock</w:t>
      </w:r>
      <w:r>
        <w:rPr>
          <w:rFonts w:ascii="Times New Roman" w:hAnsi="Times New Roman"/>
          <w:color w:val="000000"/>
          <w:sz w:val="24"/>
        </w:rPr>
        <w:t>,” 26,601,360 shares of the authorized Preferred Stock are hereby designated “</w:t>
      </w:r>
      <w:r>
        <w:rPr>
          <w:rFonts w:ascii="Times New Roman" w:hAnsi="Times New Roman"/>
          <w:b/>
          <w:color w:val="000000"/>
          <w:sz w:val="24"/>
        </w:rPr>
        <w:t>Series B Preferred Stock</w:t>
      </w:r>
      <w:r>
        <w:rPr>
          <w:rFonts w:ascii="Times New Roman" w:hAnsi="Times New Roman"/>
          <w:color w:val="000000"/>
          <w:sz w:val="24"/>
        </w:rPr>
        <w:t>,” 23,442,000 shares of the authorized Preferred Stock are hereby designated “</w:t>
      </w:r>
      <w:r>
        <w:rPr>
          <w:rFonts w:ascii="Times New Roman" w:hAnsi="Times New Roman"/>
          <w:b/>
          <w:color w:val="000000"/>
          <w:sz w:val="24"/>
        </w:rPr>
        <w:t>Series C Preferred Stock</w:t>
      </w:r>
      <w:r>
        <w:rPr>
          <w:rFonts w:ascii="Times New Roman" w:hAnsi="Times New Roman"/>
          <w:color w:val="000000"/>
          <w:sz w:val="24"/>
        </w:rPr>
        <w:t>,” 1,459,598 shares of the authorized Preferred Stock are hereby designated “</w:t>
      </w:r>
      <w:r>
        <w:rPr>
          <w:rFonts w:ascii="Times New Roman" w:hAnsi="Times New Roman"/>
          <w:b/>
          <w:color w:val="000000"/>
          <w:sz w:val="24"/>
        </w:rPr>
        <w:t>Series C-1 Preferred Stock</w:t>
      </w:r>
      <w:r>
        <w:rPr>
          <w:rFonts w:ascii="Times New Roman" w:hAnsi="Times New Roman"/>
          <w:color w:val="000000"/>
          <w:sz w:val="24"/>
        </w:rPr>
        <w:t>,” and 139,956,982 shares of the authorized Preferred Stock are hereby designated “</w:t>
      </w:r>
      <w:r>
        <w:rPr>
          <w:rFonts w:ascii="Times New Roman" w:hAnsi="Times New Roman"/>
          <w:b/>
          <w:color w:val="000000"/>
          <w:sz w:val="24"/>
        </w:rPr>
        <w:t>Series D Preferred Stock</w:t>
      </w:r>
      <w:r>
        <w:rPr>
          <w:rFonts w:ascii="Times New Roman" w:hAnsi="Times New Roman"/>
          <w:color w:val="000000"/>
          <w:sz w:val="24"/>
        </w:rPr>
        <w:t>,” each with the following rights, preferences, powers, privileges and restrictions, qualifications and limitations. Unless otherwise indicated, references to “sections” or “subsections” in this Part B of this Article Fourth refer to sections and subsections of Part B of this Article Fourth. All references to “Preferred Stock” herein shall refer solely to Series A Preferred Stock, Series A-1 Preferred Stock,</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Series A-2 Preferred Stock, Series B Preferred Stock, Series C Preferred Stock, Series C-1 Preferred Stock and Series D Preferred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FIFTH: This Certificate of Amendment of the Eighth Amended and Restated Certificate of Incorporation shall be effective upon filing with the Delaware Secretary of State.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Corporation has caused this Certificate of Amendment to be executed by the undersigned authorized officer as of the 6th day of August, 2025.</w:t>
      </w:r>
    </w:p>
    <w:p>
      <w:pPr>
        <w:pStyle w:val="TextBody"/>
        <w:bidi w:val="0"/>
        <w:jc w:val="left"/>
        <w:rPr/>
      </w:pPr>
      <w:r>
        <w:rPr/>
        <w:t> </w:t>
      </w:r>
    </w:p>
    <w:tbl>
      <w:tblPr>
        <w:tblW w:w="4547" w:type="dxa"/>
        <w:jc w:val="left"/>
        <w:tblInd w:w="0" w:type="dxa"/>
        <w:tblLayout w:type="fixed"/>
        <w:tblCellMar>
          <w:top w:w="28" w:type="dxa"/>
          <w:left w:w="28" w:type="dxa"/>
          <w:bottom w:w="28" w:type="dxa"/>
          <w:right w:w="28" w:type="dxa"/>
        </w:tblCellMar>
      </w:tblPr>
      <w:tblGrid>
        <w:gridCol w:w="796"/>
        <w:gridCol w:w="3751"/>
      </w:tblGrid>
      <w:tr>
        <w:trPr/>
        <w:tc>
          <w:tcPr>
            <w:tcW w:w="796"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45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w:t>
            </w:r>
          </w:p>
        </w:tc>
      </w:tr>
      <w:tr>
        <w:trPr/>
        <w:tc>
          <w:tcPr>
            <w:tcW w:w="45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4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/s/ Gary D. Glick</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Name: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Gary D. Glick</w:t>
            </w:r>
          </w:p>
        </w:tc>
      </w:tr>
      <w:tr>
        <w:trPr/>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Title: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President and Chief Executive Officer</w:t>
            </w:r>
          </w:p>
        </w:tc>
      </w:tr>
    </w:tbl>
    <w:p>
      <w:pPr>
        <w:pStyle w:val="TextBody"/>
        <w:bidi w:val="0"/>
        <w:jc w:val="left"/>
        <w:rPr/>
      </w:pPr>
      <w:r>
        <w:rPr/>
        <w:t> </w:t>
      </w:r>
    </w:p>
    <w:p>
      <w:pPr>
        <w:pStyle w:val="TextBody"/>
        <w:bidi w:val="0"/>
        <w:spacing w:before="120" w:after="283"/>
        <w:jc w:val="center"/>
        <w:rPr>
          <w:rFonts w:ascii="Times New Roman" w:hAnsi="Times New Roman"/>
          <w:i/>
          <w:color w:val="000000"/>
          <w:sz w:val="22"/>
        </w:rPr>
      </w:pPr>
      <w:r>
        <w:rPr>
          <w:rFonts w:ascii="Times New Roman" w:hAnsi="Times New Roman"/>
          <w:i/>
          <w:color w:val="000000"/>
          <w:sz w:val="22"/>
        </w:rPr>
        <w:t>[Signature page to the Certificate of Amendment of the Eighth A&amp;R Certificate of Incorporation]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4"/>
        </w:rPr>
        <w:t>Certificate of Amendment</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24"/>
        </w:rPr>
      </w:pPr>
      <w:r>
        <w:rPr>
          <w:rFonts w:ascii="Times New Roman" w:hAnsi="Times New Roman"/>
          <w:b/>
          <w:caps/>
          <w:color w:val="000000"/>
          <w:sz w:val="24"/>
        </w:rPr>
        <w:t>of THE</w:t>
      </w:r>
    </w:p>
    <w:p>
      <w:pPr>
        <w:pStyle w:val="TextBody"/>
        <w:bidi w:val="0"/>
        <w:jc w:val="center"/>
        <w:rPr>
          <w:rFonts w:ascii="Times New Roman" w:hAnsi="Times New Roman"/>
          <w:b/>
          <w:caps/>
          <w:color w:val="000000"/>
          <w:sz w:val="24"/>
        </w:rPr>
      </w:pPr>
      <w:r>
        <w:rPr>
          <w:rFonts w:ascii="Times New Roman" w:hAnsi="Times New Roman"/>
          <w:b/>
          <w:caps/>
          <w:color w:val="000000"/>
          <w:sz w:val="24"/>
        </w:rPr>
        <w:t>EIGHTH AMENDED AND RESTATED Certificate of Incorporation</w:t>
      </w:r>
    </w:p>
    <w:p>
      <w:pPr>
        <w:pStyle w:val="TextBody"/>
        <w:bidi w:val="0"/>
        <w:jc w:val="center"/>
        <w:rPr>
          <w:rFonts w:ascii="Times New Roman" w:hAnsi="Times New Roman"/>
          <w:b/>
          <w:caps/>
          <w:color w:val="000000"/>
          <w:sz w:val="24"/>
        </w:rPr>
      </w:pPr>
      <w:r>
        <w:rPr>
          <w:rFonts w:ascii="Times New Roman" w:hAnsi="Times New Roman"/>
          <w:b/>
          <w:caps/>
          <w:color w:val="000000"/>
          <w:sz w:val="24"/>
        </w:rPr>
        <w:t>of</w:t>
      </w:r>
    </w:p>
    <w:p>
      <w:pPr>
        <w:pStyle w:val="TextBody"/>
        <w:bidi w:val="0"/>
        <w:jc w:val="center"/>
        <w:rPr>
          <w:rFonts w:ascii="Times New Roman" w:hAnsi="Times New Roman"/>
          <w:b/>
          <w:color w:val="000000"/>
          <w:sz w:val="24"/>
        </w:rPr>
      </w:pPr>
      <w:r>
        <w:rPr>
          <w:rFonts w:ascii="Times New Roman" w:hAnsi="Times New Roman"/>
          <w:b/>
          <w:color w:val="000000"/>
          <w:sz w:val="24"/>
        </w:rPr>
        <w:t>ODYSSEY THERAPEUTICS, INC.</w:t>
      </w:r>
    </w:p>
    <w:p>
      <w:pPr>
        <w:pStyle w:val="TextBody"/>
        <w:bidi w:val="0"/>
        <w:spacing w:before="240" w:after="283"/>
        <w:jc w:val="both"/>
        <w:rPr>
          <w:rFonts w:ascii="Times New Roman" w:hAnsi="Times New Roman"/>
          <w:sz w:val="20"/>
        </w:rPr>
      </w:pPr>
      <w:r>
        <w:rPr>
          <w:rFonts w:ascii="Times New Roman" w:hAnsi="Times New Roman"/>
          <w:color w:val="000000"/>
          <w:sz w:val="24"/>
        </w:rPr>
        <w:t>Odyssey Therapeutics, Inc. (the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 a corporation duly organized and existing under the General Corporation Law of the State of Delaware (the “</w:t>
      </w:r>
      <w:r>
        <w:rPr>
          <w:rFonts w:ascii="Times New Roman" w:hAnsi="Times New Roman"/>
          <w:b/>
          <w:color w:val="000000"/>
          <w:sz w:val="24"/>
        </w:rPr>
        <w:t>DGCL</w:t>
      </w:r>
      <w:r>
        <w:rPr>
          <w:rFonts w:ascii="Times New Roman" w:hAnsi="Times New Roman"/>
          <w:color w:val="000000"/>
          <w:sz w:val="20"/>
        </w:rPr>
        <w:t>”</w:t>
      </w:r>
      <w:r>
        <w:rPr>
          <w:rFonts w:ascii="Times New Roman" w:hAnsi="Times New Roman"/>
          <w:color w:val="000000"/>
          <w:sz w:val="24"/>
        </w:rPr>
        <w:t>), does hereby certify that: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FIRST: The Corporation’s Eighth Amended and Restated Certificate of Incorporation was filed with the Secretary of State of the State of Delaware on June 16, 2025 and was amended by a Certificate of Amendment filed with the Secretary of State of the State of Delaware on June 23, 2025 and a Certificate of Amendment filed with the Secretary of State of the State of Delaware on August 5, 2025 (as so amended, the “</w:t>
      </w:r>
      <w:r>
        <w:rPr>
          <w:rFonts w:ascii="Times New Roman" w:hAnsi="Times New Roman"/>
          <w:b/>
          <w:color w:val="000000"/>
          <w:sz w:val="24"/>
        </w:rPr>
        <w:t>Eighth Amended and Restated Certificate of Incorporation</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SECOND: The amendment to the Eighth Amended and Restated Certificate of Incorporation set forth below was duly adopted by the board of directors and the stockholders of the Corporation in accordance with Sections 228 and 242 of the DGCL.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THIRD: The first paragraph of Article Fourth of the Eighth Amended and Restated Certificate of Incorporation is amended to read in its entirety as follows:</w:t>
      </w:r>
    </w:p>
    <w:p>
      <w:pPr>
        <w:pStyle w:val="TextBody"/>
        <w:bidi w:val="0"/>
        <w:spacing w:before="240" w:after="283"/>
        <w:jc w:val="both"/>
        <w:rPr/>
      </w:pPr>
      <w:r>
        <w:rPr>
          <w:color w:val="000000"/>
        </w:rPr>
        <w:t>“</w:t>
      </w:r>
      <w:r>
        <w:rPr>
          <w:rFonts w:ascii="Times New Roman" w:hAnsi="Times New Roman"/>
          <w:color w:val="000000"/>
          <w:sz w:val="24"/>
        </w:rPr>
        <w:t>The total number of shares of all classes of stock which the Corporation shall have authority to issue is 602,350,066, consisting of (i) 365,000,000 shares of common stock, $0.0001 par value per share (the “</w:t>
      </w:r>
      <w:r>
        <w:rPr>
          <w:rFonts w:ascii="Times New Roman" w:hAnsi="Times New Roman"/>
          <w:b/>
          <w:color w:val="000000"/>
          <w:sz w:val="24"/>
        </w:rPr>
        <w:t>Voting Common Stock</w:t>
      </w:r>
      <w:r>
        <w:rPr>
          <w:rFonts w:ascii="Times New Roman" w:hAnsi="Times New Roman"/>
          <w:color w:val="000000"/>
          <w:sz w:val="20"/>
        </w:rPr>
        <w:t>”</w:t>
      </w:r>
      <w:r>
        <w:rPr>
          <w:rFonts w:ascii="Times New Roman" w:hAnsi="Times New Roman"/>
          <w:color w:val="000000"/>
          <w:sz w:val="24"/>
        </w:rPr>
        <w:t>), (ii) 81,240 shares of non-voting common stock, $0.0001 par value per share (the “</w:t>
      </w:r>
      <w:r>
        <w:rPr>
          <w:rFonts w:ascii="Times New Roman" w:hAnsi="Times New Roman"/>
          <w:b/>
          <w:color w:val="000000"/>
          <w:sz w:val="24"/>
        </w:rPr>
        <w:t>Non-Voting Common Stock</w:t>
      </w:r>
      <w:r>
        <w:rPr>
          <w:rFonts w:ascii="Times New Roman" w:hAnsi="Times New Roman"/>
          <w:color w:val="000000"/>
          <w:sz w:val="20"/>
        </w:rPr>
        <w:t xml:space="preserve">” </w:t>
      </w:r>
      <w:r>
        <w:rPr>
          <w:rFonts w:ascii="Times New Roman" w:hAnsi="Times New Roman"/>
          <w:color w:val="000000"/>
          <w:sz w:val="24"/>
        </w:rPr>
        <w:t>and together with the Voting Common Stock, the “</w:t>
      </w:r>
      <w:r>
        <w:rPr>
          <w:rFonts w:ascii="Times New Roman" w:hAnsi="Times New Roman"/>
          <w:b/>
          <w:color w:val="000000"/>
          <w:sz w:val="24"/>
        </w:rPr>
        <w:t>Common Stock</w:t>
      </w:r>
      <w:r>
        <w:rPr>
          <w:rFonts w:ascii="Times New Roman" w:hAnsi="Times New Roman"/>
          <w:color w:val="000000"/>
          <w:sz w:val="20"/>
        </w:rPr>
        <w:t>”</w:t>
      </w:r>
      <w:r>
        <w:rPr>
          <w:rFonts w:ascii="Times New Roman" w:hAnsi="Times New Roman"/>
          <w:color w:val="000000"/>
          <w:sz w:val="24"/>
        </w:rPr>
        <w:t>) and (iii) 237,268,826 shares of Preferred Stock, $0.0001 par value per share (“</w:t>
      </w:r>
      <w:r>
        <w:rPr>
          <w:rFonts w:ascii="Times New Roman" w:hAnsi="Times New Roman"/>
          <w:b/>
          <w:color w:val="000000"/>
          <w:sz w:val="24"/>
        </w:rPr>
        <w:t>Preferred Stock</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FOURTH: The first paragraph of Part B of Article Fourth of the Eighth Amended and Restated Certificate of Incorporation is amended to read in its entirety as follows:</w:t>
      </w:r>
    </w:p>
    <w:p>
      <w:pPr>
        <w:pStyle w:val="TextBody"/>
        <w:bidi w:val="0"/>
        <w:spacing w:before="240" w:after="283"/>
        <w:jc w:val="both"/>
        <w:rPr/>
      </w:pPr>
      <w:r>
        <w:rPr>
          <w:color w:val="000000"/>
        </w:rPr>
        <w:t>“</w:t>
      </w:r>
      <w:r>
        <w:rPr>
          <w:rFonts w:ascii="Times New Roman" w:hAnsi="Times New Roman"/>
          <w:color w:val="000000"/>
          <w:sz w:val="24"/>
        </w:rPr>
        <w:t>28,357,989 shares of the authorized Preferred Stock are hereby designated “</w:t>
      </w:r>
      <w:r>
        <w:rPr>
          <w:rFonts w:ascii="Times New Roman" w:hAnsi="Times New Roman"/>
          <w:b/>
          <w:color w:val="000000"/>
          <w:sz w:val="24"/>
        </w:rPr>
        <w:t>Series A Preferred Stock</w:t>
      </w:r>
      <w:r>
        <w:rPr>
          <w:rFonts w:ascii="Times New Roman" w:hAnsi="Times New Roman"/>
          <w:color w:val="000000"/>
          <w:sz w:val="24"/>
        </w:rPr>
        <w:t>,” 7,575,753 shares of the authorized Preferred Stock are hereby designated “</w:t>
      </w:r>
      <w:r>
        <w:rPr>
          <w:rFonts w:ascii="Times New Roman" w:hAnsi="Times New Roman"/>
          <w:b/>
          <w:color w:val="000000"/>
          <w:sz w:val="24"/>
        </w:rPr>
        <w:t>Series A-1 Preferred Stock</w:t>
      </w:r>
      <w:r>
        <w:rPr>
          <w:rFonts w:ascii="Times New Roman" w:hAnsi="Times New Roman"/>
          <w:color w:val="000000"/>
          <w:sz w:val="24"/>
        </w:rPr>
        <w:t>,” 7,815,303 shares of the authorized Preferred Stock are hereby designated “</w:t>
      </w:r>
      <w:r>
        <w:rPr>
          <w:rFonts w:ascii="Times New Roman" w:hAnsi="Times New Roman"/>
          <w:b/>
          <w:color w:val="000000"/>
          <w:sz w:val="24"/>
        </w:rPr>
        <w:t>Series A-2 Preferred Stock</w:t>
      </w:r>
      <w:r>
        <w:rPr>
          <w:rFonts w:ascii="Times New Roman" w:hAnsi="Times New Roman"/>
          <w:color w:val="000000"/>
          <w:sz w:val="24"/>
        </w:rPr>
        <w:t>,” 26,601,360 shares of the authorized Preferred Stock are hereby designated “</w:t>
      </w:r>
      <w:r>
        <w:rPr>
          <w:rFonts w:ascii="Times New Roman" w:hAnsi="Times New Roman"/>
          <w:b/>
          <w:color w:val="000000"/>
          <w:sz w:val="24"/>
        </w:rPr>
        <w:t>Series B Preferred Stock</w:t>
      </w:r>
      <w:r>
        <w:rPr>
          <w:rFonts w:ascii="Times New Roman" w:hAnsi="Times New Roman"/>
          <w:color w:val="000000"/>
          <w:sz w:val="24"/>
        </w:rPr>
        <w:t>,” 23,442,000 shares of the authorized Preferred Stock are hereby designated “</w:t>
      </w:r>
      <w:r>
        <w:rPr>
          <w:rFonts w:ascii="Times New Roman" w:hAnsi="Times New Roman"/>
          <w:b/>
          <w:color w:val="000000"/>
          <w:sz w:val="24"/>
        </w:rPr>
        <w:t>Series C Preferred Stock</w:t>
      </w:r>
      <w:r>
        <w:rPr>
          <w:rFonts w:ascii="Times New Roman" w:hAnsi="Times New Roman"/>
          <w:color w:val="000000"/>
          <w:sz w:val="24"/>
        </w:rPr>
        <w:t>,” 1,459,598 shares of the authorized Preferred Stock are hereby designated “</w:t>
      </w:r>
      <w:r>
        <w:rPr>
          <w:rFonts w:ascii="Times New Roman" w:hAnsi="Times New Roman"/>
          <w:b/>
          <w:color w:val="000000"/>
          <w:sz w:val="24"/>
        </w:rPr>
        <w:t>Series C-1 Preferred Stock</w:t>
      </w:r>
      <w:r>
        <w:rPr>
          <w:rFonts w:ascii="Times New Roman" w:hAnsi="Times New Roman"/>
          <w:color w:val="000000"/>
          <w:sz w:val="24"/>
        </w:rPr>
        <w:t>,” and 142,016,823 shares of the authorized Preferred Stock are hereby designated “</w:t>
      </w:r>
      <w:r>
        <w:rPr>
          <w:rFonts w:ascii="Times New Roman" w:hAnsi="Times New Roman"/>
          <w:b/>
          <w:color w:val="000000"/>
          <w:sz w:val="24"/>
        </w:rPr>
        <w:t>Series D Preferred Stock</w:t>
      </w:r>
      <w:r>
        <w:rPr>
          <w:rFonts w:ascii="Times New Roman" w:hAnsi="Times New Roman"/>
          <w:color w:val="000000"/>
          <w:sz w:val="24"/>
        </w:rPr>
        <w:t>,” each with the following rights, preferences, powers, privileges and restrictions, qualifications and limitations. Unless otherwise indicated, references to “sections” or “subsections” in this Part B of this Article Fourth refer to sections and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subsections of Part B of this Article Fourth. All references to “Preferred Stock” herein shall refer solely to Series A Preferred Stock, Series A-1 Preferred Stock, Series A-2 Preferred Stock, Series B Preferred Stock, Series C Preferred Stock, Series C-1 Preferred Stock and Series D Preferred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FIFTH: This Certificate of Amendment of the Eighth Amended and Restated Certificate of Incorporation shall be effective upon filing with the Delaware Secretary of State.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Corporation has caused this Certificate of Amendment to be executed by the undersigned authorized officer as of the 22nd day of September, 2025.</w:t>
      </w:r>
    </w:p>
    <w:p>
      <w:pPr>
        <w:pStyle w:val="TextBody"/>
        <w:bidi w:val="0"/>
        <w:jc w:val="left"/>
        <w:rPr/>
      </w:pPr>
      <w:r>
        <w:rPr/>
        <w:t> </w:t>
      </w:r>
    </w:p>
    <w:tbl>
      <w:tblPr>
        <w:tblW w:w="4502" w:type="dxa"/>
        <w:jc w:val="left"/>
        <w:tblInd w:w="0" w:type="dxa"/>
        <w:tblLayout w:type="fixed"/>
        <w:tblCellMar>
          <w:top w:w="28" w:type="dxa"/>
          <w:left w:w="28" w:type="dxa"/>
          <w:bottom w:w="28" w:type="dxa"/>
          <w:right w:w="28" w:type="dxa"/>
        </w:tblCellMar>
      </w:tblPr>
      <w:tblGrid>
        <w:gridCol w:w="751"/>
        <w:gridCol w:w="3751"/>
      </w:tblGrid>
      <w:tr>
        <w:trPr/>
        <w:tc>
          <w:tcPr>
            <w:tcW w:w="751"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450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w:t>
            </w:r>
          </w:p>
        </w:tc>
      </w:tr>
      <w:tr>
        <w:trPr/>
        <w:tc>
          <w:tcPr>
            <w:tcW w:w="45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/s/ Gary D. Glick</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Gary D. Glick</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President and Chief Executive Officer</w:t>
            </w:r>
          </w:p>
        </w:tc>
      </w:tr>
    </w:tbl>
    <w:p>
      <w:pPr>
        <w:pStyle w:val="TextBody"/>
        <w:bidi w:val="0"/>
        <w:jc w:val="left"/>
        <w:rPr/>
      </w:pPr>
      <w:r>
        <w:rPr/>
        <w:t> </w:t>
      </w:r>
    </w:p>
    <w:p>
      <w:pPr>
        <w:pStyle w:val="TextBody"/>
        <w:bidi w:val="0"/>
        <w:spacing w:before="120" w:after="283"/>
        <w:jc w:val="center"/>
        <w:rPr>
          <w:rFonts w:ascii="Times New Roman" w:hAnsi="Times New Roman"/>
          <w:i/>
          <w:color w:val="000000"/>
          <w:sz w:val="22"/>
        </w:rPr>
      </w:pPr>
      <w:r>
        <w:rPr>
          <w:rFonts w:ascii="Times New Roman" w:hAnsi="Times New Roman"/>
          <w:i/>
          <w:color w:val="000000"/>
          <w:sz w:val="22"/>
        </w:rPr>
        <w:t>[Signature page to the Certificate of Amendment of the Eighth A&amp;R Certificate of Incorporation]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4"/>
        </w:rPr>
        <w:t>Certificate of Amendment</w:t>
      </w:r>
      <w:r>
        <w:rPr>
          <w:rFonts w:ascii="Times New Roman" w:hAnsi="Times New Roman"/>
          <w:caps/>
          <w:color w:val="000000"/>
          <w:sz w:val="20"/>
        </w:rPr>
        <w:t xml:space="preserve"> </w:t>
      </w:r>
    </w:p>
    <w:p>
      <w:pPr>
        <w:pStyle w:val="TextBody"/>
        <w:bidi w:val="0"/>
        <w:jc w:val="center"/>
        <w:rPr>
          <w:rFonts w:ascii="Times New Roman" w:hAnsi="Times New Roman"/>
          <w:b/>
          <w:caps/>
          <w:color w:val="000000"/>
          <w:sz w:val="24"/>
        </w:rPr>
      </w:pPr>
      <w:r>
        <w:rPr>
          <w:rFonts w:ascii="Times New Roman" w:hAnsi="Times New Roman"/>
          <w:b/>
          <w:caps/>
          <w:color w:val="000000"/>
          <w:sz w:val="24"/>
        </w:rPr>
        <w:t>of THE</w:t>
      </w:r>
    </w:p>
    <w:p>
      <w:pPr>
        <w:pStyle w:val="TextBody"/>
        <w:bidi w:val="0"/>
        <w:jc w:val="center"/>
        <w:rPr>
          <w:rFonts w:ascii="Times New Roman" w:hAnsi="Times New Roman"/>
          <w:b/>
          <w:caps/>
          <w:color w:val="000000"/>
          <w:sz w:val="24"/>
        </w:rPr>
      </w:pPr>
      <w:r>
        <w:rPr>
          <w:rFonts w:ascii="Times New Roman" w:hAnsi="Times New Roman"/>
          <w:b/>
          <w:caps/>
          <w:color w:val="000000"/>
          <w:sz w:val="24"/>
        </w:rPr>
        <w:t>EIGHTH AMENDED AND RESTATED Certificate of Incorporation</w:t>
      </w:r>
    </w:p>
    <w:p>
      <w:pPr>
        <w:pStyle w:val="TextBody"/>
        <w:bidi w:val="0"/>
        <w:jc w:val="center"/>
        <w:rPr>
          <w:rFonts w:ascii="Times New Roman" w:hAnsi="Times New Roman"/>
          <w:b/>
          <w:caps/>
          <w:color w:val="000000"/>
          <w:sz w:val="24"/>
        </w:rPr>
      </w:pPr>
      <w:r>
        <w:rPr>
          <w:rFonts w:ascii="Times New Roman" w:hAnsi="Times New Roman"/>
          <w:b/>
          <w:caps/>
          <w:color w:val="000000"/>
          <w:sz w:val="24"/>
        </w:rPr>
        <w:t>of</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ODYSSEY THERAPEUTICS, INC.</w:t>
      </w:r>
    </w:p>
    <w:p>
      <w:pPr>
        <w:pStyle w:val="TextBody"/>
        <w:bidi w:val="0"/>
        <w:spacing w:before="0" w:after="240"/>
        <w:jc w:val="both"/>
        <w:rPr>
          <w:rFonts w:ascii="Times New Roman" w:hAnsi="Times New Roman"/>
          <w:sz w:val="20"/>
        </w:rPr>
      </w:pPr>
      <w:r>
        <w:rPr>
          <w:rFonts w:ascii="Times New Roman" w:hAnsi="Times New Roman"/>
          <w:color w:val="000000"/>
          <w:sz w:val="24"/>
        </w:rPr>
        <w:t>Odyssey Therapeutics, Inc. (the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 a corporation duly organized and existing under the General Corporation Law of the State of Delaware (the “</w:t>
      </w:r>
      <w:r>
        <w:rPr>
          <w:rFonts w:ascii="Times New Roman" w:hAnsi="Times New Roman"/>
          <w:b/>
          <w:color w:val="000000"/>
          <w:sz w:val="24"/>
        </w:rPr>
        <w:t>DGCL</w:t>
      </w:r>
      <w:r>
        <w:rPr>
          <w:rFonts w:ascii="Times New Roman" w:hAnsi="Times New Roman"/>
          <w:color w:val="000000"/>
          <w:sz w:val="20"/>
        </w:rPr>
        <w:t>”</w:t>
      </w:r>
      <w:r>
        <w:rPr>
          <w:rFonts w:ascii="Times New Roman" w:hAnsi="Times New Roman"/>
          <w:color w:val="000000"/>
          <w:sz w:val="24"/>
        </w:rPr>
        <w:t>), does hereby certify 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FIRST: The Corporation’s Eighth Amended and Restated Certificate of Incorporation was filed with the Secretary of State of the State of Delaware on June 16, 2025 and was amended by a Certificate of Amendment filed with the Secretary of State of the State of Delaware on June 23, 2025, a Certificate of Amendment filed with the Secretary of State of the State of Delaware on August 5, 2025 and a Certificate of Amendment filed with the Secretary of State of the State of Delaware on September 22, 2025 (as so amended, the “</w:t>
      </w:r>
      <w:r>
        <w:rPr>
          <w:rFonts w:ascii="Times New Roman" w:hAnsi="Times New Roman"/>
          <w:b/>
          <w:color w:val="000000"/>
          <w:sz w:val="24"/>
        </w:rPr>
        <w:t>Eighth Amended and Restated Certificate of Incorporation</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SECOND: The amendment to the Eighth Amended and Restated Certificate of Incorporation set forth below was duly adopted by the board of directors and the stockholders of the Corporation in accordance with Sections 228 and 242 of the DGCL.</w:t>
      </w:r>
    </w:p>
    <w:p>
      <w:pPr>
        <w:pStyle w:val="TextBody"/>
        <w:bidi w:val="0"/>
        <w:jc w:val="both"/>
        <w:rPr>
          <w:rFonts w:ascii="Times New Roman" w:hAnsi="Times New Roman"/>
          <w:color w:val="000000"/>
          <w:sz w:val="24"/>
        </w:rPr>
      </w:pPr>
      <w:r>
        <w:rPr>
          <w:rFonts w:ascii="Times New Roman" w:hAnsi="Times New Roman"/>
          <w:color w:val="000000"/>
          <w:sz w:val="24"/>
        </w:rPr>
        <w:t>THIRD: The following is inserted into the first paragraph of Article Fourth of the Eighth Amended and Restated Certificate of Incorporation immediately before the first sentence thereof:</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rPr>
        <w:t>Effective upon the filing of this Certificate of Amendment to the Certificate of Incorporation with the Secretary of State of the State of Delaware (the “</w:t>
      </w:r>
      <w:r>
        <w:rPr>
          <w:rFonts w:ascii="Times New Roman" w:hAnsi="Times New Roman"/>
          <w:b/>
          <w:color w:val="000000"/>
          <w:sz w:val="24"/>
        </w:rPr>
        <w:t>Reverse Stock Split Effective Time</w:t>
      </w:r>
      <w:r>
        <w:rPr>
          <w:rFonts w:ascii="Times New Roman" w:hAnsi="Times New Roman"/>
          <w:color w:val="000000"/>
          <w:sz w:val="20"/>
        </w:rPr>
        <w:t>”</w:t>
      </w:r>
      <w:r>
        <w:rPr>
          <w:rFonts w:ascii="Times New Roman" w:hAnsi="Times New Roman"/>
          <w:color w:val="000000"/>
          <w:sz w:val="24"/>
        </w:rPr>
        <w:t>), every 9.7170 shares of Voting Common Stock then issued and outstanding or held in the treasury of the Corporation immediately prior to the Reverse Stock Split Effective Time shall automatically be combined, reclassified and changed into one (1) validly issued, fully paid and non-assessable share of Voting Common Stock, without any further action by the Corporation or any holder of such shares (the “</w:t>
      </w:r>
      <w:r>
        <w:rPr>
          <w:rFonts w:ascii="Times New Roman" w:hAnsi="Times New Roman"/>
          <w:b/>
          <w:color w:val="000000"/>
          <w:sz w:val="24"/>
        </w:rPr>
        <w:t>Reverse Stock Split</w:t>
      </w:r>
      <w:r>
        <w:rPr>
          <w:rFonts w:ascii="Times New Roman" w:hAnsi="Times New Roman"/>
          <w:color w:val="000000"/>
          <w:sz w:val="20"/>
        </w:rPr>
        <w:t>”</w:t>
      </w:r>
      <w:r>
        <w:rPr>
          <w:rFonts w:ascii="Times New Roman" w:hAnsi="Times New Roman"/>
          <w:color w:val="000000"/>
          <w:sz w:val="24"/>
        </w:rPr>
        <w:t>). No fractional shares shall be issued in connection with the Reverse Stock Split, and in lieu of any fractional shares to which a holder would otherwise be entitled (taking into account all shares of Voting Common Stock owned by such stockholder), the Corporation shall pay cash equal to such fraction multiplied by the fair market value of a share of Voting Common Stock, as determined in good faith by the Board of Directors. All rights, preferences and privileges of the Non-Voting Common Stock and the Preferred Stock shall be appropriately adjusted to reflect the Reverse Stock Split in accordance with the Certificate of Incorporation, as amended by this Certificate of Amendment.”</w:t>
      </w:r>
    </w:p>
    <w:p>
      <w:pPr>
        <w:pStyle w:val="TextBody"/>
        <w:bidi w:val="0"/>
        <w:jc w:val="both"/>
        <w:rPr>
          <w:rFonts w:ascii="Times New Roman" w:hAnsi="Times New Roman"/>
          <w:color w:val="000000"/>
          <w:sz w:val="24"/>
        </w:rPr>
      </w:pPr>
      <w:r>
        <w:rPr>
          <w:rFonts w:ascii="Times New Roman" w:hAnsi="Times New Roman"/>
          <w:color w:val="000000"/>
          <w:sz w:val="24"/>
        </w:rPr>
        <w:t>FOURTH: This Certificate of Amendment of the Eighth Amended and Restated Certificate of Incorporation shall be effective upon filing with the Delaware Secretary of State.</w:t>
      </w:r>
    </w:p>
    <w:p>
      <w:pPr>
        <w:pStyle w:val="TextBody"/>
        <w:bidi w:val="0"/>
        <w:jc w:val="center"/>
        <w:rPr>
          <w:rFonts w:ascii="Times New Roman" w:hAnsi="Times New Roman"/>
          <w:color w:val="000000"/>
          <w:sz w:val="24"/>
        </w:rPr>
      </w:pPr>
      <w:r>
        <w:rPr>
          <w:rFonts w:ascii="Times New Roman" w:hAnsi="Times New Roman"/>
          <w:color w:val="000000"/>
          <w:sz w:val="24"/>
        </w:rPr>
        <w:t>* *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Corporation has caused this Certificate of Amendment to be executed by the undersigned authorized officer as of the 1st day of May, 2026.</w:t>
      </w:r>
    </w:p>
    <w:p>
      <w:pPr>
        <w:pStyle w:val="TextBody"/>
        <w:bidi w:val="0"/>
        <w:jc w:val="left"/>
        <w:rPr/>
      </w:pPr>
      <w:r>
        <w:rPr/>
        <w:t> </w:t>
      </w:r>
    </w:p>
    <w:tbl>
      <w:tblPr>
        <w:tblW w:w="6347" w:type="dxa"/>
        <w:jc w:val="left"/>
        <w:tblInd w:w="0" w:type="dxa"/>
        <w:tblLayout w:type="fixed"/>
        <w:tblCellMar>
          <w:top w:w="28" w:type="dxa"/>
          <w:left w:w="28" w:type="dxa"/>
          <w:bottom w:w="28" w:type="dxa"/>
          <w:right w:w="28" w:type="dxa"/>
        </w:tblCellMar>
      </w:tblPr>
      <w:tblGrid>
        <w:gridCol w:w="751"/>
        <w:gridCol w:w="5596"/>
      </w:tblGrid>
      <w:tr>
        <w:trPr/>
        <w:tc>
          <w:tcPr>
            <w:tcW w:w="751" w:type="dxa"/>
            <w:tcBorders/>
            <w:vAlign w:val="center"/>
          </w:tcPr>
          <w:p>
            <w:pPr>
              <w:pStyle w:val="TableContents"/>
              <w:bidi w:val="0"/>
              <w:spacing w:before="0" w:after="283"/>
              <w:jc w:val="left"/>
              <w:rPr>
                <w:sz w:val="4"/>
                <w:szCs w:val="4"/>
              </w:rPr>
            </w:pPr>
            <w:r>
              <w:rPr>
                <w:sz w:val="4"/>
                <w:szCs w:val="4"/>
              </w:rPr>
            </w:r>
          </w:p>
        </w:tc>
        <w:tc>
          <w:tcPr>
            <w:tcW w:w="5596" w:type="dxa"/>
            <w:tcBorders/>
            <w:vAlign w:val="center"/>
          </w:tcPr>
          <w:p>
            <w:pPr>
              <w:pStyle w:val="TableContents"/>
              <w:bidi w:val="0"/>
              <w:spacing w:before="0" w:after="283"/>
              <w:jc w:val="left"/>
              <w:rPr>
                <w:sz w:val="4"/>
                <w:szCs w:val="4"/>
              </w:rPr>
            </w:pPr>
            <w:r>
              <w:rPr>
                <w:sz w:val="4"/>
                <w:szCs w:val="4"/>
              </w:rPr>
            </w:r>
          </w:p>
        </w:tc>
      </w:tr>
      <w:tr>
        <w:trPr/>
        <w:tc>
          <w:tcPr>
            <w:tcW w:w="634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w:t>
            </w:r>
          </w:p>
        </w:tc>
      </w:tr>
      <w:tr>
        <w:trPr/>
        <w:tc>
          <w:tcPr>
            <w:tcW w:w="63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4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4"/>
              </w:rPr>
              <w:t>/s/ Jolie M. Siegel</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Jolie M. Siegel</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Executive Vice President, General Counsel and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6" w:name="odtx-ex5_1.htm"/>
      <w:bookmarkStart w:id="37" w:name="ksodtxex5_1"/>
      <w:bookmarkStart w:id="38" w:name="odtx-ex5_1.htm"/>
      <w:bookmarkStart w:id="39" w:name="ksodtxex5_1"/>
      <w:bookmarkEnd w:id="38"/>
      <w:bookmarkEnd w:id="39"/>
      <w:r>
        <w:br w:type="page"/>
      </w:r>
    </w:p>
    <w:tbl>
      <w:tblPr>
        <w:tblW w:w="10205" w:type="dxa"/>
        <w:jc w:val="left"/>
        <w:tblInd w:w="0" w:type="dxa"/>
        <w:tblLayout w:type="fixed"/>
        <w:tblCellMar>
          <w:top w:w="28" w:type="dxa"/>
          <w:left w:w="28" w:type="dxa"/>
          <w:bottom w:w="28" w:type="dxa"/>
          <w:right w:w="28" w:type="dxa"/>
        </w:tblCellMar>
      </w:tblPr>
      <w:tblGrid>
        <w:gridCol w:w="4883"/>
        <w:gridCol w:w="1586"/>
        <w:gridCol w:w="3736"/>
      </w:tblGrid>
      <w:tr>
        <w:trPr/>
        <w:tc>
          <w:tcPr>
            <w:tcW w:w="4883"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4883" w:type="dxa"/>
            <w:tcBorders/>
            <w:tcMar>
              <w:top w:w="0" w:type="dxa"/>
              <w:left w:w="0" w:type="dxa"/>
              <w:bottom w:w="0" w:type="dxa"/>
              <w:right w:w="0" w:type="dxa"/>
            </w:tcMar>
            <w:vAlign w:val="center"/>
          </w:tcPr>
          <w:p>
            <w:pPr>
              <w:pStyle w:val="TableContents"/>
              <w:bidi w:val="0"/>
              <w:jc w:val="left"/>
              <w:rPr>
                <w:rFonts w:ascii="Times New Roman" w:hAnsi="Times New Roman"/>
                <w:b/>
                <w:caps/>
                <w:color w:val="000000"/>
                <w:sz w:val="30"/>
              </w:rPr>
            </w:pPr>
            <w:r>
              <w:rPr>
                <w:rFonts w:ascii="Times New Roman" w:hAnsi="Times New Roman"/>
                <w:b/>
                <w:caps/>
                <w:color w:val="000000"/>
                <w:sz w:val="30"/>
              </w:rPr>
              <w:t>Covington</w:t>
            </w:r>
          </w:p>
          <w:p>
            <w:pPr>
              <w:pStyle w:val="TableContents"/>
              <w:bidi w:val="0"/>
              <w:spacing w:before="120" w:after="283"/>
              <w:jc w:val="left"/>
              <w:rPr>
                <w:rFonts w:ascii="Times New Roman" w:hAnsi="Times New Roman"/>
                <w:caps/>
                <w:color w:val="000000"/>
                <w:sz w:val="16"/>
              </w:rPr>
            </w:pPr>
            <w:r>
              <w:rPr>
                <w:rFonts w:ascii="Times New Roman" w:hAnsi="Times New Roman"/>
                <w:caps/>
                <w:color w:val="000000"/>
                <w:sz w:val="16"/>
              </w:rPr>
              <w:t>beijing boston brussels dubai frankfurt</w:t>
            </w:r>
          </w:p>
          <w:p>
            <w:pPr>
              <w:pStyle w:val="TableContents"/>
              <w:bidi w:val="0"/>
              <w:spacing w:before="40" w:after="283"/>
              <w:jc w:val="left"/>
              <w:rPr>
                <w:rFonts w:ascii="Times New Roman" w:hAnsi="Times New Roman"/>
                <w:caps/>
                <w:color w:val="000000"/>
                <w:sz w:val="16"/>
              </w:rPr>
            </w:pPr>
            <w:r>
              <w:rPr>
                <w:rFonts w:ascii="Times New Roman" w:hAnsi="Times New Roman"/>
                <w:caps/>
                <w:color w:val="000000"/>
                <w:sz w:val="16"/>
              </w:rPr>
              <w:t xml:space="preserve">johannesburg london los angeles new york </w:t>
            </w:r>
          </w:p>
          <w:p>
            <w:pPr>
              <w:pStyle w:val="TableContents"/>
              <w:bidi w:val="0"/>
              <w:spacing w:before="40" w:after="283"/>
              <w:jc w:val="left"/>
              <w:rPr>
                <w:rFonts w:ascii="Times New Roman" w:hAnsi="Times New Roman"/>
                <w:caps/>
                <w:color w:val="000000"/>
                <w:sz w:val="16"/>
              </w:rPr>
            </w:pPr>
            <w:r>
              <w:rPr>
                <w:rFonts w:ascii="Times New Roman" w:hAnsi="Times New Roman"/>
                <w:caps/>
                <w:color w:val="000000"/>
                <w:sz w:val="16"/>
              </w:rPr>
              <w:t>palo alto san francisco seoul shaNghai washington</w:t>
            </w:r>
          </w:p>
        </w:tc>
        <w:tc>
          <w:tcPr>
            <w:tcW w:w="1586" w:type="dxa"/>
            <w:tcBorders/>
            <w:tcMar>
              <w:top w:w="0" w:type="dxa"/>
              <w:left w:w="0" w:type="dxa"/>
              <w:bottom w:w="0" w:type="dxa"/>
              <w:right w:w="0" w:type="dxa"/>
            </w:tcMar>
            <w:vAlign w:val="center"/>
          </w:tcPr>
          <w:p>
            <w:pPr>
              <w:pStyle w:val="TableContents"/>
              <w:bidi w:val="0"/>
              <w:spacing w:before="0" w:after="283"/>
              <w:ind w:left="0" w:right="0" w:firstLine="1440"/>
              <w:jc w:val="left"/>
              <w:rPr/>
            </w:pPr>
            <w:r>
              <w:rPr/>
              <w:t> </w:t>
            </w:r>
          </w:p>
        </w:tc>
        <w:tc>
          <w:tcPr>
            <w:tcW w:w="3736" w:type="dxa"/>
            <w:tcBorders/>
            <w:tcMar>
              <w:top w:w="0" w:type="dxa"/>
              <w:left w:w="0" w:type="dxa"/>
              <w:bottom w:w="0" w:type="dxa"/>
              <w:right w:w="0" w:type="dxa"/>
            </w:tcMar>
            <w:vAlign w:val="center"/>
          </w:tcPr>
          <w:p>
            <w:pPr>
              <w:pStyle w:val="TableContents"/>
              <w:bidi w:val="0"/>
              <w:ind w:left="0" w:right="0" w:firstLine="1440"/>
              <w:jc w:val="left"/>
              <w:rPr>
                <w:rFonts w:ascii="Times New Roman" w:hAnsi="Times New Roman"/>
                <w:color w:val="000000"/>
                <w:sz w:val="20"/>
              </w:rPr>
            </w:pPr>
            <w:r>
              <w:rPr>
                <w:rFonts w:ascii="Times New Roman" w:hAnsi="Times New Roman"/>
                <w:color w:val="000000"/>
                <w:sz w:val="20"/>
              </w:rPr>
              <w:t>Covington &amp; Burling LLP</w:t>
            </w:r>
          </w:p>
          <w:p>
            <w:pPr>
              <w:pStyle w:val="TableContents"/>
              <w:bidi w:val="0"/>
              <w:ind w:left="0" w:right="0" w:firstLine="1440"/>
              <w:jc w:val="left"/>
              <w:rPr>
                <w:rFonts w:ascii="Times New Roman" w:hAnsi="Times New Roman"/>
                <w:color w:val="000000"/>
                <w:sz w:val="20"/>
              </w:rPr>
            </w:pPr>
            <w:r>
              <w:rPr>
                <w:rFonts w:ascii="Times New Roman" w:hAnsi="Times New Roman"/>
                <w:color w:val="000000"/>
                <w:sz w:val="20"/>
              </w:rPr>
              <w:t>30 Hudson Yards</w:t>
            </w:r>
          </w:p>
          <w:p>
            <w:pPr>
              <w:pStyle w:val="TableContents"/>
              <w:bidi w:val="0"/>
              <w:ind w:left="0" w:right="0" w:firstLine="1440"/>
              <w:jc w:val="left"/>
              <w:rPr>
                <w:rFonts w:ascii="Times New Roman" w:hAnsi="Times New Roman"/>
                <w:color w:val="000000"/>
                <w:sz w:val="20"/>
              </w:rPr>
            </w:pPr>
            <w:r>
              <w:rPr>
                <w:rFonts w:ascii="Times New Roman" w:hAnsi="Times New Roman"/>
                <w:color w:val="000000"/>
                <w:sz w:val="20"/>
              </w:rPr>
              <w:t>New York, NY 10001-2170</w:t>
            </w:r>
          </w:p>
          <w:p>
            <w:pPr>
              <w:pStyle w:val="TableContents"/>
              <w:bidi w:val="0"/>
              <w:spacing w:before="0" w:after="283"/>
              <w:ind w:left="0" w:right="0" w:firstLine="1440"/>
              <w:jc w:val="left"/>
              <w:rPr>
                <w:rFonts w:ascii="Times New Roman" w:hAnsi="Times New Roman"/>
                <w:color w:val="000000"/>
                <w:sz w:val="20"/>
              </w:rPr>
            </w:pPr>
            <w:r>
              <w:rPr>
                <w:rFonts w:ascii="Times New Roman" w:hAnsi="Times New Roman"/>
                <w:color w:val="000000"/>
                <w:sz w:val="20"/>
              </w:rPr>
              <w:t>T +212 841 1000</w:t>
            </w:r>
          </w:p>
        </w:tc>
      </w:tr>
    </w:tbl>
    <w:p>
      <w:pPr>
        <w:pStyle w:val="TextBody"/>
        <w:bidi w:val="0"/>
        <w:jc w:val="left"/>
        <w:rPr/>
      </w:pPr>
      <w:r>
        <w:rPr/>
        <w:t> </w:t>
      </w:r>
    </w:p>
    <w:p>
      <w:pPr>
        <w:pStyle w:val="TextBody"/>
        <w:bidi w:val="0"/>
        <w:jc w:val="right"/>
        <w:rPr>
          <w:rFonts w:ascii="Times New Roman" w:hAnsi="Times New Roman"/>
          <w:color w:val="000000"/>
          <w:sz w:val="24"/>
        </w:rPr>
      </w:pPr>
      <w:r>
        <w:rPr>
          <w:rFonts w:ascii="Times New Roman" w:hAnsi="Times New Roman"/>
          <w:color w:val="000000"/>
          <w:sz w:val="24"/>
        </w:rPr>
        <w:t>Exhibit 5.1</w:t>
      </w:r>
    </w:p>
    <w:p>
      <w:pPr>
        <w:pStyle w:val="TextBody"/>
        <w:bidi w:val="0"/>
        <w:spacing w:before="240" w:after="283"/>
        <w:jc w:val="right"/>
        <w:rPr>
          <w:rFonts w:ascii="Times New Roman" w:hAnsi="Times New Roman"/>
          <w:color w:val="000000"/>
          <w:sz w:val="24"/>
        </w:rPr>
      </w:pPr>
      <w:r>
        <w:rPr>
          <w:rFonts w:ascii="Times New Roman" w:hAnsi="Times New Roman"/>
          <w:color w:val="000000"/>
          <w:sz w:val="24"/>
        </w:rPr>
        <w:t>May 4, 2026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Odyssey Therapeutics, Inc.</w:t>
      </w:r>
    </w:p>
    <w:p>
      <w:pPr>
        <w:pStyle w:val="TextBody"/>
        <w:bidi w:val="0"/>
        <w:jc w:val="both"/>
        <w:rPr>
          <w:rFonts w:ascii="Times New Roman" w:hAnsi="Times New Roman"/>
          <w:color w:val="000000"/>
          <w:sz w:val="24"/>
        </w:rPr>
      </w:pPr>
      <w:r>
        <w:rPr>
          <w:rFonts w:ascii="Times New Roman" w:hAnsi="Times New Roman"/>
          <w:color w:val="000000"/>
          <w:sz w:val="24"/>
        </w:rPr>
        <w:t>51 Sleeper Street, Suite 800</w:t>
      </w:r>
    </w:p>
    <w:p>
      <w:pPr>
        <w:pStyle w:val="TextBody"/>
        <w:bidi w:val="0"/>
        <w:jc w:val="both"/>
        <w:rPr>
          <w:rFonts w:ascii="Times New Roman" w:hAnsi="Times New Roman"/>
          <w:color w:val="000000"/>
          <w:sz w:val="24"/>
        </w:rPr>
      </w:pPr>
      <w:r>
        <w:rPr>
          <w:rFonts w:ascii="Times New Roman" w:hAnsi="Times New Roman"/>
          <w:color w:val="000000"/>
          <w:sz w:val="24"/>
        </w:rPr>
        <w:t>Boston, Massachusetts 02210</w:t>
      </w:r>
    </w:p>
    <w:p>
      <w:pPr>
        <w:pStyle w:val="TextBody"/>
        <w:bidi w:val="0"/>
        <w:spacing w:before="240" w:after="283"/>
        <w:jc w:val="both"/>
        <w:rPr>
          <w:rFonts w:ascii="Times New Roman" w:hAnsi="Times New Roman"/>
          <w:sz w:val="20"/>
        </w:rPr>
      </w:pPr>
      <w:r>
        <w:rPr>
          <w:rFonts w:ascii="Times New Roman" w:hAnsi="Times New Roman"/>
          <w:color w:val="000000"/>
          <w:sz w:val="24"/>
        </w:rPr>
        <w:t>Ladies &amp; Gentlemen: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0" w:name="ole_link3"/>
      <w:bookmarkEnd w:id="40"/>
      <w:r>
        <w:rPr>
          <w:rFonts w:ascii="Times New Roman" w:hAnsi="Times New Roman"/>
          <w:color w:val="000000"/>
          <w:sz w:val="24"/>
        </w:rPr>
        <w:t>We have acted as counsel to Odyssey Therapeutics, Inc., a Delaware corporation (the “</w:t>
      </w:r>
      <w:r>
        <w:rPr>
          <w:rFonts w:ascii="Times New Roman" w:hAnsi="Times New Roman"/>
          <w:i/>
          <w:color w:val="000000"/>
          <w:sz w:val="24"/>
        </w:rPr>
        <w:t>Company</w:t>
      </w:r>
      <w:r>
        <w:rPr>
          <w:rFonts w:ascii="Times New Roman" w:hAnsi="Times New Roman"/>
          <w:color w:val="000000"/>
          <w:sz w:val="20"/>
        </w:rPr>
        <w:t>”</w:t>
      </w:r>
      <w:r>
        <w:rPr>
          <w:rFonts w:ascii="Times New Roman" w:hAnsi="Times New Roman"/>
          <w:color w:val="000000"/>
          <w:sz w:val="24"/>
        </w:rPr>
        <w:t>), in connection with the registration by the Company under the Securities Act of 1933 (the “</w:t>
      </w:r>
      <w:r>
        <w:rPr>
          <w:rFonts w:ascii="Times New Roman" w:hAnsi="Times New Roman"/>
          <w:i/>
          <w:color w:val="000000"/>
          <w:sz w:val="24"/>
        </w:rPr>
        <w:t>Act</w:t>
      </w:r>
      <w:r>
        <w:rPr>
          <w:rFonts w:ascii="Times New Roman" w:hAnsi="Times New Roman"/>
          <w:color w:val="000000"/>
          <w:sz w:val="20"/>
        </w:rPr>
        <w:t>”</w:t>
      </w:r>
      <w:r>
        <w:rPr>
          <w:rFonts w:ascii="Times New Roman" w:hAnsi="Times New Roman"/>
          <w:color w:val="000000"/>
          <w:sz w:val="24"/>
        </w:rPr>
        <w:t>) of</w:t>
      </w:r>
      <w:r>
        <w:rPr>
          <w:rFonts w:ascii="Times New Roman" w:hAnsi="Times New Roman"/>
          <w:color w:val="000000"/>
          <w:sz w:val="20"/>
        </w:rPr>
        <w:t xml:space="preserve"> </w:t>
      </w:r>
      <w:r>
        <w:rPr>
          <w:rFonts w:ascii="Times New Roman" w:hAnsi="Times New Roman"/>
          <w:color w:val="000000"/>
          <w:sz w:val="24"/>
        </w:rPr>
        <w:t>up to 15,226,000 shares of the Company’s common stock, par value $0.0001 per share (the “</w:t>
      </w:r>
      <w:r>
        <w:rPr>
          <w:rFonts w:ascii="Times New Roman" w:hAnsi="Times New Roman"/>
          <w:i/>
          <w:color w:val="000000"/>
          <w:sz w:val="24"/>
        </w:rPr>
        <w:t>Shares</w:t>
      </w:r>
      <w:r>
        <w:rPr>
          <w:rFonts w:ascii="Times New Roman" w:hAnsi="Times New Roman"/>
          <w:color w:val="000000"/>
          <w:sz w:val="20"/>
        </w:rPr>
        <w:t>”</w:t>
      </w:r>
      <w:r>
        <w:rPr>
          <w:rFonts w:ascii="Times New Roman" w:hAnsi="Times New Roman"/>
          <w:color w:val="000000"/>
          <w:sz w:val="24"/>
        </w:rPr>
        <w:t>), including Shares purchasable by the underwriters upon their exercise of an option granted to the underwriters by the Company, pursuant to the registration statement on Form S-1 (File No. 333-295141) initially filed with the Securities and Exchange Commission on April 17, 2026 (such registration statement, as amended to the date hereof, is herein referred to as the “</w:t>
      </w:r>
      <w:r>
        <w:rPr>
          <w:rFonts w:ascii="Times New Roman" w:hAnsi="Times New Roman"/>
          <w:i/>
          <w:color w:val="000000"/>
          <w:sz w:val="24"/>
        </w:rPr>
        <w:t>Registration Statement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color w:val="000000"/>
          <w:sz w:val="24"/>
        </w:rPr>
        <w:t>We have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have relied as to certain matters on information obtained from public officials, officers of the Company, and other sources believed by us to be responsible.</w:t>
      </w:r>
    </w:p>
    <w:p>
      <w:pPr>
        <w:pStyle w:val="TextBody"/>
        <w:bidi w:val="0"/>
        <w:spacing w:before="240" w:after="283"/>
        <w:jc w:val="left"/>
        <w:rPr>
          <w:rFonts w:ascii="Times New Roman" w:hAnsi="Times New Roman"/>
          <w:sz w:val="20"/>
        </w:rPr>
      </w:pPr>
      <w:r>
        <w:rPr>
          <w:rFonts w:ascii="Times New Roman" w:hAnsi="Times New Roman"/>
          <w:color w:val="000000"/>
          <w:sz w:val="24"/>
        </w:rPr>
        <w:t>Based upon the foregoing, we are of the opinion that the Shares have been duly authorized and, when the Registration Statement has become effective under the Act, the Shares, when duly issued and sold as contemplated in the Registration Statement, will be validly issued, fully paid and non-assessable.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We are members of the bar of New York. We do not express any opinion herein on any laws other than the Delaware General Corporation Law.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1" w:name="hit5"/>
      <w:bookmarkEnd w:id="41"/>
      <w:r>
        <w:rPr>
          <w:rFonts w:ascii="Times New Roman" w:hAnsi="Times New Roman"/>
          <w:color w:val="000000"/>
          <w:sz w:val="24"/>
        </w:rPr>
        <w:t>We hereby consent to the filing of this opinion as Exhibit 5.1 to the Registration Statement. We also hereby consent to the reference to our firm under the heading “Legal Matters”</w:t>
      </w:r>
      <w:r>
        <w:rPr>
          <w:rFonts w:ascii="Times New Roman" w:hAnsi="Times New Roman"/>
          <w:color w:val="000033"/>
          <w:sz w:val="20"/>
        </w:rPr>
        <w:t xml:space="preserve"> </w:t>
      </w:r>
      <w:r>
        <w:rPr>
          <w:rFonts w:ascii="Times New Roman" w:hAnsi="Times New Roman"/>
          <w:color w:val="000000"/>
          <w:sz w:val="24"/>
        </w:rPr>
        <w:t>in the prospectus constituting part of the Registration Statement</w:t>
      </w:r>
      <w:r>
        <w:rPr>
          <w:rFonts w:ascii="Times New Roman" w:hAnsi="Times New Roman"/>
          <w:color w:val="000033"/>
          <w:sz w:val="24"/>
        </w:rPr>
        <w:t xml:space="preserve">. </w:t>
      </w:r>
      <w:r>
        <w:rPr>
          <w:rFonts w:ascii="Times New Roman" w:hAnsi="Times New Roman"/>
          <w:color w:val="000000"/>
          <w:sz w:val="24"/>
        </w:rPr>
        <w:t>In giving such consent, we do not</w:t>
      </w:r>
      <w:r>
        <w:rPr>
          <w:rFonts w:ascii="Times New Roman" w:hAnsi="Times New Roman"/>
          <w:color w:val="000000"/>
          <w:sz w:val="20"/>
        </w:rPr>
        <w:t xml:space="preserve"> </w:t>
      </w:r>
      <w:r>
        <w:rPr>
          <w:rFonts w:ascii="Times New Roman" w:hAnsi="Times New Roman"/>
          <w:color w:val="000000"/>
          <w:sz w:val="24"/>
        </w:rPr>
        <w:t>thereby admit that we are in the category of persons whose consent is required</w:t>
      </w:r>
      <w:r>
        <w:rPr>
          <w:rFonts w:ascii="Times New Roman" w:hAnsi="Times New Roman"/>
          <w:color w:val="000000"/>
          <w:sz w:val="20"/>
        </w:rPr>
        <w:t xml:space="preserve"> </w:t>
      </w:r>
      <w:r>
        <w:rPr>
          <w:rFonts w:ascii="Times New Roman" w:hAnsi="Times New Roman"/>
          <w:color w:val="000000"/>
          <w:sz w:val="24"/>
        </w:rPr>
        <w:t>under Section 7 of the Act.</w:t>
      </w:r>
      <w:r>
        <w:rPr>
          <w:rFonts w:ascii="Times New Roman" w:hAnsi="Times New Roman"/>
          <w:color w:val="000000"/>
          <w:sz w:val="20"/>
        </w:rPr>
        <w:t xml:space="preserve"> </w:t>
      </w:r>
    </w:p>
    <w:p>
      <w:pPr>
        <w:pStyle w:val="TextBody"/>
        <w:bidi w:val="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Very truly yours,</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Covington &amp; Burling LLP</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2" w:name="odtx-ex10_2.htm"/>
      <w:bookmarkStart w:id="43" w:name="ksodtxex10_2"/>
      <w:bookmarkEnd w:id="42"/>
      <w:bookmarkEnd w:id="43"/>
      <w:r>
        <w:rPr>
          <w:rFonts w:ascii="Times New Roman" w:hAnsi="Times New Roman"/>
          <w:b/>
          <w:color w:val="000000"/>
          <w:sz w:val="24"/>
        </w:rPr>
        <w:t>Exhibit 10.2</w:t>
      </w:r>
      <w:r>
        <w:br w:type="page"/>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ODYSSEY THERAPEUTICS, INC.</w:t>
      </w:r>
    </w:p>
    <w:p>
      <w:pPr>
        <w:pStyle w:val="TextBody"/>
        <w:bidi w:val="0"/>
        <w:jc w:val="center"/>
        <w:rPr>
          <w:rFonts w:ascii="Times New Roman" w:hAnsi="Times New Roman"/>
          <w:sz w:val="20"/>
        </w:rPr>
      </w:pPr>
      <w:r>
        <w:rPr>
          <w:rFonts w:ascii="Times New Roman" w:hAnsi="Times New Roman"/>
          <w:b/>
          <w:color w:val="000000"/>
          <w:sz w:val="24"/>
        </w:rPr>
        <w:t>2026 LONG-TERM INCENTIVE PLAN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pPr>
      <w:r>
        <w:rPr/>
        <w:t> </w:t>
      </w:r>
    </w:p>
    <w:tbl>
      <w:tblPr>
        <w:tblW w:w="8058" w:type="dxa"/>
        <w:jc w:val="left"/>
        <w:tblInd w:w="0" w:type="dxa"/>
        <w:tblLayout w:type="fixed"/>
        <w:tblCellMar>
          <w:top w:w="28" w:type="dxa"/>
          <w:left w:w="28" w:type="dxa"/>
          <w:bottom w:w="28" w:type="dxa"/>
          <w:right w:w="28" w:type="dxa"/>
        </w:tblCellMar>
      </w:tblPr>
      <w:tblGrid>
        <w:gridCol w:w="421"/>
        <w:gridCol w:w="7246"/>
        <w:gridCol w:w="391"/>
      </w:tblGrid>
      <w:tr>
        <w:trPr/>
        <w:tc>
          <w:tcPr>
            <w:tcW w:w="421" w:type="dxa"/>
            <w:tcBorders/>
            <w:vAlign w:val="center"/>
          </w:tcPr>
          <w:p>
            <w:pPr>
              <w:pStyle w:val="TableContents"/>
              <w:bidi w:val="0"/>
              <w:spacing w:before="0" w:after="283"/>
              <w:jc w:val="left"/>
              <w:rPr>
                <w:sz w:val="4"/>
                <w:szCs w:val="4"/>
              </w:rPr>
            </w:pPr>
            <w:r>
              <w:rPr>
                <w:sz w:val="4"/>
                <w:szCs w:val="4"/>
              </w:rPr>
            </w:r>
          </w:p>
        </w:tc>
        <w:tc>
          <w:tcPr>
            <w:tcW w:w="72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1.</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Purposes of the Plan</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1</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2.</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Definitions</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1</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3.</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Stock Subject to the Plan</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5</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4.</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Administration of the Plan</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6</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5.</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Eligibility for Awards</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10</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6.</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Types and Terms of Awards</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10</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7.</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Options and SARs</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12</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8.</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Restricted Stock, Restricted Stock Units, and Unrestricted Stock</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15</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9.</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Performance Awards</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16</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10.</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Other Awards</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16</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11.</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General Provisions Applicable to Awards</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17</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12.</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Conditions Upon Issuance of Shares</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18</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13.</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Adjustments</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18</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14.</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Corporate Transactions</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19</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15.</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Dissolution or Liquidation</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21</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16.</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Effective Date and Term of Plan; Stockholder Approval</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21</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17.</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Amendment, Suspension, or Termination of the Plan</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21</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18.</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No Employment or Services Rights; Other Compensation and Benefits</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22</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19.</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Section 409A</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22</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20.</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Unfunded Status of Plan</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23</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21.</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Electronic Signatures</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23</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22.</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Clawback</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23</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23.</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Construction</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23</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24.</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Severability</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24</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25.</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Governing Law</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24</w:t>
            </w:r>
          </w:p>
        </w:tc>
      </w:tr>
      <w:tr>
        <w:trPr/>
        <w:tc>
          <w:tcPr>
            <w:tcW w:w="421"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26.</w:t>
            </w:r>
          </w:p>
        </w:tc>
        <w:tc>
          <w:tcPr>
            <w:tcW w:w="7246" w:type="dxa"/>
            <w:tcBorders/>
            <w:shd w:fill="FFFFFF" w:val="clear"/>
            <w:tcMar>
              <w:top w:w="0" w:type="dxa"/>
              <w:left w:w="0" w:type="dxa"/>
              <w:bottom w:w="0" w:type="dxa"/>
              <w:right w:w="0" w:type="dxa"/>
            </w:tcMar>
            <w:vAlign w:val="center"/>
          </w:tcPr>
          <w:p>
            <w:pPr>
              <w:pStyle w:val="TableContents"/>
              <w:bidi w:val="0"/>
              <w:spacing w:before="80" w:after="80"/>
              <w:jc w:val="left"/>
              <w:rPr>
                <w:rFonts w:ascii="Times New Roman" w:hAnsi="Times New Roman"/>
                <w:b/>
                <w:color w:val="000000"/>
                <w:sz w:val="24"/>
              </w:rPr>
            </w:pPr>
            <w:r>
              <w:rPr>
                <w:rFonts w:ascii="Times New Roman" w:hAnsi="Times New Roman"/>
                <w:b/>
                <w:color w:val="000000"/>
                <w:sz w:val="24"/>
              </w:rPr>
              <w:t>Beneficiaries</w:t>
            </w:r>
          </w:p>
        </w:tc>
        <w:tc>
          <w:tcPr>
            <w:tcW w:w="391" w:type="dxa"/>
            <w:tcBorders/>
            <w:shd w:fill="FFFFFF" w:val="clear"/>
            <w:tcMar>
              <w:top w:w="0" w:type="dxa"/>
              <w:left w:w="0" w:type="dxa"/>
              <w:bottom w:w="0" w:type="dxa"/>
              <w:right w:w="0" w:type="dxa"/>
            </w:tcMar>
            <w:vAlign w:val="center"/>
          </w:tcPr>
          <w:p>
            <w:pPr>
              <w:pStyle w:val="TableContents"/>
              <w:bidi w:val="0"/>
              <w:spacing w:before="80" w:after="80"/>
              <w:jc w:val="right"/>
              <w:rPr>
                <w:rFonts w:ascii="Times New Roman" w:hAnsi="Times New Roman"/>
                <w:b/>
                <w:color w:val="000000"/>
                <w:sz w:val="24"/>
              </w:rPr>
            </w:pPr>
            <w:r>
              <w:rPr>
                <w:rFonts w:ascii="Times New Roman" w:hAnsi="Times New Roman"/>
                <w:b/>
                <w:color w:val="000000"/>
                <w:sz w:val="24"/>
              </w:rPr>
              <w:t>24</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Purposes of the Plan</w:t>
      </w:r>
    </w:p>
    <w:p>
      <w:pPr>
        <w:pStyle w:val="TextBody"/>
        <w:bidi w:val="0"/>
        <w:spacing w:before="0" w:after="240"/>
        <w:jc w:val="both"/>
        <w:rPr>
          <w:rFonts w:ascii="Times New Roman" w:hAnsi="Times New Roman"/>
          <w:sz w:val="20"/>
        </w:rPr>
      </w:pPr>
      <w:r>
        <w:rPr>
          <w:rFonts w:ascii="Times New Roman" w:hAnsi="Times New Roman"/>
          <w:color w:val="000000"/>
          <w:sz w:val="24"/>
        </w:rPr>
        <w:t>The purposes of this Plan (as defined below) are to attract and retain the best available personnel; to incentivize service providers; to promote the success of the business of Odyssey Therapeutics,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of its Subsidiaries (as defined below); and to strengthen the mutuality of interest between eligible service providers and stockholders of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Definitions</w:t>
      </w:r>
    </w:p>
    <w:p>
      <w:pPr>
        <w:pStyle w:val="TextBody"/>
        <w:bidi w:val="0"/>
        <w:spacing w:before="0" w:after="240"/>
        <w:jc w:val="both"/>
        <w:rPr>
          <w:rFonts w:ascii="Times New Roman" w:hAnsi="Times New Roman"/>
          <w:sz w:val="20"/>
        </w:rPr>
      </w:pPr>
      <w:r>
        <w:rPr>
          <w:rFonts w:ascii="Times New Roman" w:hAnsi="Times New Roman"/>
          <w:color w:val="000000"/>
          <w:sz w:val="24"/>
        </w:rPr>
        <w:t>For purposes of the Plan, capitalized terms have the meaning provided below, or, if not provided below, as defined elsewhere in the Plan or an Award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Administrator</w:t>
      </w:r>
      <w:r>
        <w:rPr>
          <w:rFonts w:ascii="Times New Roman" w:hAnsi="Times New Roman"/>
          <w:color w:val="000000"/>
          <w:sz w:val="20"/>
        </w:rPr>
        <w:t xml:space="preserve">” </w:t>
      </w:r>
      <w:r>
        <w:rPr>
          <w:rFonts w:ascii="Times New Roman" w:hAnsi="Times New Roman"/>
          <w:color w:val="000000"/>
          <w:sz w:val="24"/>
        </w:rPr>
        <w:t>shall have the meaning set forth in Section 4(d) (Appointment of Committees).</w:t>
      </w:r>
    </w:p>
    <w:p>
      <w:pPr>
        <w:pStyle w:val="TextBody"/>
        <w:bidi w:val="0"/>
        <w:spacing w:before="0" w:after="240"/>
        <w:jc w:val="both"/>
        <w:rPr/>
      </w:pPr>
      <w:r>
        <w:rPr>
          <w:color w:val="000000"/>
        </w:rPr>
        <w:t>“</w:t>
      </w:r>
      <w:r>
        <w:rPr>
          <w:rFonts w:ascii="Times New Roman" w:hAnsi="Times New Roman"/>
          <w:color w:val="000000"/>
          <w:sz w:val="24"/>
          <w:u w:val="single"/>
        </w:rPr>
        <w:t>Award</w:t>
      </w:r>
      <w:r>
        <w:rPr>
          <w:rFonts w:ascii="Times New Roman" w:hAnsi="Times New Roman"/>
          <w:color w:val="000000"/>
          <w:sz w:val="20"/>
        </w:rPr>
        <w:t xml:space="preserve">” </w:t>
      </w:r>
      <w:r>
        <w:rPr>
          <w:rFonts w:ascii="Times New Roman" w:hAnsi="Times New Roman"/>
          <w:color w:val="000000"/>
          <w:sz w:val="24"/>
        </w:rPr>
        <w:t>means an award described in Section 6 (Types and Terms of Awards).</w:t>
      </w:r>
    </w:p>
    <w:p>
      <w:pPr>
        <w:pStyle w:val="TextBody"/>
        <w:bidi w:val="0"/>
        <w:spacing w:before="0" w:after="240"/>
        <w:jc w:val="both"/>
        <w:rPr/>
      </w:pPr>
      <w:r>
        <w:rPr>
          <w:color w:val="000000"/>
        </w:rPr>
        <w:t>“</w:t>
      </w:r>
      <w:r>
        <w:rPr>
          <w:rFonts w:ascii="Times New Roman" w:hAnsi="Times New Roman"/>
          <w:color w:val="000000"/>
          <w:sz w:val="24"/>
          <w:u w:val="single"/>
        </w:rPr>
        <w:t>Award Agreement</w:t>
      </w:r>
      <w:r>
        <w:rPr>
          <w:rFonts w:ascii="Times New Roman" w:hAnsi="Times New Roman"/>
          <w:color w:val="000000"/>
          <w:sz w:val="20"/>
        </w:rPr>
        <w:t xml:space="preserve">” </w:t>
      </w:r>
      <w:r>
        <w:rPr>
          <w:rFonts w:ascii="Times New Roman" w:hAnsi="Times New Roman"/>
          <w:color w:val="000000"/>
          <w:sz w:val="24"/>
        </w:rPr>
        <w:t>means the written or electronic agreement evidencing the grant of an Award, including any amendments and attachments thereto.</w:t>
      </w:r>
    </w:p>
    <w:p>
      <w:pPr>
        <w:pStyle w:val="TextBody"/>
        <w:bidi w:val="0"/>
        <w:spacing w:before="0" w:after="240"/>
        <w:jc w:val="both"/>
        <w:rPr/>
      </w:pPr>
      <w:r>
        <w:rPr>
          <w:color w:val="000000"/>
        </w:rPr>
        <w:t>“</w:t>
      </w:r>
      <w:r>
        <w:rPr>
          <w:rFonts w:ascii="Times New Roman" w:hAnsi="Times New Roman"/>
          <w:color w:val="000000"/>
          <w:sz w:val="24"/>
          <w:u w:val="single"/>
        </w:rPr>
        <w:t>Board</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0" w:after="240"/>
        <w:jc w:val="both"/>
        <w:rPr/>
      </w:pPr>
      <w:r>
        <w:rPr>
          <w:color w:val="000000"/>
        </w:rPr>
        <w:t>“</w:t>
      </w:r>
      <w:r>
        <w:rPr>
          <w:rFonts w:ascii="Times New Roman" w:hAnsi="Times New Roman"/>
          <w:color w:val="000000"/>
          <w:sz w:val="24"/>
          <w:u w:val="single"/>
        </w:rPr>
        <w:t>Cause</w:t>
      </w:r>
      <w:r>
        <w:rPr>
          <w:rFonts w:ascii="Times New Roman" w:hAnsi="Times New Roman"/>
          <w:color w:val="000000"/>
          <w:sz w:val="20"/>
        </w:rPr>
        <w:t xml:space="preserve">” </w:t>
      </w:r>
      <w:r>
        <w:rPr>
          <w:rFonts w:ascii="Times New Roman" w:hAnsi="Times New Roman"/>
          <w:color w:val="000000"/>
          <w:sz w:val="24"/>
        </w:rPr>
        <w:t>means, with respect to the termination of Continuous Service, the term “Cause” (or similar term) that is expressly defined in a Grantee’s service agreement with the Company or a Subsidiary or Parent or, in the absence of such definition, in the applicable Award Agreement. In the absence of such a definition in a service agreement or an Award Agreement, “</w:t>
      </w:r>
      <w:r>
        <w:rPr>
          <w:rFonts w:ascii="Times New Roman" w:hAnsi="Times New Roman"/>
          <w:color w:val="000000"/>
          <w:sz w:val="24"/>
          <w:u w:val="single"/>
        </w:rPr>
        <w:t>Cause</w:t>
      </w:r>
      <w:r>
        <w:rPr>
          <w:rFonts w:ascii="Times New Roman" w:hAnsi="Times New Roman"/>
          <w:color w:val="000000"/>
          <w:sz w:val="20"/>
        </w:rPr>
        <w:t xml:space="preserve">” </w:t>
      </w:r>
      <w:r>
        <w:rPr>
          <w:rFonts w:ascii="Times New Roman" w:hAnsi="Times New Roman"/>
          <w:color w:val="000000"/>
          <w:sz w:val="24"/>
        </w:rPr>
        <w:t>shall mean the Grantee’s: (i) material breach of any agreement with the Company or any Subsidiary or Parent; (ii) conviction of, indictment for, or plea of nolo contendere to a felony or other crime involving moral turpitude; or (iii) material misconduct or willful and deliberate non-performance (other than by reason of disability) of the Grantee’s duties to the Company or any Subsidiary or Parent.</w:t>
      </w:r>
    </w:p>
    <w:p>
      <w:pPr>
        <w:pStyle w:val="TextBody"/>
        <w:bidi w:val="0"/>
        <w:spacing w:before="0" w:after="240"/>
        <w:jc w:val="both"/>
        <w:rPr/>
      </w:pPr>
      <w:r>
        <w:rPr>
          <w:color w:val="000000"/>
        </w:rPr>
        <w:t>“</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w:t>
      </w:r>
    </w:p>
    <w:p>
      <w:pPr>
        <w:pStyle w:val="TextBody"/>
        <w:bidi w:val="0"/>
        <w:spacing w:before="0" w:after="240"/>
        <w:jc w:val="both"/>
        <w:rPr/>
      </w:pPr>
      <w:r>
        <w:rPr>
          <w:color w:val="000000"/>
        </w:rPr>
        <w:t>“</w:t>
      </w:r>
      <w:r>
        <w:rPr>
          <w:rFonts w:ascii="Times New Roman" w:hAnsi="Times New Roman"/>
          <w:color w:val="000000"/>
          <w:sz w:val="24"/>
          <w:u w:val="single"/>
        </w:rPr>
        <w:t>Committee</w:t>
      </w:r>
      <w:r>
        <w:rPr>
          <w:rFonts w:ascii="Times New Roman" w:hAnsi="Times New Roman"/>
          <w:color w:val="000000"/>
          <w:sz w:val="20"/>
        </w:rPr>
        <w:t xml:space="preserve">” </w:t>
      </w:r>
      <w:r>
        <w:rPr>
          <w:rFonts w:ascii="Times New Roman" w:hAnsi="Times New Roman"/>
          <w:color w:val="000000"/>
          <w:sz w:val="24"/>
        </w:rPr>
        <w:t>means any committee of the Board that is composed of at least two non-employee directors of the Board.</w:t>
      </w:r>
    </w:p>
    <w:p>
      <w:pPr>
        <w:pStyle w:val="TextBody"/>
        <w:bidi w:val="0"/>
        <w:spacing w:before="0" w:after="240"/>
        <w:jc w:val="both"/>
        <w:rPr/>
      </w:pPr>
      <w:r>
        <w:rPr>
          <w:color w:val="000000"/>
        </w:rPr>
        <w:t>“</w:t>
      </w:r>
      <w:r>
        <w:rPr>
          <w:rFonts w:ascii="Times New Roman" w:hAnsi="Times New Roman"/>
          <w:color w:val="000000"/>
          <w:sz w:val="24"/>
          <w:u w:val="single"/>
        </w:rPr>
        <w:t>Common Stock</w:t>
      </w:r>
      <w:r>
        <w:rPr>
          <w:rFonts w:ascii="Times New Roman" w:hAnsi="Times New Roman"/>
          <w:color w:val="000000"/>
          <w:sz w:val="20"/>
        </w:rPr>
        <w:t xml:space="preserve">” </w:t>
      </w:r>
      <w:r>
        <w:rPr>
          <w:rFonts w:ascii="Times New Roman" w:hAnsi="Times New Roman"/>
          <w:color w:val="000000"/>
          <w:sz w:val="24"/>
        </w:rPr>
        <w:t>means the common stock of the Company.</w:t>
      </w:r>
    </w:p>
    <w:p>
      <w:pPr>
        <w:pStyle w:val="TextBody"/>
        <w:bidi w:val="0"/>
        <w:spacing w:before="0" w:after="240"/>
        <w:jc w:val="both"/>
        <w:rPr/>
      </w:pPr>
      <w:r>
        <w:rPr>
          <w:color w:val="000000"/>
        </w:rPr>
        <w:t>“</w:t>
      </w:r>
      <w:r>
        <w:rPr>
          <w:rFonts w:ascii="Times New Roman" w:hAnsi="Times New Roman"/>
          <w:color w:val="000000"/>
          <w:sz w:val="24"/>
          <w:u w:val="single"/>
        </w:rPr>
        <w:t>Company</w:t>
      </w:r>
      <w:r>
        <w:rPr>
          <w:rFonts w:ascii="Times New Roman" w:hAnsi="Times New Roman"/>
          <w:color w:val="000000"/>
          <w:sz w:val="20"/>
        </w:rPr>
        <w:t xml:space="preserve">” </w:t>
      </w:r>
      <w:r>
        <w:rPr>
          <w:rFonts w:ascii="Times New Roman" w:hAnsi="Times New Roman"/>
          <w:color w:val="000000"/>
          <w:sz w:val="24"/>
        </w:rPr>
        <w:t>means Odyssey Therapeutics, Inc., a Delaware corporation, or any successor entity.</w:t>
      </w:r>
    </w:p>
    <w:p>
      <w:pPr>
        <w:pStyle w:val="TextBody"/>
        <w:bidi w:val="0"/>
        <w:spacing w:before="0" w:after="240"/>
        <w:jc w:val="both"/>
        <w:rPr/>
      </w:pPr>
      <w:r>
        <w:rPr>
          <w:color w:val="000000"/>
        </w:rPr>
        <w:t>“</w:t>
      </w:r>
      <w:r>
        <w:rPr>
          <w:rFonts w:ascii="Times New Roman" w:hAnsi="Times New Roman"/>
          <w:color w:val="000000"/>
          <w:sz w:val="24"/>
          <w:u w:val="single"/>
        </w:rPr>
        <w:t>Consultant</w:t>
      </w:r>
      <w:r>
        <w:rPr>
          <w:rFonts w:ascii="Times New Roman" w:hAnsi="Times New Roman"/>
          <w:color w:val="000000"/>
          <w:sz w:val="20"/>
        </w:rPr>
        <w:t xml:space="preserve">” </w:t>
      </w:r>
      <w:r>
        <w:rPr>
          <w:rFonts w:ascii="Times New Roman" w:hAnsi="Times New Roman"/>
          <w:color w:val="000000"/>
          <w:sz w:val="24"/>
        </w:rPr>
        <w:t xml:space="preserve">means any person other than an Employee or a Director (solely with respect to rendering services in such person’s capacity as a Director) who is engaged by the Company or any Subsidiary or Parent to render consulting or advisory services to the Company or such Subsidiary or Parent; </w:t>
      </w:r>
      <w:r>
        <w:rPr>
          <w:rFonts w:ascii="Times New Roman" w:hAnsi="Times New Roman"/>
          <w:i/>
          <w:color w:val="000000"/>
          <w:sz w:val="24"/>
        </w:rPr>
        <w:t>provided</w:t>
      </w:r>
      <w:r>
        <w:rPr>
          <w:rFonts w:ascii="Times New Roman" w:hAnsi="Times New Roman"/>
          <w:color w:val="000000"/>
          <w:sz w:val="24"/>
        </w:rPr>
        <w:t>, that such services are not in connection with the offer or sale of securities in a capital-raising transaction and do not directly or indirectly promote or maintain a market for the Company’s securities. Notwithstanding the foregoing, a person shall be treated as a Consultant under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Plan only if a Form S-8 Registration Statement under the Securities Act is available to register either the offer or the sale of the Company’s securities to such person.</w:t>
      </w:r>
    </w:p>
    <w:p>
      <w:pPr>
        <w:pStyle w:val="TextBody"/>
        <w:bidi w:val="0"/>
        <w:spacing w:before="0" w:after="240"/>
        <w:jc w:val="both"/>
        <w:rPr/>
      </w:pPr>
      <w:r>
        <w:rPr>
          <w:color w:val="000000"/>
        </w:rPr>
        <w:t>“</w:t>
      </w:r>
      <w:r>
        <w:rPr>
          <w:rFonts w:ascii="Times New Roman" w:hAnsi="Times New Roman"/>
          <w:color w:val="000000"/>
          <w:sz w:val="24"/>
          <w:u w:val="single"/>
        </w:rPr>
        <w:t>Continuous Service</w:t>
      </w:r>
      <w:r>
        <w:rPr>
          <w:rFonts w:ascii="Times New Roman" w:hAnsi="Times New Roman"/>
          <w:color w:val="000000"/>
          <w:sz w:val="20"/>
        </w:rPr>
        <w:t xml:space="preserve">” </w:t>
      </w:r>
      <w:r>
        <w:rPr>
          <w:rFonts w:ascii="Times New Roman" w:hAnsi="Times New Roman"/>
          <w:color w:val="000000"/>
          <w:sz w:val="24"/>
        </w:rPr>
        <w:t>means, except as otherwise provided in a Grantee’s service agreement with the Company or a Subsidiary or Parent, the uninterrupted provision of services to the Company or a Parent or Subsidiary in any capacity of Employee, Director, Consultant, or other service provider. Continuous Service shall not be considered to be interrupted in the case of (i) for an Employee, any approved leave of absence; (ii) for an Employee, Director, Consultant or any other service provider, transfers among the Company, any Parent or Subsidiary, or any successor entities; or (iii) except as otherwise provided in the Award Agreement or determined by the Administrator at the time of such change in status, any change in status as long as the individual remains in the service of the Company or a Parent or Subsidiary in any capacity of Employee, Director, Consultant, or other service provider. An approved leave of absence shall include sick leave, military leave, or any other authorized personal leave. If the Grantee does not return from an approved leave of absence, Continuous Service shall terminate as of the end of the approved leave of absence. Notwithstanding the foregoing, unless otherwise provided by the Administrator or required by law, a leave of absence that exceeds three (3) months shall not be treated as Continuous Service, unless the Grantee’s right to re-employment is guaranteed by statute or by contract upon expiration of such leave.</w:t>
      </w:r>
    </w:p>
    <w:p>
      <w:pPr>
        <w:pStyle w:val="TextBody"/>
        <w:bidi w:val="0"/>
        <w:spacing w:before="0" w:after="240"/>
        <w:jc w:val="both"/>
        <w:rPr/>
      </w:pPr>
      <w:r>
        <w:rPr>
          <w:color w:val="000000"/>
        </w:rPr>
        <w:t>“</w:t>
      </w:r>
      <w:r>
        <w:rPr>
          <w:rFonts w:ascii="Times New Roman" w:hAnsi="Times New Roman"/>
          <w:color w:val="000000"/>
          <w:sz w:val="24"/>
          <w:u w:val="single"/>
        </w:rPr>
        <w:t>Corporate Transaction</w:t>
      </w:r>
      <w:r>
        <w:rPr>
          <w:rFonts w:ascii="Times New Roman" w:hAnsi="Times New Roman"/>
          <w:color w:val="000000"/>
          <w:sz w:val="20"/>
        </w:rPr>
        <w:t xml:space="preserve">” </w:t>
      </w:r>
      <w:r>
        <w:rPr>
          <w:rFonts w:ascii="Times New Roman" w:hAnsi="Times New Roman"/>
          <w:color w:val="000000"/>
          <w:sz w:val="24"/>
        </w:rPr>
        <w:t>means any of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 transaction or series of related transactions in which any person (within the meaning of section 13(d)(3) or 14(d)(2) of the Exchange Act), other than any person who prior to such transaction or series of related transactions owns more than a majority of the Company’s Common Stock, becomes the beneficial owner (within the meaning of Rule 13d-3 promulgated under the Exchange Act) of more than 50% of the combined voting power of the then outstanding voting securities of the Company; unless the stockholders of the Company immediately before such transaction or series of related transactions own, directly or indirectly, a majority of the combined voting power of the outstanding voting securities of the corporation or other entity resulting from such transaction or series of related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 consolidation or merger of the Company with or into another entity or a similar transaction involving the Company, unless the stockholders of the Company immediately before such consolidation, merger, or other transaction own, directly or indirectly, a majority of the combined voting power of the outstanding voting securities of the corporation or other entity resulting from such consolidation or merger;</w:t>
      </w:r>
    </w:p>
    <w:p>
      <w:pPr>
        <w:pStyle w:val="TextBody"/>
        <w:bidi w:val="0"/>
        <w:spacing w:before="0" w:after="240"/>
        <w:jc w:val="both"/>
        <w:rPr>
          <w:rFonts w:ascii="Times New Roman" w:hAnsi="Times New Roman"/>
          <w:sz w:val="20"/>
        </w:rPr>
      </w:pPr>
      <w:r>
        <w:rPr>
          <w:rFonts w:ascii="Times New Roman" w:hAnsi="Times New Roman"/>
          <w:color w:val="000000"/>
          <w:sz w:val="24"/>
        </w:rPr>
        <w:t>(iii) individuals who are members of the Board on the date the Plan is approved by the Board (the “</w:t>
      </w:r>
      <w:r>
        <w:rPr>
          <w:rFonts w:ascii="Times New Roman" w:hAnsi="Times New Roman"/>
          <w:color w:val="000000"/>
          <w:sz w:val="24"/>
          <w:u w:val="single"/>
        </w:rPr>
        <w:t>Incumbent Board</w:t>
      </w:r>
      <w:r>
        <w:rPr>
          <w:rFonts w:ascii="Times New Roman" w:hAnsi="Times New Roman"/>
          <w:color w:val="000000"/>
          <w:sz w:val="20"/>
        </w:rPr>
        <w:t>”</w:t>
      </w:r>
      <w:r>
        <w:rPr>
          <w:rFonts w:ascii="Times New Roman" w:hAnsi="Times New Roman"/>
          <w:color w:val="000000"/>
          <w:sz w:val="24"/>
        </w:rPr>
        <w:t xml:space="preserve">) ceasing for any reason to constitute at least a majority of the members of the Board;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the appointment or election (or nomination for election) of any new Board member was approved or recommended by a majority vote of the members of the Incumbent Board then still in office, such new member shall, for purposes of the Plan, be considered as a member of the Incumbent Board;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the sale, lease, exclusive license, or other disposition of all or substantially all, as determined by the Board, of the consolidated assets of the Company, other than to an entity of which the stockholders of the Company immediately before such sale, lease, exclusive license, or other disposition own, directly or indirectly, a majority of the combined voting power of the outstanding voting securities in substantially the same proportions as their ownership of the outstanding voting securities of the Company immediately prior to such sale, lease, license, or other disposition;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the liquidation, dissolution, or winding up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a transaction will not constitute a Corporate Transaction if its sole purpose is to (x) change the jurisdiction of the Company’s incorporation, or (y) create a holding company that will be owned in substantially the same proportions by the persons who held the Company’s securities immediately before such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to the extent necessary to avoid adverse tax consequences under section 409A of the Code, a transaction will not be deemed a Corporate Transaction unless the transaction qualifies as a change in control event within the meaning of section 409A of the Code.</w:t>
      </w:r>
    </w:p>
    <w:p>
      <w:pPr>
        <w:pStyle w:val="TextBody"/>
        <w:bidi w:val="0"/>
        <w:spacing w:before="0" w:after="240"/>
        <w:jc w:val="both"/>
        <w:rPr/>
      </w:pPr>
      <w:r>
        <w:rPr>
          <w:color w:val="000000"/>
        </w:rPr>
        <w:t>“</w:t>
      </w:r>
      <w:r>
        <w:rPr>
          <w:rFonts w:ascii="Times New Roman" w:hAnsi="Times New Roman"/>
          <w:color w:val="000000"/>
          <w:sz w:val="24"/>
          <w:u w:val="single"/>
        </w:rPr>
        <w:t>Director</w:t>
      </w:r>
      <w:r>
        <w:rPr>
          <w:rFonts w:ascii="Times New Roman" w:hAnsi="Times New Roman"/>
          <w:color w:val="000000"/>
          <w:sz w:val="20"/>
        </w:rPr>
        <w:t xml:space="preserve">” </w:t>
      </w:r>
      <w:r>
        <w:rPr>
          <w:rFonts w:ascii="Times New Roman" w:hAnsi="Times New Roman"/>
          <w:color w:val="000000"/>
          <w:sz w:val="24"/>
        </w:rPr>
        <w:t>means a member of the Board or the board of directors of any Subsidiary.</w:t>
      </w:r>
    </w:p>
    <w:p>
      <w:pPr>
        <w:pStyle w:val="TextBody"/>
        <w:bidi w:val="0"/>
        <w:spacing w:before="0" w:after="240"/>
        <w:jc w:val="both"/>
        <w:rPr/>
      </w:pPr>
      <w:r>
        <w:rPr>
          <w:color w:val="000000"/>
        </w:rPr>
        <w:t>“</w:t>
      </w:r>
      <w:r>
        <w:rPr>
          <w:rFonts w:ascii="Times New Roman" w:hAnsi="Times New Roman"/>
          <w:color w:val="000000"/>
          <w:sz w:val="24"/>
          <w:u w:val="single"/>
        </w:rPr>
        <w:t>Disability</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Disabled</w:t>
      </w:r>
      <w:r>
        <w:rPr>
          <w:rFonts w:ascii="Times New Roman" w:hAnsi="Times New Roman"/>
          <w:color w:val="000000"/>
          <w:sz w:val="20"/>
        </w:rPr>
        <w:t xml:space="preserve">” </w:t>
      </w:r>
      <w:r>
        <w:rPr>
          <w:rFonts w:ascii="Times New Roman" w:hAnsi="Times New Roman"/>
          <w:color w:val="000000"/>
          <w:sz w:val="24"/>
        </w:rPr>
        <w:t>means, with respect to a Grantee, the inability of such Grantee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Administrator on the basis of such medical evidence as the Administrator deems warranted under the circumstances.</w:t>
      </w:r>
    </w:p>
    <w:p>
      <w:pPr>
        <w:pStyle w:val="TextBody"/>
        <w:bidi w:val="0"/>
        <w:spacing w:before="0" w:after="240"/>
        <w:jc w:val="both"/>
        <w:rPr/>
      </w:pPr>
      <w:r>
        <w:rPr>
          <w:color w:val="000000"/>
        </w:rPr>
        <w:t>“</w:t>
      </w:r>
      <w:r>
        <w:rPr>
          <w:rFonts w:ascii="Times New Roman" w:hAnsi="Times New Roman"/>
          <w:color w:val="000000"/>
          <w:sz w:val="24"/>
          <w:u w:val="single"/>
        </w:rPr>
        <w:t>Employee</w:t>
      </w:r>
      <w:r>
        <w:rPr>
          <w:rFonts w:ascii="Times New Roman" w:hAnsi="Times New Roman"/>
          <w:color w:val="000000"/>
          <w:sz w:val="20"/>
        </w:rPr>
        <w:t xml:space="preserve">” </w:t>
      </w:r>
      <w:r>
        <w:rPr>
          <w:rFonts w:ascii="Times New Roman" w:hAnsi="Times New Roman"/>
          <w:color w:val="000000"/>
          <w:sz w:val="24"/>
        </w:rPr>
        <w:t>means any person employed by the Company or any Parent or Subsidiary (including an officer or a Director who is also an Employee).</w:t>
      </w:r>
    </w:p>
    <w:p>
      <w:pPr>
        <w:pStyle w:val="TextBody"/>
        <w:bidi w:val="0"/>
        <w:spacing w:before="0" w:after="240"/>
        <w:jc w:val="both"/>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w:t>
      </w:r>
    </w:p>
    <w:p>
      <w:pPr>
        <w:pStyle w:val="TextBody"/>
        <w:bidi w:val="0"/>
        <w:spacing w:before="0" w:after="240"/>
        <w:jc w:val="both"/>
        <w:rPr/>
      </w:pPr>
      <w:r>
        <w:rPr>
          <w:color w:val="000000"/>
        </w:rPr>
        <w:t>“</w:t>
      </w:r>
      <w:r>
        <w:rPr>
          <w:rFonts w:ascii="Times New Roman" w:hAnsi="Times New Roman"/>
          <w:color w:val="000000"/>
          <w:sz w:val="24"/>
          <w:u w:val="single"/>
        </w:rPr>
        <w:t>Fair Market Value</w:t>
      </w:r>
      <w:r>
        <w:rPr>
          <w:rFonts w:ascii="Times New Roman" w:hAnsi="Times New Roman"/>
          <w:color w:val="000000"/>
          <w:sz w:val="20"/>
        </w:rPr>
        <w:t xml:space="preserve">” </w:t>
      </w:r>
      <w:r>
        <w:rPr>
          <w:rFonts w:ascii="Times New Roman" w:hAnsi="Times New Roman"/>
          <w:color w:val="000000"/>
          <w:sz w:val="24"/>
        </w:rPr>
        <w:t>means, as of any date, the value of Common Stock determined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if the Common Stock is listed on one or more established stock exchanges or national market systems, including The Nasdaq Global Select Market, The Nasdaq Global Market or The Nasdaq Capital Market of The Nasdaq Stock Market LLC,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fair market value determined by the Board using any measure of value that the Board determines to be appropriate (including as it considers appropriate, relying on appraisals) in a manner consistent with the valuation principles under sections 409A and 422 of the Code, except as the Board may expressly determine otherwise.</w:t>
      </w:r>
    </w:p>
    <w:p>
      <w:pPr>
        <w:pStyle w:val="TextBody"/>
        <w:bidi w:val="0"/>
        <w:spacing w:before="0" w:after="240"/>
        <w:jc w:val="both"/>
        <w:rPr/>
      </w:pPr>
      <w:r>
        <w:rPr>
          <w:color w:val="000000"/>
        </w:rPr>
        <w:t>“</w:t>
      </w:r>
      <w:r>
        <w:rPr>
          <w:rFonts w:ascii="Times New Roman" w:hAnsi="Times New Roman"/>
          <w:color w:val="000000"/>
          <w:sz w:val="24"/>
          <w:u w:val="single"/>
        </w:rPr>
        <w:t>Grantee</w:t>
      </w:r>
      <w:r>
        <w:rPr>
          <w:rFonts w:ascii="Times New Roman" w:hAnsi="Times New Roman"/>
          <w:color w:val="000000"/>
          <w:sz w:val="20"/>
        </w:rPr>
        <w:t xml:space="preserve">” </w:t>
      </w:r>
      <w:r>
        <w:rPr>
          <w:rFonts w:ascii="Times New Roman" w:hAnsi="Times New Roman"/>
          <w:color w:val="000000"/>
          <w:sz w:val="24"/>
        </w:rPr>
        <w:t>means an individual who holds an Award.</w:t>
      </w:r>
    </w:p>
    <w:p>
      <w:pPr>
        <w:pStyle w:val="TextBody"/>
        <w:bidi w:val="0"/>
        <w:spacing w:before="0" w:after="240"/>
        <w:jc w:val="both"/>
        <w:rPr/>
      </w:pPr>
      <w:r>
        <w:rPr>
          <w:color w:val="000000"/>
        </w:rPr>
        <w:t>“</w:t>
      </w:r>
      <w:r>
        <w:rPr>
          <w:rFonts w:ascii="Times New Roman" w:hAnsi="Times New Roman"/>
          <w:color w:val="000000"/>
          <w:sz w:val="24"/>
          <w:u w:val="single"/>
        </w:rPr>
        <w:t>Incentive Stock Option</w:t>
      </w:r>
      <w:r>
        <w:rPr>
          <w:rFonts w:ascii="Times New Roman" w:hAnsi="Times New Roman"/>
          <w:color w:val="000000"/>
          <w:sz w:val="20"/>
        </w:rPr>
        <w:t xml:space="preserve">” </w:t>
      </w:r>
      <w:r>
        <w:rPr>
          <w:rFonts w:ascii="Times New Roman" w:hAnsi="Times New Roman"/>
          <w:color w:val="000000"/>
          <w:sz w:val="24"/>
        </w:rPr>
        <w:t>means an Option intended to qualify as an incentive stock option within the meaning of section 422 of the Code.</w:t>
      </w:r>
    </w:p>
    <w:p>
      <w:pPr>
        <w:pStyle w:val="TextBody"/>
        <w:bidi w:val="0"/>
        <w:spacing w:before="0" w:after="240"/>
        <w:jc w:val="both"/>
        <w:rPr/>
      </w:pPr>
      <w:r>
        <w:rPr>
          <w:color w:val="000000"/>
        </w:rPr>
        <w:t>“</w:t>
      </w:r>
      <w:r>
        <w:rPr>
          <w:rFonts w:ascii="Times New Roman" w:hAnsi="Times New Roman"/>
          <w:color w:val="000000"/>
          <w:sz w:val="24"/>
          <w:u w:val="single"/>
        </w:rPr>
        <w:t>Non-Qualified Stock Option</w:t>
      </w:r>
      <w:r>
        <w:rPr>
          <w:rFonts w:ascii="Times New Roman" w:hAnsi="Times New Roman"/>
          <w:color w:val="000000"/>
          <w:sz w:val="20"/>
        </w:rPr>
        <w:t xml:space="preserve">” </w:t>
      </w:r>
      <w:r>
        <w:rPr>
          <w:rFonts w:ascii="Times New Roman" w:hAnsi="Times New Roman"/>
          <w:color w:val="000000"/>
          <w:sz w:val="24"/>
        </w:rPr>
        <w:t>means an Option that fails to qualify or is not intended to qualify as an Incentive Stock Option.</w:t>
      </w:r>
    </w:p>
    <w:p>
      <w:pPr>
        <w:pStyle w:val="TextBody"/>
        <w:bidi w:val="0"/>
        <w:spacing w:before="0" w:after="240"/>
        <w:jc w:val="both"/>
        <w:rPr/>
      </w:pPr>
      <w:r>
        <w:rPr>
          <w:color w:val="000000"/>
        </w:rPr>
        <w:t>“</w:t>
      </w:r>
      <w:r>
        <w:rPr>
          <w:rFonts w:ascii="Times New Roman" w:hAnsi="Times New Roman"/>
          <w:color w:val="000000"/>
          <w:sz w:val="24"/>
          <w:u w:val="single"/>
        </w:rPr>
        <w:t>Option</w:t>
      </w:r>
      <w:r>
        <w:rPr>
          <w:rFonts w:ascii="Times New Roman" w:hAnsi="Times New Roman"/>
          <w:color w:val="000000"/>
          <w:sz w:val="20"/>
        </w:rPr>
        <w:t xml:space="preserve">” </w:t>
      </w:r>
      <w:r>
        <w:rPr>
          <w:rFonts w:ascii="Times New Roman" w:hAnsi="Times New Roman"/>
          <w:color w:val="000000"/>
          <w:sz w:val="24"/>
        </w:rPr>
        <w:t>means an option to purchase Shares.</w:t>
      </w:r>
    </w:p>
    <w:p>
      <w:pPr>
        <w:pStyle w:val="TextBody"/>
        <w:bidi w:val="0"/>
        <w:spacing w:before="0" w:after="240"/>
        <w:jc w:val="both"/>
        <w:rPr/>
      </w:pPr>
      <w:r>
        <w:rPr>
          <w:color w:val="000000"/>
        </w:rPr>
        <w:t>“</w:t>
      </w:r>
      <w:r>
        <w:rPr>
          <w:rFonts w:ascii="Times New Roman" w:hAnsi="Times New Roman"/>
          <w:color w:val="000000"/>
          <w:sz w:val="24"/>
          <w:u w:val="single"/>
        </w:rPr>
        <w:t>Parent</w:t>
      </w:r>
      <w:r>
        <w:rPr>
          <w:rFonts w:ascii="Times New Roman" w:hAnsi="Times New Roman"/>
          <w:color w:val="000000"/>
          <w:sz w:val="20"/>
        </w:rPr>
        <w:t xml:space="preserve">” </w:t>
      </w:r>
      <w:r>
        <w:rPr>
          <w:rFonts w:ascii="Times New Roman" w:hAnsi="Times New Roman"/>
          <w:color w:val="000000"/>
          <w:sz w:val="24"/>
        </w:rPr>
        <w:t>means a “parent corporation” of the Company, whether now or hereafter existing, as defined in section 424(e) of the Code.</w:t>
      </w:r>
    </w:p>
    <w:p>
      <w:pPr>
        <w:pStyle w:val="TextBody"/>
        <w:bidi w:val="0"/>
        <w:spacing w:before="0" w:after="240"/>
        <w:jc w:val="both"/>
        <w:rPr/>
      </w:pPr>
      <w:r>
        <w:rPr>
          <w:color w:val="000000"/>
        </w:rPr>
        <w:t>“</w:t>
      </w:r>
      <w:r>
        <w:rPr>
          <w:rFonts w:ascii="Times New Roman" w:hAnsi="Times New Roman"/>
          <w:color w:val="000000"/>
          <w:sz w:val="24"/>
          <w:u w:val="single"/>
        </w:rPr>
        <w:t>Performance Award</w:t>
      </w:r>
      <w:r>
        <w:rPr>
          <w:rFonts w:ascii="Times New Roman" w:hAnsi="Times New Roman"/>
          <w:color w:val="000000"/>
          <w:sz w:val="20"/>
        </w:rPr>
        <w:t xml:space="preserve">” </w:t>
      </w:r>
      <w:r>
        <w:rPr>
          <w:rFonts w:ascii="Times New Roman" w:hAnsi="Times New Roman"/>
          <w:color w:val="000000"/>
          <w:sz w:val="24"/>
        </w:rPr>
        <w:t>means the Awards granted under Section 9 (Performance Awards).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Performance Goals</w:t>
      </w:r>
      <w:r>
        <w:rPr>
          <w:rFonts w:ascii="Times New Roman" w:hAnsi="Times New Roman"/>
          <w:color w:val="000000"/>
          <w:sz w:val="20"/>
        </w:rPr>
        <w:t xml:space="preserve">” </w:t>
      </w:r>
      <w:r>
        <w:rPr>
          <w:rFonts w:ascii="Times New Roman" w:hAnsi="Times New Roman"/>
          <w:color w:val="000000"/>
          <w:sz w:val="24"/>
        </w:rPr>
        <w:t>means the performance goals established in connection with the grant of Performance Awards.</w:t>
      </w:r>
    </w:p>
    <w:p>
      <w:pPr>
        <w:pStyle w:val="TextBody"/>
        <w:bidi w:val="0"/>
        <w:spacing w:before="0" w:after="240"/>
        <w:jc w:val="both"/>
        <w:rPr/>
      </w:pPr>
      <w:r>
        <w:rPr>
          <w:color w:val="000000"/>
        </w:rPr>
        <w:t>“</w:t>
      </w:r>
      <w:r>
        <w:rPr>
          <w:rFonts w:ascii="Times New Roman" w:hAnsi="Times New Roman"/>
          <w:color w:val="000000"/>
          <w:sz w:val="24"/>
          <w:u w:val="single"/>
        </w:rPr>
        <w:t>Performance Period</w:t>
      </w:r>
      <w:r>
        <w:rPr>
          <w:rFonts w:ascii="Times New Roman" w:hAnsi="Times New Roman"/>
          <w:color w:val="000000"/>
          <w:sz w:val="20"/>
        </w:rPr>
        <w:t xml:space="preserve">” </w:t>
      </w:r>
      <w:r>
        <w:rPr>
          <w:rFonts w:ascii="Times New Roman" w:hAnsi="Times New Roman"/>
          <w:color w:val="000000"/>
          <w:sz w:val="24"/>
        </w:rPr>
        <w:t>means a period of consecutive fiscal years, or portions thereof, over which Performance Awards are to be earned.</w:t>
      </w:r>
    </w:p>
    <w:p>
      <w:pPr>
        <w:pStyle w:val="TextBody"/>
        <w:bidi w:val="0"/>
        <w:spacing w:before="0" w:after="240"/>
        <w:jc w:val="both"/>
        <w:rPr/>
      </w:pPr>
      <w:r>
        <w:rPr>
          <w:color w:val="000000"/>
        </w:rPr>
        <w:t>“</w:t>
      </w:r>
      <w:r>
        <w:rPr>
          <w:rFonts w:ascii="Times New Roman" w:hAnsi="Times New Roman"/>
          <w:color w:val="000000"/>
          <w:sz w:val="24"/>
          <w:u w:val="single"/>
        </w:rPr>
        <w:t>Plan</w:t>
      </w:r>
      <w:r>
        <w:rPr>
          <w:rFonts w:ascii="Times New Roman" w:hAnsi="Times New Roman"/>
          <w:color w:val="000000"/>
          <w:sz w:val="20"/>
        </w:rPr>
        <w:t xml:space="preserve">” </w:t>
      </w:r>
      <w:r>
        <w:rPr>
          <w:rFonts w:ascii="Times New Roman" w:hAnsi="Times New Roman"/>
          <w:color w:val="000000"/>
          <w:sz w:val="24"/>
        </w:rPr>
        <w:t>means this Odyssey Therapeutics, Inc. 2026 Long-Term Incentive Plan, as may be amended or restated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Prior Plan</w:t>
      </w:r>
      <w:r>
        <w:rPr>
          <w:rFonts w:ascii="Times New Roman" w:hAnsi="Times New Roman"/>
          <w:color w:val="000000"/>
          <w:sz w:val="20"/>
        </w:rPr>
        <w:t xml:space="preserve">” </w:t>
      </w:r>
      <w:r>
        <w:rPr>
          <w:rFonts w:ascii="Times New Roman" w:hAnsi="Times New Roman"/>
          <w:color w:val="000000"/>
          <w:sz w:val="24"/>
        </w:rPr>
        <w:t>means the Odyssey Therapeutics, Inc. 2021 Equity Incentive Plan.</w:t>
      </w:r>
    </w:p>
    <w:p>
      <w:pPr>
        <w:pStyle w:val="TextBody"/>
        <w:bidi w:val="0"/>
        <w:spacing w:before="0" w:after="240"/>
        <w:jc w:val="both"/>
        <w:rPr/>
      </w:pPr>
      <w:r>
        <w:rPr>
          <w:color w:val="000000"/>
        </w:rPr>
        <w:t>“</w:t>
      </w:r>
      <w:r>
        <w:rPr>
          <w:rFonts w:ascii="Times New Roman" w:hAnsi="Times New Roman"/>
          <w:color w:val="000000"/>
          <w:sz w:val="24"/>
          <w:u w:val="single"/>
        </w:rPr>
        <w:t>Prior Plan Award</w:t>
      </w:r>
      <w:r>
        <w:rPr>
          <w:rFonts w:ascii="Times New Roman" w:hAnsi="Times New Roman"/>
          <w:color w:val="000000"/>
          <w:sz w:val="20"/>
        </w:rPr>
        <w:t xml:space="preserve">” </w:t>
      </w:r>
      <w:r>
        <w:rPr>
          <w:rFonts w:ascii="Times New Roman" w:hAnsi="Times New Roman"/>
          <w:color w:val="000000"/>
          <w:sz w:val="24"/>
        </w:rPr>
        <w:t>means an award outstanding under the Prior Plan as of the Plan’s effective date in Section 16(a).</w:t>
      </w:r>
    </w:p>
    <w:p>
      <w:pPr>
        <w:pStyle w:val="TextBody"/>
        <w:bidi w:val="0"/>
        <w:spacing w:before="0" w:after="240"/>
        <w:jc w:val="both"/>
        <w:rPr/>
      </w:pPr>
      <w:r>
        <w:rPr>
          <w:color w:val="000000"/>
        </w:rPr>
        <w:t>“</w:t>
      </w:r>
      <w:r>
        <w:rPr>
          <w:rFonts w:ascii="Times New Roman" w:hAnsi="Times New Roman"/>
          <w:color w:val="000000"/>
          <w:sz w:val="24"/>
          <w:u w:val="single"/>
        </w:rPr>
        <w:t>Public Trading Date</w:t>
      </w:r>
      <w:r>
        <w:rPr>
          <w:rFonts w:ascii="Times New Roman" w:hAnsi="Times New Roman"/>
          <w:color w:val="000000"/>
          <w:sz w:val="20"/>
        </w:rPr>
        <w:t xml:space="preserve">” </w:t>
      </w:r>
      <w:r>
        <w:rPr>
          <w:rFonts w:ascii="Times New Roman" w:hAnsi="Times New Roman"/>
          <w:color w:val="000000"/>
          <w:sz w:val="24"/>
        </w:rPr>
        <w:t>means the first date upon which the Common Stock is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Treasury Regulation Section 1.162-27(c)(1).</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Restricted Stock</w:t>
      </w:r>
      <w:r>
        <w:rPr>
          <w:rFonts w:ascii="Times New Roman" w:hAnsi="Times New Roman"/>
          <w:color w:val="000000"/>
          <w:sz w:val="20"/>
        </w:rPr>
        <w:t xml:space="preserve">” </w:t>
      </w:r>
      <w:r>
        <w:rPr>
          <w:rFonts w:ascii="Times New Roman" w:hAnsi="Times New Roman"/>
          <w:color w:val="000000"/>
          <w:sz w:val="24"/>
        </w:rPr>
        <w:t>means Shares issued under the Plan subject to restrictions determined by the Administrator and set forth in the applicable Award Agreement.</w:t>
      </w:r>
    </w:p>
    <w:p>
      <w:pPr>
        <w:pStyle w:val="TextBody"/>
        <w:bidi w:val="0"/>
        <w:spacing w:before="0" w:after="240"/>
        <w:jc w:val="both"/>
        <w:rPr/>
      </w:pPr>
      <w:r>
        <w:rPr>
          <w:color w:val="000000"/>
        </w:rPr>
        <w:t>“</w:t>
      </w:r>
      <w:r>
        <w:rPr>
          <w:rFonts w:ascii="Times New Roman" w:hAnsi="Times New Roman"/>
          <w:color w:val="000000"/>
          <w:sz w:val="24"/>
          <w:u w:val="single"/>
        </w:rPr>
        <w:t>Restricted Stock Units</w:t>
      </w:r>
      <w:r>
        <w:rPr>
          <w:rFonts w:ascii="Times New Roman" w:hAnsi="Times New Roman"/>
          <w:color w:val="000000"/>
          <w:sz w:val="20"/>
        </w:rPr>
        <w:t xml:space="preserve">” </w:t>
      </w:r>
      <w:r>
        <w:rPr>
          <w:rFonts w:ascii="Times New Roman" w:hAnsi="Times New Roman"/>
          <w:color w:val="000000"/>
          <w:sz w:val="24"/>
        </w:rPr>
        <w:t>means an Award based on the value of Common Stock that is an unfunded and unsecured promise to deliver Shares, cash, or other property upon the attainment of specified vesting or performance conditions as determined by the Administrator and set forth in the applicable Award Agreement.</w:t>
      </w:r>
    </w:p>
    <w:p>
      <w:pPr>
        <w:pStyle w:val="TextBody"/>
        <w:bidi w:val="0"/>
        <w:spacing w:before="0" w:after="240"/>
        <w:jc w:val="both"/>
        <w:rPr/>
      </w:pPr>
      <w:r>
        <w:rPr>
          <w:color w:val="000000"/>
        </w:rPr>
        <w:t>“</w:t>
      </w:r>
      <w:r>
        <w:rPr>
          <w:rFonts w:ascii="Times New Roman" w:hAnsi="Times New Roman"/>
          <w:color w:val="000000"/>
          <w:sz w:val="24"/>
          <w:u w:val="single"/>
        </w:rPr>
        <w:t>SAR</w:t>
      </w:r>
      <w:r>
        <w:rPr>
          <w:rFonts w:ascii="Times New Roman" w:hAnsi="Times New Roman"/>
          <w:color w:val="000000"/>
          <w:sz w:val="20"/>
        </w:rPr>
        <w:t xml:space="preserve">” </w:t>
      </w:r>
      <w:r>
        <w:rPr>
          <w:rFonts w:ascii="Times New Roman" w:hAnsi="Times New Roman"/>
          <w:color w:val="000000"/>
          <w:sz w:val="24"/>
        </w:rPr>
        <w:t>means a stock appreciation right entitling the Grantee to Shares, other property, or cash compensation, as determined by the Administrator and set forth in the applicable Award Agreement, measured by appreciation in the value of Common Stock.</w:t>
      </w:r>
    </w:p>
    <w:p>
      <w:pPr>
        <w:pStyle w:val="TextBody"/>
        <w:bidi w:val="0"/>
        <w:spacing w:before="0" w:after="240"/>
        <w:jc w:val="both"/>
        <w:rPr/>
      </w:pPr>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Securities Act of 1933, as amended.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Sell-to-Cover</w:t>
      </w:r>
      <w:r>
        <w:rPr>
          <w:rFonts w:ascii="Times New Roman" w:hAnsi="Times New Roman"/>
          <w:color w:val="000000"/>
          <w:sz w:val="20"/>
        </w:rPr>
        <w:t xml:space="preserve">” </w:t>
      </w:r>
      <w:r>
        <w:rPr>
          <w:rFonts w:ascii="Times New Roman" w:hAnsi="Times New Roman"/>
          <w:color w:val="000000"/>
          <w:sz w:val="24"/>
        </w:rPr>
        <w:t>means a program approved by the Administrator in which payment of the Option exercise price or tax withholding obligations may be satisfied, in whole or in part, with Shares subject to the Option, by delivery of an irrevocable direction to a securities broker (on a form prescribed by the Administrator) to sell Shares and to deliver all or part of the sale proceeds to the Company in payment of the aggregate exercise price and, if applicable, the amount necessary to satisfy the Company’s withholding obligations.</w:t>
      </w:r>
    </w:p>
    <w:p>
      <w:pPr>
        <w:pStyle w:val="TextBody"/>
        <w:bidi w:val="0"/>
        <w:spacing w:before="0" w:after="240"/>
        <w:jc w:val="both"/>
        <w:rPr/>
      </w:pPr>
      <w:r>
        <w:rPr>
          <w:color w:val="000000"/>
        </w:rPr>
        <w:t>“</w:t>
      </w:r>
      <w:r>
        <w:rPr>
          <w:rFonts w:ascii="Times New Roman" w:hAnsi="Times New Roman"/>
          <w:color w:val="000000"/>
          <w:sz w:val="24"/>
          <w:u w:val="single"/>
        </w:rPr>
        <w:t>Service Provider</w:t>
      </w:r>
      <w:r>
        <w:rPr>
          <w:rFonts w:ascii="Times New Roman" w:hAnsi="Times New Roman"/>
          <w:color w:val="000000"/>
          <w:sz w:val="20"/>
        </w:rPr>
        <w:t xml:space="preserve">” </w:t>
      </w:r>
      <w:r>
        <w:rPr>
          <w:rFonts w:ascii="Times New Roman" w:hAnsi="Times New Roman"/>
          <w:color w:val="000000"/>
          <w:sz w:val="24"/>
        </w:rPr>
        <w:t>means an Employee, a Consultant, or a Director, as applicable.</w:t>
      </w:r>
    </w:p>
    <w:p>
      <w:pPr>
        <w:pStyle w:val="TextBody"/>
        <w:bidi w:val="0"/>
        <w:spacing w:before="0" w:after="240"/>
        <w:jc w:val="both"/>
        <w:rPr/>
      </w:pPr>
      <w:r>
        <w:rPr>
          <w:color w:val="000000"/>
        </w:rPr>
        <w:t>“</w:t>
      </w:r>
      <w:r>
        <w:rPr>
          <w:rFonts w:ascii="Times New Roman" w:hAnsi="Times New Roman"/>
          <w:color w:val="000000"/>
          <w:sz w:val="24"/>
          <w:u w:val="single"/>
        </w:rPr>
        <w:t>Share</w:t>
      </w:r>
      <w:r>
        <w:rPr>
          <w:rFonts w:ascii="Times New Roman" w:hAnsi="Times New Roman"/>
          <w:color w:val="000000"/>
          <w:sz w:val="20"/>
        </w:rPr>
        <w:t xml:space="preserve">” </w:t>
      </w:r>
      <w:r>
        <w:rPr>
          <w:rFonts w:ascii="Times New Roman" w:hAnsi="Times New Roman"/>
          <w:color w:val="000000"/>
          <w:sz w:val="24"/>
        </w:rPr>
        <w:t>means a share of Common Stock.</w:t>
      </w:r>
    </w:p>
    <w:p>
      <w:pPr>
        <w:pStyle w:val="TextBody"/>
        <w:bidi w:val="0"/>
        <w:spacing w:before="0" w:after="240"/>
        <w:jc w:val="both"/>
        <w:rPr/>
      </w:pPr>
      <w:r>
        <w:rPr>
          <w:color w:val="000000"/>
        </w:rPr>
        <w:t>“</w:t>
      </w:r>
      <w:r>
        <w:rPr>
          <w:rFonts w:ascii="Times New Roman" w:hAnsi="Times New Roman"/>
          <w:color w:val="000000"/>
          <w:sz w:val="24"/>
          <w:u w:val="single"/>
        </w:rPr>
        <w:t>Share Reserve</w:t>
      </w:r>
      <w:r>
        <w:rPr>
          <w:rFonts w:ascii="Times New Roman" w:hAnsi="Times New Roman"/>
          <w:color w:val="000000"/>
          <w:sz w:val="20"/>
        </w:rPr>
        <w:t xml:space="preserve">” </w:t>
      </w:r>
      <w:r>
        <w:rPr>
          <w:rFonts w:ascii="Times New Roman" w:hAnsi="Times New Roman"/>
          <w:color w:val="000000"/>
          <w:sz w:val="24"/>
        </w:rPr>
        <w:t>shall have the meaning set forth in Section 3(a) (Reserved Shares).</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a “subsidiary corporation” of the Company, whether now or hereafter existing, as defined in section 424(f) of the Code.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Unrestricted Stock</w:t>
      </w:r>
      <w:r>
        <w:rPr>
          <w:rFonts w:ascii="Times New Roman" w:hAnsi="Times New Roman"/>
          <w:color w:val="000000"/>
          <w:sz w:val="20"/>
        </w:rPr>
        <w:t xml:space="preserve">” </w:t>
      </w:r>
      <w:r>
        <w:rPr>
          <w:rFonts w:ascii="Times New Roman" w:hAnsi="Times New Roman"/>
          <w:color w:val="000000"/>
          <w:sz w:val="24"/>
        </w:rPr>
        <w:t>means Shares issued under the Plan that are not subject to vesting, forfeiture, or similar restrictions pursuant to the applicable Award Agreement. For the sake of clarity, Shares that are only subject to restrictions on transfer, right of first refusal, market stand-off, and other similar restrictions shall not, by virtue of such restrictions, be deemed to be “Restricted Stock.”</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u w:val="single"/>
        </w:rPr>
        <w:t>Stock Subject to the Plan</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 Reserved Shares</w:t>
      </w:r>
    </w:p>
    <w:p>
      <w:pPr>
        <w:pStyle w:val="TextBody"/>
        <w:bidi w:val="0"/>
        <w:spacing w:before="0" w:after="240"/>
        <w:jc w:val="both"/>
        <w:rPr>
          <w:rFonts w:ascii="Times New Roman" w:hAnsi="Times New Roman"/>
          <w:sz w:val="20"/>
        </w:rPr>
      </w:pPr>
      <w:r>
        <w:rPr>
          <w:rFonts w:ascii="Times New Roman" w:hAnsi="Times New Roman"/>
          <w:color w:val="000000"/>
          <w:sz w:val="24"/>
        </w:rPr>
        <w:t>Subject to the provisions of Section 13 (Adjustments) and Section 14 (Corporate Transactions), the maximum aggregate number of Shares reserved and available for grant and issuance pursuant to Awards under this Plan (the “</w:t>
      </w:r>
      <w:r>
        <w:rPr>
          <w:rFonts w:ascii="Times New Roman" w:hAnsi="Times New Roman"/>
          <w:color w:val="000000"/>
          <w:sz w:val="24"/>
          <w:u w:val="single"/>
        </w:rPr>
        <w:t>Share Reserve</w:t>
      </w:r>
      <w:r>
        <w:rPr>
          <w:rFonts w:ascii="Times New Roman" w:hAnsi="Times New Roman"/>
          <w:color w:val="000000"/>
          <w:sz w:val="20"/>
        </w:rPr>
        <w:t>”</w:t>
      </w:r>
      <w:r>
        <w:rPr>
          <w:rFonts w:ascii="Times New Roman" w:hAnsi="Times New Roman"/>
          <w:color w:val="000000"/>
          <w:sz w:val="24"/>
        </w:rPr>
        <w:t>) is the sum of (i) 6,232,376 and (ii) any shares of Common Stock that are subject to Prior Plan Awards that become available for issuance under the Plan pursuant to Section 3(b). In addition, subject to the provisions of Section 13 (Adjustments) and Section 14 (Corporate Transactions), the Share Reserve will automatically increase on January 1 of each year beginning on January 1, 2027, before the expiration of the Plan, by an amount equal to 5% of the sum of (A) the total number of shares of the Company’s capital stock</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r>
        <w:rPr>
          <w:rFonts w:ascii="Times New Roman" w:hAnsi="Times New Roman"/>
          <w:color w:val="000000"/>
          <w:sz w:val="24"/>
        </w:rPr>
        <w:t>(B) the shares of the Company’s capital stock underlying unexercised pre-funded warrants with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an exercise price per share of $0.01 or less, in the case of each (A) and (B) outstanding on December 31</w:t>
      </w:r>
      <w:r>
        <w:rPr>
          <w:rFonts w:ascii="Times New Roman" w:hAnsi="Times New Roman"/>
          <w:color w:val="000000"/>
          <w:sz w:val="16"/>
        </w:rPr>
        <w:t>st</w:t>
      </w:r>
      <w:r>
        <w:rPr>
          <w:rFonts w:ascii="Times New Roman" w:hAnsi="Times New Roman"/>
          <w:color w:val="000000"/>
          <w:sz w:val="20"/>
        </w:rPr>
        <w:t xml:space="preserve"> </w:t>
      </w:r>
      <w:r>
        <w:rPr>
          <w:rFonts w:ascii="Times New Roman" w:hAnsi="Times New Roman"/>
          <w:color w:val="000000"/>
          <w:sz w:val="24"/>
        </w:rPr>
        <w:t xml:space="preserve">of the preceding year; </w:t>
      </w:r>
      <w:r>
        <w:rPr>
          <w:rFonts w:ascii="Times New Roman" w:hAnsi="Times New Roman"/>
          <w:i/>
          <w:color w:val="000000"/>
          <w:sz w:val="24"/>
        </w:rPr>
        <w:t>provided</w:t>
      </w:r>
      <w:r>
        <w:rPr>
          <w:rFonts w:ascii="Times New Roman" w:hAnsi="Times New Roman"/>
          <w:color w:val="000000"/>
          <w:sz w:val="24"/>
        </w:rPr>
        <w:t>, that the Board may act prior to January 1st of a given year to provide that the increase for such year will be a lesser number of Shares. The Shares may be authorized, but unissued, or reacquired Common Stock. As of the Plan’s effective date under Section 16(a), the Company will cease granting awards under the Prior Plan; however, Prior Plan Awards will remain subject to the terms of the Prior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 Shares Returned to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Shares covered by an Award or Prior Plan Award (or portion of an Award or Prior Plan Award) that is forfeited, canceled, reacquired by the Company prior to vesting, expired (whether voluntarily or involuntarily), settled in cash or otherwise satisfied without the issuance of Shares, withheld upon exercise of an Option or settlement of an Award to cover the exercise price or tax withholding, surrendered pursuant to an exchange, or otherwise terminated (other than by exercise) shall, as applicable, become or again be available for grant and issuance under the Plan. If any Shares that actually have been issued pursuant to an Award or Prior Plan Award are forfeited back to or reacquired by the Company pursuant to the failure to meet a contingency or condition required to vest such shares in the Grantee, a right of first refusal, a forfeiture provision, or repurchase by the Company, then the Shares that are forfeited or reacquired will, as applicable, become or again be available for future grant and issuance under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 Incentive Stock Option Limit</w:t>
      </w:r>
    </w:p>
    <w:p>
      <w:pPr>
        <w:pStyle w:val="TextBody"/>
        <w:bidi w:val="0"/>
        <w:spacing w:before="0" w:after="240"/>
        <w:jc w:val="both"/>
        <w:rPr>
          <w:rFonts w:ascii="Times New Roman" w:hAnsi="Times New Roman"/>
          <w:sz w:val="20"/>
        </w:rPr>
      </w:pPr>
      <w:r>
        <w:rPr>
          <w:rFonts w:ascii="Times New Roman" w:hAnsi="Times New Roman"/>
          <w:color w:val="000000"/>
          <w:sz w:val="24"/>
        </w:rPr>
        <w:t>Subject to the Share Reserve and the provisions of Section 13 (Adjustments) and Section 14 (Corporate Transactions), the maximum aggregate number of Shares which may be issued pursuant to the exercise of Incentive Stock Options will be 23,221,158 Shares (the “</w:t>
      </w:r>
      <w:r>
        <w:rPr>
          <w:rFonts w:ascii="Times New Roman" w:hAnsi="Times New Roman"/>
          <w:color w:val="000000"/>
          <w:sz w:val="24"/>
          <w:u w:val="single"/>
        </w:rPr>
        <w:t>ISO Limit</w:t>
      </w:r>
      <w:r>
        <w:rPr>
          <w:rFonts w:ascii="Times New Roman" w:hAnsi="Times New Roman"/>
          <w:color w:val="000000"/>
          <w:sz w:val="20"/>
        </w:rPr>
        <w:t>”</w:t>
      </w:r>
      <w:r>
        <w:rPr>
          <w:rFonts w:ascii="Times New Roman" w:hAnsi="Times New Roman"/>
          <w:color w:val="000000"/>
          <w:sz w:val="24"/>
        </w:rPr>
        <w:t>). The purpose of this Section 3(c) (Incentive Stock Option Limit) is to comply with section 422 of the Code so that the Plan does not reach the ISO Limit before the Share Reserve by reason of Shares becoming available for issuance pursuant to Section 3(b) (Shares Returned to Plan), but not being available for issuance pursuant to the exercise of Incentive Stock Options.</w:t>
      </w:r>
    </w:p>
    <w:p>
      <w:pPr>
        <w:pStyle w:val="TextBody"/>
        <w:bidi w:val="0"/>
        <w:spacing w:before="0" w:after="240"/>
        <w:jc w:val="both"/>
        <w:rPr>
          <w:rFonts w:ascii="Times New Roman" w:hAnsi="Times New Roman"/>
          <w:sz w:val="20"/>
        </w:rPr>
      </w:pPr>
      <w:r>
        <w:rPr>
          <w:rFonts w:ascii="Times New Roman" w:hAnsi="Times New Roman"/>
          <w:b/>
          <w:color w:val="000000"/>
          <w:sz w:val="24"/>
        </w:rPr>
        <w:t>(d) Maximum Awards to Non-Employee Directors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anything to the contrary in this Plan, the value of all Awards awarded under this Plan and all other cash compensation paid by the Company to any non-employee Director in any calendar year after the calendar year in which the Public Trading Date occurs for service as a non-employee Director shall not exceed $750,000; </w:t>
      </w:r>
      <w:r>
        <w:rPr>
          <w:rFonts w:ascii="Times New Roman" w:hAnsi="Times New Roman"/>
          <w:i/>
          <w:color w:val="000000"/>
          <w:sz w:val="24"/>
        </w:rPr>
        <w:t>provided</w:t>
      </w:r>
      <w:r>
        <w:rPr>
          <w:rFonts w:ascii="Times New Roman" w:hAnsi="Times New Roman"/>
          <w:color w:val="000000"/>
          <w:sz w:val="24"/>
        </w:rPr>
        <w:t>, that such amount shall be $1,000,000 for the calendar year in which the applicable non-employee Director is initially elected or appointed to the Board. For the purpose of this limitation, the value of any Award shall be calculated based on the grant date fair value of such Award for financial reporting purposes.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Administration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 Administration by the Board</w:t>
      </w:r>
    </w:p>
    <w:p>
      <w:pPr>
        <w:pStyle w:val="TextBody"/>
        <w:bidi w:val="0"/>
        <w:spacing w:before="0" w:after="240"/>
        <w:jc w:val="both"/>
        <w:rPr>
          <w:rFonts w:ascii="Times New Roman" w:hAnsi="Times New Roman"/>
          <w:sz w:val="20"/>
        </w:rPr>
      </w:pPr>
      <w:r>
        <w:rPr>
          <w:rFonts w:ascii="Times New Roman" w:hAnsi="Times New Roman"/>
          <w:color w:val="000000"/>
          <w:sz w:val="24"/>
        </w:rPr>
        <w:t>Subject to Section 4(d) (Appointment of Committees) and Section 4(e) (Delegation to Officers), the Plan will be administered by the Board.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 Powers of the Administrator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Administrator shall have such powers and authority as may be necessary or appropriate for the Administrator to carry out its functions as described in the Plan, including the full discretionary authority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grant Awards and determine recipients and terms thereof, including the type and number of Awards to be granted; the number of Shares or dollar amount to which an Award will relate; the purchase, exercise, or base price; the time or times when Awards may be exercised; vesting criteria and/or Performance Goals; any forfeiture, cancelation, or surrender events; any vesting acceleration or waiver of forfeiture restrictions; and any restriction or limitation regarding any Award or the Shares or other consideration relating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determine Fair Market Value;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prescribe and amend the terms of or form of any Award Agreements or document for use under the Plan or notices required to be delivered to the Company by Grantees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establish, determine, and measure Performance Goals;</w:t>
      </w:r>
    </w:p>
    <w:p>
      <w:pPr>
        <w:pStyle w:val="TextBody"/>
        <w:bidi w:val="0"/>
        <w:spacing w:before="0" w:after="240"/>
        <w:jc w:val="both"/>
        <w:rPr>
          <w:rFonts w:ascii="Times New Roman" w:hAnsi="Times New Roman"/>
          <w:sz w:val="20"/>
        </w:rPr>
      </w:pPr>
      <w:r>
        <w:rPr>
          <w:rFonts w:ascii="Times New Roman" w:hAnsi="Times New Roman"/>
          <w:color w:val="000000"/>
          <w:sz w:val="24"/>
        </w:rPr>
        <w:t>(v) amend, modify, or terminate any outstanding Award pursuant to Section 11(c) (Amendment of Awards and Award Agreements);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(vii) determine whether, to what extent, and under what circumstances (A) an Award may be settled in cash, Stock, other Awards, or other property; or (B) how the purchase price, exercise price, and/or tax withholding will be paid pursuant to Section 7(f) (Payment Upon Exercise);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Administrator may not delegate this authority with respect to the Award of any officer of the Company subject to section 16 of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determine whether conditions and events described in the Plan or in Award Agreements are satisfied, including whether a Grantee is Disabled, whether a Corporate Transaction has occurred, whether a Grantee’s Continuous Services has terminated, and whether a Grantee’s employment or service has terminated with Cause;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(ix) determine the extent to which adjustments are required pursuant to Section 13 (Adjustments);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adopt, amend, and/or repeal administrative rules, guidelines, and practices relating to the Plan as it shall deem advisable;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 construe and interpret the terms of the Plan and any Award Agreements entered into under the Plan and define terms not otherwise defined in the Plan or an Award Agreement;</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 make and approve corrections in the documentation or administration of any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(xiii) pursuant to Section 4(h) (Foreign Award Recipients), adopt such modifications, procedures, and sub plans (including any modification to or procedures under such sub plans) as the Administrator determines are necessary or desirable to comply with applicable law in other countries in which the Company and any Parent or Subsidiary operate or have employees or other individuals eligible for Awards;</w:t>
      </w:r>
    </w:p>
    <w:p>
      <w:pPr>
        <w:pStyle w:val="TextBody"/>
        <w:bidi w:val="0"/>
        <w:spacing w:before="0" w:after="240"/>
        <w:jc w:val="both"/>
        <w:rPr>
          <w:rFonts w:ascii="Times New Roman" w:hAnsi="Times New Roman"/>
          <w:sz w:val="20"/>
        </w:rPr>
      </w:pPr>
      <w:r>
        <w:rPr>
          <w:rFonts w:ascii="Times New Roman" w:hAnsi="Times New Roman"/>
          <w:color w:val="000000"/>
          <w:sz w:val="24"/>
        </w:rPr>
        <w:t>(xiv) determine and apply policies and procedures as it deems appropriate to provide for clawback or recoupment of Awards, as provided under Section 22 (Clawback) or under the terms of an Award Agreement;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 determine the effect of a Corporate Transaction on outstanding Awards, as provided under Section 6(d) (Substitute Awards in Business Transactions) and Section 14 (Corporate Transactions) of the Plan;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 determine all facts and all other matters that must be determined in connection with the Plan or an Award or that are necessary to administer the Plan and/or any Award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 Action by the Administrator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decisions by the Administrator shall be made in the Administrator’s sole discretion and shall be final and binding on all persons having or claiming any interest in the Plan or in any Award. The Administrator shall consider such factors as it deems relevant, in its sole and absolute discretion, to making decisions, determinations, and interpretations with respect to the Plan and any Award granted thereunder, including the recommendations or advice of any officer or other Employee of the Company and such attorneys, consultants, and accountants as the Administrator may select. No Director or person acting pursuant to the authority delegated by the Administrator shall be liable for any action or determination relating to or under the Plan that is made in good faith.</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 Appointment of Committees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permitted by applicable law, the Board may delegate by resolution any or all of its powers under the Plan to one or more Committees. All references in the Plan to the “Administrator” shall mean the Board, a Committee referred to in this Section 4(d) (Appointment of Committees), or the officers referred to in Section 4(e) (Delegation to Officers), in each case to the extent that the Board’s powers or authority under the Plan have been delegated to such Committee or officer(s). The Board may retain the authority to concurrently administer the Plan with any Committee or officer(s) and may, at any time, revest in the Board some or all of the powers previously delegated.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 Delegation to Officers</w:t>
      </w:r>
    </w:p>
    <w:p>
      <w:pPr>
        <w:pStyle w:val="TextBody"/>
        <w:bidi w:val="0"/>
        <w:spacing w:before="0" w:after="240"/>
        <w:jc w:val="both"/>
        <w:rPr>
          <w:rFonts w:ascii="Times New Roman" w:hAnsi="Times New Roman"/>
          <w:sz w:val="20"/>
        </w:rPr>
      </w:pPr>
      <w:r>
        <w:rPr>
          <w:rFonts w:ascii="Times New Roman" w:hAnsi="Times New Roman"/>
          <w:color w:val="000000"/>
          <w:sz w:val="24"/>
        </w:rPr>
        <w:t>To the extent permitted by applicable law, the Board or a Committee may delegate by resolution to one or more officers of the Company the power to grant Awards, subject to any limitations under the Plan, to Employees, Consultants or officers of the Company or Employees, Consultants or officers of its present or future Parent or Subsidiaries, and to exercise such other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powers under the Plan as the Board or a Committee may determine; </w:t>
      </w:r>
      <w:r>
        <w:rPr>
          <w:rFonts w:ascii="Times New Roman" w:hAnsi="Times New Roman"/>
          <w:i/>
          <w:color w:val="000000"/>
          <w:sz w:val="24"/>
        </w:rPr>
        <w:t>provided</w:t>
      </w:r>
      <w:r>
        <w:rPr>
          <w:rFonts w:ascii="Times New Roman" w:hAnsi="Times New Roman"/>
          <w:color w:val="000000"/>
          <w:sz w:val="24"/>
        </w:rPr>
        <w:t xml:space="preserve">, that the Board or a Committee shall fix certain material terms of the Awards to be granted by such officers and shall fix the maximum number of Shares subject to Awards that the officers may grant;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further</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 officer shall be authorized to grant Awards to himself or herself or any such officer’s spouse (or former spouse), domestic partner, child, stepchild, grandchild, parent, stepparent, sibling, father-in-law, mother-in-law, son-in-law, daughter-in-law, brother-in-law, sister-in-law, grandparent, niece or nephew, including adoptive relationships.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(f) Section 16 of the Exchange Act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Notwithstanding Section 4(d) (Appointment of Committees) and Section 4(e) (Delegation to Officers), no delegation may be made by the Board or a Committee that would cause Awards or other transactions under the Plan to cease to be exempt from section 16(b) of the Exchange Act.</w:t>
      </w:r>
    </w:p>
    <w:p>
      <w:pPr>
        <w:pStyle w:val="TextBody"/>
        <w:bidi w:val="0"/>
        <w:spacing w:before="0" w:after="240"/>
        <w:jc w:val="both"/>
        <w:rPr>
          <w:rFonts w:ascii="Times New Roman" w:hAnsi="Times New Roman"/>
          <w:sz w:val="20"/>
        </w:rPr>
      </w:pPr>
      <w:r>
        <w:rPr>
          <w:rFonts w:ascii="Times New Roman" w:hAnsi="Times New Roman"/>
          <w:color w:val="000000"/>
          <w:sz w:val="24"/>
        </w:rPr>
        <w:t>(ii) To the extent desirable to qualify transactions hereunder as exempt under Rule 16b-3 of the Exchange Act (“</w:t>
      </w:r>
      <w:r>
        <w:rPr>
          <w:rFonts w:ascii="Times New Roman" w:hAnsi="Times New Roman"/>
          <w:color w:val="000000"/>
          <w:sz w:val="24"/>
          <w:u w:val="single"/>
        </w:rPr>
        <w:t>Rule 16b-3</w:t>
      </w:r>
      <w:r>
        <w:rPr>
          <w:rFonts w:ascii="Times New Roman" w:hAnsi="Times New Roman"/>
          <w:color w:val="000000"/>
          <w:sz w:val="20"/>
        </w:rPr>
        <w:t>”</w:t>
      </w:r>
      <w:r>
        <w:rPr>
          <w:rFonts w:ascii="Times New Roman" w:hAnsi="Times New Roman"/>
          <w:color w:val="000000"/>
          <w:sz w:val="24"/>
        </w:rPr>
        <w:t>), the transactions contemplated hereunder will be structured to satisfy the requirements for exemption under Rule 16b-3.</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 Indemnification</w:t>
      </w:r>
    </w:p>
    <w:p>
      <w:pPr>
        <w:pStyle w:val="TextBody"/>
        <w:bidi w:val="0"/>
        <w:spacing w:before="0" w:after="240"/>
        <w:jc w:val="both"/>
        <w:rPr>
          <w:rFonts w:ascii="Times New Roman" w:hAnsi="Times New Roman"/>
          <w:sz w:val="20"/>
        </w:rPr>
      </w:pPr>
      <w:r>
        <w:rPr>
          <w:rFonts w:ascii="Times New Roman" w:hAnsi="Times New Roman"/>
          <w:color w:val="000000"/>
          <w:sz w:val="24"/>
        </w:rPr>
        <w:t>The Administrator shall not be liable for any act, omission, interpretation, construction, or determination made in good faith in connection with the Plan. In addition to such other rights of indemnification as they may have, members of the Board and any Committee (and any individuals to whom authority to act for the Board or Committee is delegated in accordance with the Plan) shall be defended and indemnified by the Company to the extent permitted by applicable law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Upon the institution of any such claim, investigation, action, suit, or proceeding, any such indemnified person against whom a claim is made shall notify the Company in writing and give the Company the opportunity, within thirty (30) days after such notice and at its own expense, to handle and defend the same before such indemnified person undertakes to handle it on his or her own behalf.</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 Foreign Award Recipients</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 provision of the Plan to the contrary and in addition to those powers enumerated in Section 4(b) (Powers of the Administrator), in order to comply with applicable law in other countries in which the Company and any Parent or Subsidiary operate or have employees or other individuals eligible for Awards, the Administrator, in its sole discretion, shall have the power and authority to: (i) determine which Parents or Subsidiaries, if any, shall be covered by the Plan; (ii) determine which individuals, if any, outside the United States are eligible to participate in the Plan; (iii) modify the terms and conditions of any Award granted to individuals outside the United States to comply with foreign applicable law; (iv) establish sub plans and modify exercise procedures and other terms and procedures, to the extent the Administrator determines such actions to be necessary or advisable to (A) comply with provisions of the laws of jurisdictions outside of the United States in which the Company or any Subsidiary may operate; (B) satisfy securities, tax, or other laws of various jurisdictions in which the Company intends to grant Awards; or (C) qualify for favorable tax treatment under applicable foreign laws;</w:t>
      </w:r>
      <w:r>
        <w:rPr>
          <w:rFonts w:ascii="Times New Roman" w:hAnsi="Times New Roman"/>
          <w:color w:val="000000"/>
          <w:sz w:val="20"/>
        </w:rPr>
        <w:t xml:space="preserve"> </w:t>
      </w:r>
      <w:r>
        <w:rPr>
          <w:rFonts w:ascii="Times New Roman" w:hAnsi="Times New Roman"/>
          <w:i/>
          <w:color w:val="000000"/>
          <w:sz w:val="24"/>
        </w:rPr>
        <w:t>provided, however</w:t>
      </w:r>
      <w:r>
        <w:rPr>
          <w:rFonts w:ascii="Times New Roman" w:hAnsi="Times New Roman"/>
          <w:color w:val="000000"/>
          <w:sz w:val="24"/>
        </w:rPr>
        <w:t>, that no such sub plans and/or modifications to such sub plans shall increase the share limitation contained in Section 3 (Stock Subject to the Plan); and (v) take any action, before or after an Award is made, that the Administrator determines to be necessary or advisable to obtain approval or comply with any local governmental regulatory exemptions or approvals.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 Addenda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Administrator may approve such addenda to the Plan as it may consider necessary or appropriate for the purpose of granting Awards to Employees, Directors, or Consultants, which Awards may contain such terms and conditions as the Administrator deems necessary or appropriate to accommodate differences in local law, tax policy, or custom, which, if so required under applicable law, may deviate from the terms and conditions set forth in this Plan. The terms of any such addenda shall supersede the terms of the Plan to the extent necessary to accommodate such differences but shall not otherwise affect the terms of the Plan as in effect for any other purpose.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Eligibility for Awards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Awards other than Incentive Stock Options may be granted to Employees, Directors, and Consultants;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to the extent required to avoid accelerated taxation and/or tax penalties under section 409A of the Code, an Option or a SAR may be granted only to Employees, Directors, and Consultants with respect to whom the Company is an “eligible issuer of service recipient stock” within the meaning of section 409A of the Code. Incentive Stock Options may be granted only to Employees.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Types and Terms of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 General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Awards may be made under the Plan in the form of (i) Options, (ii) SARs, (iii) Restricted Stock, (iv) Restricted Stock Units, (v) Unrestricted Stock, (vi) Performance Awards, and (vii) other stock-based awards or cash incentives that the Administrator determines are consistent with the purpose of the Plan and the interests of the Company.</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 Conditions of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terms of the Plan, the Administrator shall determine the provisions, terms, and conditions of each Award including, but not limited to, the Award vesting schedule, restrictions and restriction periods, repurchase provisions, rights of first refusal, forfeiture provisions, form of payment (cash, Shares, or other consideration) upon exercise or settlement of the Award, payment contingencies, and satisfaction of any Performance Goals. Subject to the terms of the Plan, the Administrator may determine the effect on an Award of the Disability, death, termination or other cessation of employment or service, an authorized leave of absence, or other change in the employment or service relationship of the Grantee. All of the terms and conditions of an Award shall be as set forth in the applicable Award Agreement or in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 Discretion of Administrator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provided by the Plan, each Award may be made alone or in addition or in relation to any other Award. The terms of each Award need not be identical, and the Administrator need not treat Grantees uniformly. In selecting persons to receive Awards under the Plan and in determining the type and amount of Awards to be granted under the Plan, the Administrator may consider any and all factors that it deems relevant or appropriate.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 Substitute Awards in Business Transactions</w:t>
      </w:r>
    </w:p>
    <w:p>
      <w:pPr>
        <w:pStyle w:val="TextBody"/>
        <w:bidi w:val="0"/>
        <w:spacing w:before="0" w:after="240"/>
        <w:jc w:val="both"/>
        <w:rPr>
          <w:rFonts w:ascii="Times New Roman" w:hAnsi="Times New Roman"/>
          <w:sz w:val="20"/>
        </w:rPr>
      </w:pPr>
      <w:r>
        <w:rPr>
          <w:rFonts w:ascii="Times New Roman" w:hAnsi="Times New Roman"/>
          <w:color w:val="000000"/>
          <w:sz w:val="24"/>
        </w:rPr>
        <w:t>Nothing contained in the Plan shall be construed to limit the right of the Administrator to grant Awards under the Plan in connection with the acquisition by the Company, whether by purchase, merger, consolidation, or other corporate transaction, of the business or assets of any corporation or other entity. Without limiting the foregoing, the Administrator may grant Awards under the Plan to an employee, consultant, or director of another company who becomes eligible to participate in the Plan by reason of any such business transaction in substitution for awards previously granted by such corporation or entity to such person. The terms and conditions of the substitute Awards may vary from the terms and conditions that would otherwise be required by the Plan solely to the extent the Administrator deems necessary for such purpose. Any Shares subject to these substitute Awards shall not be counted against any of the maximum share limitations set forth in Section 3 (Stock Subject to the Plan).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 Rights of a Stockholder</w:t>
      </w:r>
    </w:p>
    <w:p>
      <w:pPr>
        <w:pStyle w:val="TextBody"/>
        <w:bidi w:val="0"/>
        <w:spacing w:before="0" w:after="240"/>
        <w:jc w:val="both"/>
        <w:rPr>
          <w:rFonts w:ascii="Times New Roman" w:hAnsi="Times New Roman"/>
          <w:sz w:val="20"/>
        </w:rPr>
      </w:pPr>
      <w:r>
        <w:rPr>
          <w:rFonts w:ascii="Times New Roman" w:hAnsi="Times New Roman"/>
          <w:color w:val="000000"/>
          <w:sz w:val="24"/>
        </w:rPr>
        <w:t>A Grantee shall have no rights as a shareholder with respect to the Shares covered by an Award until the date the Grantee becomes the holder of record of such Shares. No adjustment shall be made for dividends or other rights for which the record date is prior to such date, except as provided by the Administrator.</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 Fractional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any fractional Share resulting from the grant, vesting, payment, exercise of an Award (including the withholding of Shares to satisfy tax withholding requirements), or crediting of dividends under an Award, the Administrator shall have the full discretionary authority to (i) disregard such fractional Share, (ii) round such fractional Share to the nearest lower whole Share, or (iii) convert such fractional Share into a right to receive a cash payment.</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 Leaves of Absence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Administrator shall have the discretion to determine at any time whether and to what extent the vesting of an Award (or lapsing of the Company’s repurchase rights) shall be tolled during any leave of absence or other inactive status;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that in the absence of such determination, vesting of Awards (or lapsing of the Company’s repurchase rights) shall continue during any paid leave and shall be tolled during any unpaid leave during which a Grantee’s Continuous Service is uninterrupted (unless otherwise required by law, including the Uniform Services Employment and Reemployment Rights Act with respect to military leave).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Options and SARs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 General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Administrator may grant Options and SARs under the Plan and determine the number of Shares to be covered by each Option and/or SAR; the exercise price; and such other terms, conditions, and limitations applicable to the exercise of each Option and/or SAR, as it deems necessary or advisable. Subject to Section 7(g) (Annual Limit on Incentive Stock Options), Options granted under the Plan may be either Incentive Stock Options or Non-Qualified Stock Options. To the extent that any Option does not qualify as an Incentive Stock Option, it shall be a Non-Qualified Stock Option.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 Exercise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exercise price per Share subject to an Option or SAR shall be determined by the Administrator at the time of grant but shall not be less than 100% of the Fair Market Value on the date of grant, unless the Board expressly determines otherwise and such Option or SAR complies with applicable law, including section 409A of the Code to the extent applicable. If an Employee owns or is deemed to own (by reason of the attribution rules of section 424(d) of the Code) more than 10% of the combined voting power of all classes of stock of the Company or any Subsidiary or Parent, and an Incentive Stock Option is granted to such Employee, the exercise price of such Incentive Stock Option shall not be less than 110% of the Fair Market Value on the grant date. Notwithstanding the foregoing, Options may be granted with a per Share exercise price, other than as required above, as a substitution for a stock option or stock appreciation right in accordance with and pursuant to section 424 of the Code, in the case of an Incentive Stock Option, and pursuant to section 409A of the Code, in the case of a Non-Qualified Stock Option.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 Term of Options and SARs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term of each Option and SAR shall be fixed by the Administrator and set forth in the Award Agreement;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no Option or SAR shall be exercisable after the day immediately preceding the tenth anniversary of the date of grant. If an Employee owns or is deemed to own (by reason of the attribution rules of section 424(d) of the Code) more than 10% of the combined voting power of all classes of stock of the Company or any Subsidiary or Parent, and an Incentive Stock Option is granted to such Employee, such Option shall not be exercisable after the day immediately preceding the fifth anniversary of the date of grant. In accordance with section 422 of the Code, to the extent any Incentive Stock Option is exercised later than three (3) months after the Employee ceases to be employed by the Company or any Subsidiary, except in the case of death or Disability, it will be a Non-Qualified Stock Option.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 Exercisability; Rights of a Stockholder</w:t>
      </w:r>
    </w:p>
    <w:p>
      <w:pPr>
        <w:pStyle w:val="TextBody"/>
        <w:bidi w:val="0"/>
        <w:spacing w:before="0" w:after="240"/>
        <w:jc w:val="both"/>
        <w:rPr>
          <w:rFonts w:ascii="Times New Roman" w:hAnsi="Times New Roman"/>
          <w:sz w:val="20"/>
        </w:rPr>
      </w:pPr>
      <w:r>
        <w:rPr>
          <w:rFonts w:ascii="Times New Roman" w:hAnsi="Times New Roman"/>
          <w:color w:val="000000"/>
          <w:sz w:val="24"/>
        </w:rPr>
        <w:t>Subject to Section 7(i) (Non-Exempt Employees), Options and SARs shall become vested and/or exercisable at such time or times, whether or not in installments, as shall be determined by the Administrator and set forth in the applicable Award Agreement;</w:t>
      </w:r>
      <w:r>
        <w:rPr>
          <w:rFonts w:ascii="Times New Roman" w:hAnsi="Times New Roman"/>
          <w:color w:val="000000"/>
          <w:sz w:val="20"/>
        </w:rPr>
        <w:t xml:space="preserve">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that the Administrator may at any time accelerate the vesting and/or exercisability of all or any portion of any Option or SAR. If the Administrator determines appropriate for the orderly administration of the Plan, the Administrator shall have the authority to designate a time or times during which otherwise exercisable Options or SARs may not be exercised. A Grantee shall have the rights of a stockholder only as to Shares acquired upon the exercise of an Option or SAR in accordance with the Plan and applicable Award Agreement (and not as to Shares underlying an unexercised Option or SAR) and the entry of such Grantee’s name as a stockholder in the books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 Exercise of Options and SARs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Options and SARs may be exercised in whole or in part by delivery to the Company of a written notice of exercise in such form of notice (including electronic notice) and manner of delivery as is specified by the Administrator, together with payment in full as specified in Section 7(f) (Payment Upon Exercise) for the number of Shares for which the Option or SAR is exercised. Shares subject to the Option or SAR will be delivered by the Company as soon as practicable following exercise. The Administrator may specify a reasonable minimum number of Shares with respect to which an Option or SAR may be exercised;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minimum number will not prevent the Grantee from exercising the Option or SAR with respect to the full number of Shares with respect to which it is then exercisable. If someone other than the Grantee exercises an Option or SAR, then such person must submit documentation reasonably acceptable to the Company verifying that such person has the legal right to exercise the Option or SAR. Notwithstanding the foregoing, SARs may be settled in any form specified by the Administrator in the Award Agreement, including, but not limited to, the delivery of Shares, cash, or a combination of cash and Shares as deemed appropriate by the Administrator.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 Payment Upon Exercise</w:t>
      </w:r>
    </w:p>
    <w:p>
      <w:pPr>
        <w:pStyle w:val="TextBody"/>
        <w:bidi w:val="0"/>
        <w:spacing w:before="0" w:after="240"/>
        <w:jc w:val="both"/>
        <w:rPr>
          <w:rFonts w:ascii="Times New Roman" w:hAnsi="Times New Roman"/>
          <w:sz w:val="20"/>
        </w:rPr>
      </w:pPr>
      <w:r>
        <w:rPr>
          <w:rFonts w:ascii="Times New Roman" w:hAnsi="Times New Roman"/>
          <w:color w:val="000000"/>
          <w:sz w:val="24"/>
        </w:rPr>
        <w:t>No Shares or other consideration shall be delivered pursuant to any exercise of an Option or SAR until payment in full of all required tax withholding, and in the case of an Option, the aggregate exercise price. The consideration to be paid for the Shares to be issued upon exercise of an Option, including the method of payment, shall be determined by the Administrator (and, in the case of an Incentive Stock Option and to the extent required by applicable law, shall be determined at the time of grant) and may consist of: (1) cash; (2) check; (3) to the extent permitted under applicable law, delivery of a promissory note with such recourse, interest, security, redemption, and other provisions as the Administrator determines to be appropriate (subject to the provisions of section 153 of the Delaware General Corporation Law</w:t>
      </w:r>
      <w:r>
        <w:rPr>
          <w:rFonts w:ascii="Times New Roman" w:hAnsi="Times New Roman"/>
          <w:color w:val="000000"/>
          <w:sz w:val="20"/>
        </w:rPr>
        <w:t xml:space="preserve"> </w:t>
      </w:r>
      <w:r>
        <w:rPr>
          <w:rFonts w:ascii="Times New Roman" w:hAnsi="Times New Roman"/>
          <w:color w:val="000000"/>
          <w:sz w:val="24"/>
        </w:rPr>
        <w:t>and any other applicable law); (4) cancellation of indebtedness; (5) other previously owned Shares that have a Fair Market Value on the date of surrender equal to the aggregate exercise price of the Shares as to which the Option is exercised; (6) a Sell-to-Cover; (7) such other consideration and method of payment permitted under applicable law; or (8) any combination of the foregoing methods of payment. Notwithstanding anything to the contrary herein, unless the Administrator gives prior written approval, pursuant to Section 4(b)(vii), a Grantee shall not be entitled to satisfy the requirement of payment in full of any tax withholding, as set forth in this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7(f) (Payment Upon Exercise), through any Sell-to-Cover or “net exercise” arrangement. Payment instruments will be received subject to collection.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 Annual Limit on Incentive Stock 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Option shall be designated in the Award Agreement as either an Incentive Stock Option or a Non-Qualified Stock Option. However, notwithstanding such designation, to the extent that the aggregate Fair Market Value of the Shares with respect to which Incentive Stock Options are exercisable for the first time by the Grantee during any calendar year (under all plans of the Company and any Subsidiary or Parent) exceeds $100,000, such Options shall be treated as Non</w:t>
        <w:noBreakHyphen/>
        <w:t>Qualified Stock Options. For purposes of this Section 7(g) (Annual Limit on Incentive Stock Options), Incentive Stock Options shall be taken into account in the order in which they were granted. The Fair Market Value of the Shares shall be determined as of the time the Option with respect to such Shares is granted.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 Early Exercise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Award Agreement for an Option may, but need not, include a provision whereby the Grantee may elect at any time, while an Employee, Director, or Consultant, to exercise any part or all of the Option prior to full vesting or the vesting of such portion. Any unvested Shares received pursuant to such exercise may be subject to a repurchase right in favor of the Company or any Subsidiary or Parent or to any other restriction the Administrator determines to be appropriate.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 Non-Exempt Employees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 Option is granted to an Employee in the United States who is a non-exempt employee for purposes of the Fair Labor Standards Act of 1938, as amended, the Option will not be first exercisable until at least six (6) months following the date of grant of the Option (although the Option may vest prior to such date). Consistent with the provisions of the Worker Economic Opportunity Act, (i) if such non-exempt Employee dies or suffers a Disability, (ii) upon a Corporate Transaction, or (iii) upon the Grantee’s retirement (as such term may be defined in the applicable Award Agreement or the Grantee’s employment agreement, or, if no such definition exists, in accordance with the Company’s then current employment policies and guidelines), the vested portion of any Options held by such employee may be exercised earlier than six (6) months following the date of grant. The foregoing provision is intended to operate so that any income derived by a non-exempt Employee in connection with the exercise or vesting of an Option will be exempt from his or her regular rate of pay. To the extent permitted and/or required for compliance with the Worker Economic Opportunity Act to ensure that any income derived by a non-exempt Employee in connection with the exercise, vesting, issuance of any Shares or other property, or payment of any cash under any other Award will be exempt from the Employee’s regular rate of pay, the provisions of this Section 7(i) (Non-Exempt Employees) will apply to all types of Awards.</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u w:val="single"/>
        </w:rPr>
        <w:t>Restricted Stock, Restricted Stock Units, and Unrestricted Stock</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 General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Administrator shall determine the terms and conditions of each Award Agreement for Restricted Stock, Restricted Stock Units, and Unrestricted Stock. Award Agreements for Restricted Stock and Restricted Stock Units shall include such restrictions as the Administrator may impose, which restrictions may lapse separately or in combination at such time or times, in such installments or otherwise, as the Administrator may deem appropriate.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 Stock Certificates</w:t>
      </w:r>
    </w:p>
    <w:p>
      <w:pPr>
        <w:pStyle w:val="TextBody"/>
        <w:bidi w:val="0"/>
        <w:spacing w:before="0" w:after="240"/>
        <w:jc w:val="both"/>
        <w:rPr>
          <w:rFonts w:ascii="Times New Roman" w:hAnsi="Times New Roman"/>
          <w:sz w:val="20"/>
        </w:rPr>
      </w:pPr>
      <w:r>
        <w:rPr>
          <w:rFonts w:ascii="Times New Roman" w:hAnsi="Times New Roman"/>
          <w:color w:val="000000"/>
          <w:sz w:val="24"/>
        </w:rPr>
        <w:t>The Company may require that any stock certificates issued in respect of Shares of Restricted Stock shall be deposited in escrow by the Grantee, together with a stock power endorsed in blank, with the Company (or its designee). Following the expiration of the applicable restriction periods, the Company (or such designee) shall deliver the certificates no longer subject to such restrictions to the Grantee or if the Grantee has died, to the Grantee’s beneficiary, determined in accordance with Section 26 (Beneficiaries).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 Forfeiture and the Option to Purchase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determined by the Administrator or by agreement between the Grantee and the Company or a Subsidiary or Parent, upon a Grantee’s termination of Continuous Service (as determined under criteria established by the Administrator) for any reason during the applicable restriction period, the Company (or its designee) shall have the right, but shall not be obligated, (i) to repurchase from the Grantee all or part of the Shares of Restricted Stock still subject to restriction at their issue price or other stated or formula price; or (ii) to require forfeiture of such Shares, if issued, at no cost.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 Rights as a Stockholder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Upon (i) the grant of an Award for Restricted Stock or for Unrestricted Stock or the settlement in Shares of Restricted Stock Units and (ii) payment of any applicable purchase price, the Grantee of such Award shall be entered as a stockholder on the books of the Company and considered the holder of record of such Shares. Without limiting the foregoing, the Grantee shall be entitled to (1) vote such Shares if, and to the extent, such Shares are entitled to voting rights, and (2) subject to Section 8(e) (Dividends; Dividend Equivalents), receive all dividends and any other distributions declared on such Shares;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Company is under no duty to declare any such dividends or to make any such distribution.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 Dividends; Dividend Equivalents</w:t>
      </w:r>
    </w:p>
    <w:p>
      <w:pPr>
        <w:pStyle w:val="TextBody"/>
        <w:bidi w:val="0"/>
        <w:spacing w:before="0" w:after="240"/>
        <w:jc w:val="both"/>
        <w:rPr>
          <w:rFonts w:ascii="Times New Roman" w:hAnsi="Times New Roman"/>
          <w:sz w:val="20"/>
        </w:rPr>
      </w:pPr>
      <w:r>
        <w:rPr>
          <w:rFonts w:ascii="Times New Roman" w:hAnsi="Times New Roman"/>
          <w:color w:val="000000"/>
          <w:sz w:val="24"/>
        </w:rPr>
        <w:t>Grantees who hold Restricted Stock shall be entitled to receive all dividends and other distributions paid with respect to those shares of Restricted Stock, unless determined otherwise by the Administrator. The Administrator will determine whether any such dividends or distributions will be automatically reinvested in additional shares of Restricted Stock and/or subject to the same restrictions on transferability as the Restricted Stock with respect to which they were distributed or whether such dividends or distributions will be paid in cash. The Administrator may, but need not,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provide in the Award Agreement for Restricted Stock Units that the Company will pay or accrue dividend equivalents with respect to such Restricted Stock Units on each date dividends on Common Stock are paid prior to the settlement of the Restricted Stock Units, subject to such conditions as the Administrator may deem appropriate. The time and form of any such payment of dividend equivalents shall be specified in the Award Agreement.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 Settlement of Restricted Stock Units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Restricted Stock Units may be settled in any form specified by the Administrator in the Award Agreement, including, but not limited to, the delivery of Shares, cash, or a combination of cash and Shares as deemed appropriate by the Administrator. At the time of grant, the Administrator may determine to impose such restrictions or conditions that delay such delivery to a date following the vesting of the Restricted Stock Units.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Performance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Performance Awards subject to vesting or payment based on the achievement of Performance Goals may be granted under the Plan. The Administrator shall determine the terms and conditions of the Performance Awards, including the number of Shares covered by the Award, the duration of the Performance Period, whether the Performance Award will be paid in Shares, other property, cash, or a combination of the forgoing, and any other terms and conditions. In all cases, the Administrator may condition the vesting or value of an Award upon the achievement of Performance Goals; any such Award shall constitute a Performance Award for purpose of this Plan. At the expiration of the Performance Period, the Administrator shall evaluate the Performance Award holder’s and/or the Company’s performance in light of any Performance Goals for such Performance Award, and shall determine the number of Shares (or other applicable payment measures) which have been earned. Each Performance Award shall be subject to an Award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Other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 Other Stock-Based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provisions of the Plan, the Administrator may grant other Awards that are valued in whole or in part by reference to, or are otherwise based upon, Common Stock. Such Awards may be granted either alone or in conjunction with other Awards granted under the Plan. Each such Award shall be confirmed by, and subject to, the terms of an Award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 Cash Incentive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provisions of the Plan, the Administrator may grant Awards that are payable only in cash. The Administrator shall determine the terms and conditions of each such cash incentive Award and each such Award shall be confirmed by, and subject to, the terms of an Award Agreement.</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u w:val="single"/>
        </w:rPr>
        <w:t>General Provisions Applicable to Awards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 Transferability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Awards shall not be sold, assigned, transferred, pledged, or otherwise encumbered by the person to whom they are granted, either voluntarily or by operation of law, and may be exercised, during the lifetime of the Grantee, only by the Grantee. Notwithstanding the foregoing, the Administrator may provide, including in an Award Agreement, that the Award is transferable by will, by the laws of descent and distribution, or as permitted by applicable law. References to a Grantee, to the extent relevant in the context, shall include references to authorized transferees.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 Withholding and Tax</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Grantee must satisfy all applicable federal, state, local, and foreign or other income and employment tax withholding obligations before the Company will deliver stock certificates (or such other consideration payable pursuant to the Award) or otherwise recognize ownership of Shares under an Award. The Company may decide to satisfy the withholding obligations through additional withholding on salary or wages. If the Company elects not to or cannot withhold from other compensation, the Grantee must pay the Company the full amount, if any, required for withholding. If provided for in an Award or approved by the Administrator in its sole discretion, the Grantee may satisfy such tax obligations in whole or in part by (i) having a broker tender to the Company cash equal to the withholding obligations, or (ii) delivery of Shares, including Shares retained from the Award creating the tax obligation, valued at their Fair Market Value; </w:t>
      </w:r>
      <w:r>
        <w:rPr>
          <w:rFonts w:ascii="Times New Roman" w:hAnsi="Times New Roman"/>
          <w:i/>
          <w:color w:val="000000"/>
          <w:sz w:val="24"/>
        </w:rPr>
        <w:t>provided, however</w:t>
      </w:r>
      <w:r>
        <w:rPr>
          <w:rFonts w:ascii="Times New Roman" w:hAnsi="Times New Roman"/>
          <w:color w:val="000000"/>
          <w:sz w:val="24"/>
        </w:rPr>
        <w:t>, that except as otherwise provided by the Administrator,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must not be subject to any repurchase, forfeiture, unfulfilled vesting, or other similar requirements. The Grantee shall bear all taxes on all Awards and payments thereunder to the extent that no taxes are withheld, irrespective of whether withholding is required. The Company has no obligation to secure favorable tax treatment for any Grantee with respect to any Award or any payment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 Amendment of Awards and Award Agreements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Administrator may amend, modify, or terminate any outstanding Award and Award Agreement, at any time and for any reason. The Grantee’s consent to such action shall be required </w:t>
      </w:r>
      <w:r>
        <w:rPr>
          <w:rFonts w:ascii="Times New Roman" w:hAnsi="Times New Roman"/>
          <w:i/>
          <w:color w:val="000000"/>
          <w:sz w:val="24"/>
        </w:rPr>
        <w:t>unless</w:t>
      </w:r>
      <w:r>
        <w:rPr>
          <w:rFonts w:ascii="Times New Roman" w:hAnsi="Times New Roman"/>
          <w:color w:val="000000"/>
          <w:sz w:val="24"/>
        </w:rPr>
        <w:t>:</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(i) the Administrator determines that the action, taking into account any related action, would not materially and adversely affect the Grantee’s rights under the Plan;</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(ii) the change is permitted under Section 12(b) (Non-U.S. Grantees), Section 13 (Adjustments), Section 14 (Corporate Transactions), or Section 19 (Section 409A); or</w:t>
      </w:r>
    </w:p>
    <w:p>
      <w:pPr>
        <w:pStyle w:val="TextBody"/>
        <w:bidi w:val="0"/>
        <w:spacing w:before="0" w:after="200"/>
        <w:jc w:val="both"/>
        <w:rPr>
          <w:rFonts w:ascii="Times New Roman" w:hAnsi="Times New Roman"/>
          <w:sz w:val="20"/>
        </w:rPr>
      </w:pPr>
      <w:r>
        <w:rPr>
          <w:rFonts w:ascii="Times New Roman" w:hAnsi="Times New Roman"/>
          <w:color w:val="000000"/>
          <w:sz w:val="24"/>
        </w:rPr>
        <w:t>(iii) the Administrator determines that the action is required or advisable in order for the Company, the Plan, or the Award to satisfy any law or regulation or to meet the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requirements of or avoid adverse financial accounting consequences under any accounting standard.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 Trading Policy Restrictions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Option exercises and Awards under the Plan shall be subject to the Company’s insider trading policy, and such related restrictions, terms and conditions, or other policies as may be established by the Administrator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Conditions Upon Issuance of Shares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 Compliance with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the Awards thereunder, and the obligation of the Company to deliver Shares (or other consideration) under such Awards, shall be subject to all applicable foreign, federal, state, and local laws, rules, and regulations; stock exchange rules and regulations; and such approvals by any governmental or regulatory agency as may be required. The Company shall not be required to register in a Grantee’s name or deliver Shares prior to the completion of any registration or qualification of such Shares under any foreign, federal, state, or local law; or any ruling or regulation of any government body which the Administrator shall determine to be necessary or advisable. To the extent the Company is unable to or the Administrator deems it infeasible to obtain authority from any regulatory body having jurisdiction, which authority is deemed by the Company’s counsel to be necessary to the lawful issuance and sale of any Shares hereunder, the Company shall be relieved of any liability with respect to the failure to issue or sell such Shares as to which such requisite authority shall not have been obtained. No Option or SAR shall be exercisable and no Shares shall be issued and/or transferable under any other Award unless a registration statement with respect to the Common Stock underlying such Award is effective and current or the Company has determined that such registration is unnecessary. The Company shall have no obligation to effect any registration or qualification of the Shares under foreign, federal, state, or local laws, rules, or regulations.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 Non-U.S. Grantees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an Award is granted to or held by a Grantee who is employed or providing services outside the United States, the Administrator may, in its sole discretion, modify the provisions of the Plan (including any sub plan) or of such Award as they pertain to such individual to comply with applicable foreign law or to recognize differences in local law, currency, or tax policy. The Administrator may also impose conditions on the grant, issuance, exercise, vesting, settlement, or retention of Awards in order to comply with such foreign law and/or to minimize the Company’s obligations with respect to tax equalization for Grantees employed outside their home country.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Adjustments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of any stock split, reverse stock split, stock dividend, reorganization, recapitalization, combination or exchange of shares, reclassification of shares, spin-off, or other similar change in capitalization or event, or any dividend or distribution to holders of Shares other than an ordinary cash dividend, (i) the number and class of securities available under the Plan, including the ISO Limit, (ii) the number and class of securities and exercise price per Share of each outstanding Option and SAR, (iii) the number of Shares subject to and the repurchase price per Share </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subject to each outstanding Restricted Stock Award (or restricted Share arrangement pursuant to each “early exercised” Option) and Restricted Stock Unit Award, and (iv) the terms of each other outstanding Award may be equitably adjusted (or substituted Awards may be made, if applicable) in the manner determined by the Administrator;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w:t>
      </w:r>
      <w:r>
        <w:rPr>
          <w:color w:val="000000"/>
        </w:rPr>
        <w:t xml:space="preserve"> </w:t>
      </w:r>
      <w:r>
        <w:rPr>
          <w:rFonts w:ascii="Times New Roman" w:hAnsi="Times New Roman"/>
          <w:color w:val="000000"/>
          <w:sz w:val="24"/>
        </w:rPr>
        <w:t>that each adjustment to Non-Qualified Stock Options or SARs shall satisfy the requirements of Treas. Reg. § 1.409A-1(b)(5)(v)(D) and each adjustment to Incentive Stock Options shall satisfy the requirements of Treas. Reg. § 1.424-1.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If a majority of the shares that are of the same class as the shares that are subject to the Award are exchanged by whatever means for, converted into, or otherwise become (whether or not pursuant to a Corporate Transaction) shares of another corporation (the “</w:t>
      </w:r>
      <w:r>
        <w:rPr>
          <w:rFonts w:ascii="Times New Roman" w:hAnsi="Times New Roman"/>
          <w:color w:val="000000"/>
          <w:sz w:val="24"/>
          <w:u w:val="single"/>
        </w:rPr>
        <w:t>New Shares</w:t>
      </w:r>
      <w:r>
        <w:rPr>
          <w:color w:val="000000"/>
        </w:rPr>
        <w:t>”</w:t>
      </w:r>
      <w:r>
        <w:rPr>
          <w:rFonts w:ascii="Times New Roman" w:hAnsi="Times New Roman"/>
          <w:color w:val="000000"/>
          <w:sz w:val="24"/>
        </w:rPr>
        <w:t>), the Board may unilaterally amend the Award to provide that the Award is for New Shares. In the event of any such amendment, the number of shares subject to the Award shall be adjusted in accordance with Section 13(a).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adjustments made under this Section 13 (Adjustments) shall be made in a manner that does not adversely affect the exemption provided pursuant to Rule 16b-3.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Corporate Transactions</w:t>
      </w:r>
    </w:p>
    <w:p>
      <w:pPr>
        <w:pStyle w:val="TextBody"/>
        <w:bidi w:val="0"/>
        <w:spacing w:before="0" w:after="240"/>
        <w:jc w:val="both"/>
        <w:rPr>
          <w:rFonts w:ascii="Times New Roman" w:hAnsi="Times New Roman"/>
          <w:sz w:val="20"/>
        </w:rPr>
      </w:pPr>
      <w:r>
        <w:rPr>
          <w:rFonts w:ascii="Times New Roman" w:hAnsi="Times New Roman"/>
          <w:b/>
          <w:color w:val="000000"/>
          <w:sz w:val="24"/>
        </w:rPr>
        <w:t>(a)</w:t>
      </w:r>
      <w:r>
        <w:rPr>
          <w:rFonts w:ascii="Times New Roman" w:hAnsi="Times New Roman"/>
          <w:color w:val="000000"/>
          <w:sz w:val="20"/>
        </w:rPr>
        <w:t xml:space="preserve"> </w:t>
      </w:r>
      <w:r>
        <w:rPr>
          <w:rFonts w:ascii="Times New Roman" w:hAnsi="Times New Roman"/>
          <w:color w:val="000000"/>
          <w:sz w:val="24"/>
        </w:rPr>
        <w:t>The Administrator may provide, in its sole discretion, with respect to the treatment of each outstanding Award (either separately for each Award (or portion of Award) or uniformly for all Awards), upon the consummation of a Corporate Transaction, for any combination of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any or all outstanding Options and SARs shall become vested and immediately exercisable, in whole or in part;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any or all outstanding Restricted Stock or Restricted Stock Units shall become non-forfeitable, in whole or in part;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any Option or SAR shall be assumed by the surviving or successor company or canceled in exchange for substitute stock options or stock appreciation rights in a manner consistent with the requirements of Treas. Reg. § 1.409A-1(b)(5)(v)(D), in the case of a Non-Qualified Stock Option or SAR, and Treas. Reg. § 1.424-1(a), in the case of an Incentive Stock Option; any substitute stock option or stock appreciation right shall be vested to the extent the assumed Option or SAR was vested and, to the extent unvested, shall be subject to the same vesting schedule;</w:t>
      </w:r>
    </w:p>
    <w:p>
      <w:pPr>
        <w:pStyle w:val="TextBody"/>
        <w:bidi w:val="0"/>
        <w:spacing w:before="0" w:after="240"/>
        <w:jc w:val="both"/>
        <w:rPr>
          <w:rFonts w:ascii="Times New Roman" w:hAnsi="Times New Roman"/>
          <w:sz w:val="20"/>
        </w:rPr>
      </w:pPr>
      <w:r>
        <w:rPr>
          <w:rFonts w:ascii="Times New Roman" w:hAnsi="Times New Roman"/>
          <w:color w:val="000000"/>
          <w:sz w:val="24"/>
        </w:rPr>
        <w:t>(iv) any Option or SAR shall be canceled in exchange for cash and/or other substitute consideration with a value equal to (A) the number of Shares subject thereto, multiplied by (B) the difference, if any, between the Fair Market Value per Share on the date of the Corporate Transaction or the per share consideration payable to the Company’s stockholders in the Corporate Transaction (such per share consideration, the “</w:t>
      </w:r>
      <w:r>
        <w:rPr>
          <w:rFonts w:ascii="Times New Roman" w:hAnsi="Times New Roman"/>
          <w:color w:val="000000"/>
          <w:sz w:val="24"/>
          <w:u w:val="single"/>
        </w:rPr>
        <w:t>Transaction Consideration</w:t>
      </w:r>
      <w:r>
        <w:rPr>
          <w:rFonts w:ascii="Times New Roman" w:hAnsi="Times New Roman"/>
          <w:color w:val="000000"/>
          <w:sz w:val="20"/>
        </w:rPr>
        <w:t>”</w:t>
      </w:r>
      <w:r>
        <w:rPr>
          <w:rFonts w:ascii="Times New Roman" w:hAnsi="Times New Roman"/>
          <w:color w:val="000000"/>
          <w:sz w:val="24"/>
        </w:rPr>
        <w:t xml:space="preserve">) and the exercise price per Share of that Option or SAR; </w:t>
      </w:r>
      <w:r>
        <w:rPr>
          <w:rFonts w:ascii="Times New Roman" w:hAnsi="Times New Roman"/>
          <w:i/>
          <w:color w:val="000000"/>
          <w:sz w:val="24"/>
        </w:rPr>
        <w:t>provided</w:t>
      </w:r>
      <w:r>
        <w:rPr>
          <w:rFonts w:ascii="Times New Roman" w:hAnsi="Times New Roman"/>
          <w:color w:val="000000"/>
          <w:sz w:val="24"/>
        </w:rPr>
        <w:t>, that if the Fair Market Value per Share on the date of the Corporate Transaction or the Transaction Consideration does not exceed such exercise price, the Administrator may cancel that Option or SAR without any payment of consideration therefor;</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any Restricted Stock or Restricted Stock Unit shall be assumed by the successor corporation or canceled in exchange for restricted stock or restricted stock units in respect of the capital stock of any successor corporation;</w:t>
      </w:r>
    </w:p>
    <w:p>
      <w:pPr>
        <w:pStyle w:val="TextBody"/>
        <w:bidi w:val="0"/>
        <w:spacing w:before="0" w:after="240"/>
        <w:jc w:val="both"/>
        <w:rPr>
          <w:rFonts w:ascii="Times New Roman" w:hAnsi="Times New Roman"/>
          <w:sz w:val="20"/>
        </w:rPr>
      </w:pPr>
      <w:r>
        <w:rPr>
          <w:rFonts w:ascii="Times New Roman" w:hAnsi="Times New Roman"/>
          <w:color w:val="000000"/>
          <w:sz w:val="24"/>
        </w:rPr>
        <w:t>(vi) any Restricted Stock shall be redeemed for cash and/or other substitute consideration with a value equal to (i) the Fair Market Value of an unrestricted Share on the date of the Corporate Transaction or (ii) the Transaction Consideration;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any Restricted Stock Unit shall, subject to Section 19 (Section 409A), be canceled in exchange for cash and/or other substitute consideration with a value equal to (i) the Fair Market Value per Share on the date of the Corporate Transaction or (ii) the Transaction Consideration; and/or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to the extent allowed under applicable law, such other modifications, substitutions, adjustments, or amendments to outstanding awards or the Plan as the Administrator deems necessary or appropriate.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(b) </w:t>
      </w:r>
      <w:r>
        <w:rPr>
          <w:rFonts w:ascii="Times New Roman" w:hAnsi="Times New Roman"/>
          <w:color w:val="000000"/>
          <w:sz w:val="24"/>
        </w:rPr>
        <w:t xml:space="preserve">Subject to section 409A of the Code, in the event that an Award is treated as provided for in Section 14(a)(iv), 14(a)(vi), or 14(a)(vii), such payment may be made in installments and may be deferred until the date or dates the Award would have become exercisable or vested. Such payment may be subject to vesting based on the Grantee’s continued service;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vesting schedule shall not be less favorable to the Grantee than the schedule under which the Award would have become vested or exercisable. For this purpose, the Fair Market Value of any security shall be determined without regard to any vesting conditions that may apply to such security.</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(c) </w:t>
      </w:r>
      <w:r>
        <w:rPr>
          <w:rFonts w:ascii="Times New Roman" w:hAnsi="Times New Roman"/>
          <w:color w:val="000000"/>
          <w:sz w:val="24"/>
        </w:rPr>
        <w:t>In the event a successor or acquiring corporation (if any) does not assume, convert, replace, or substitute Awards, as provided in this Section 14 (Corporate Transactions), pursuant to a Corporate Transaction, then notwithstanding any other provision in this Plan to the contrary, such Awards shall have their vesting accelerate as to all shares subject to such Awards (and any applicable right of repurchase fully lapse) immediately prior to the Corporate Transaction. In addition, in the event such successor or acquiring corporation (if any) does not assume, convert, replace, or substitute any Option or SAR, as provided above (including as provided for in Section 14(a)(iv)), pursuant to a Corporate Transaction, the Administrator will notify the Grantee in writing or electronically that such Award will be exercisable for a period of time determined by the Administrator in its sole discretion, and such Award will terminate upon the expiration of such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(d) </w:t>
      </w:r>
      <w:r>
        <w:rPr>
          <w:rFonts w:ascii="Times New Roman" w:hAnsi="Times New Roman"/>
          <w:color w:val="000000"/>
          <w:sz w:val="24"/>
        </w:rPr>
        <w:t>In taking any of the actions permitted under this Section 14 (Corporate Transactions), the Administrator shall not be obligated to treat all Grantees, all Awards, all Awards held by a Grantee, all portions of a single Award, or all Awards of the same type identically. Any substitute consideration issued to a Grantee pursuant to this Section 14 (Corporate Transactions) may include, to the extent determined by the Administrator, the right to receive consideration payable in the Corporate Transaction after the closing (</w:t>
      </w:r>
      <w:r>
        <w:rPr>
          <w:rFonts w:ascii="Times New Roman" w:hAnsi="Times New Roman"/>
          <w:i/>
          <w:color w:val="000000"/>
          <w:sz w:val="24"/>
        </w:rPr>
        <w:t>e.g.</w:t>
      </w:r>
      <w:r>
        <w:rPr>
          <w:rFonts w:ascii="Times New Roman" w:hAnsi="Times New Roman"/>
          <w:color w:val="000000"/>
          <w:sz w:val="24"/>
        </w:rPr>
        <w:t xml:space="preserve">, in respect of an earn-out or escrow release); </w:t>
      </w:r>
      <w:r>
        <w:rPr>
          <w:rFonts w:ascii="Times New Roman" w:hAnsi="Times New Roman"/>
          <w:i/>
          <w:color w:val="000000"/>
          <w:sz w:val="24"/>
        </w:rPr>
        <w:t xml:space="preserve">provided </w:t>
      </w:r>
      <w:r>
        <w:rPr>
          <w:rFonts w:ascii="Times New Roman" w:hAnsi="Times New Roman"/>
          <w:color w:val="000000"/>
          <w:sz w:val="24"/>
        </w:rPr>
        <w:t>that, except to the extent the Administrator determines otherwise, any substitute consideration will be structured to avoid adverse tax consequences under section 409A of the Code (including pursuant to Treas. Reg. § 1.409A-3(i)(5)(iv)).</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(e) </w:t>
      </w:r>
      <w:r>
        <w:rPr>
          <w:rFonts w:ascii="Times New Roman" w:hAnsi="Times New Roman"/>
          <w:color w:val="000000"/>
          <w:sz w:val="24"/>
        </w:rPr>
        <w:t>As a condition to the receipt of an Award under this Plan, a Grantee will be deemed to have agreed that the Award will be subject to the terms of any agreement governing a Corporate Transaction involving the Company, including a provision for the appointment of a stockholder representative that is authorized to act on the Grantee’s behalf with respect to any escrow, indemnities, and/or contingent consideration.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Dissolution or Liquidation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Section 14 (Corporate Transactions), in the event of the winding up, dissolution, or liquidation of the Company, the Administrator will notify each Grantee, to the extent practicable, prior to the effective date of such proposed transaction. To the extent it has not been previously exercised or settled, an Award will terminate immediately prior to the consummation of such transaction, unless otherwise determined by the Administrator.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Effective Date and Term of Plan; Stockholder Approval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 Effective Date and Term of Plan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Plan was approved and adopted by the Board on April 14, 2026, and shall become effective on the day prior to the Public Trading Date and shall continue in effect until the day immediately preceding the ten-year anniversary of thereof, unless sooner terminated;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no Incentive Stock Options shall be granted following the ten-year anniversary of the earlier of (i) the effective date of the Board’s most recent adoption of the Plan or (ii) the most recent date the Company’s stockholders approve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 Stockholder Approval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Option or SAR granted under the Plan may be exercised, no Shares shall be issued under the Plan, and no Restricted Stock Unit shall be settled, until the Plan is approved by the Company’s stockholders. If such stockholder approval is not obtained within twelve (12) months after the date of the Board’s adoption of the Plan, then all Awards previously granted under the Plan shall immediately and automatically terminate and cease to be outstanding, and no further Awards shall be granted under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Amendment, Suspension, or Termination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General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Subject to the terms of the Plan, the Board may at any time and from time to time, alter, amend, suspend, or terminate the Plan, in whole or in part;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Board shall obtain stockholder approval of any Plan amendment to the extent necessary to comply with applicable law, rule, or regulation. In addition, in no event shall an amendment increase the maximum number of shares of Common Stock with respect to which Awards may be granted under the Plan without stockholder approval.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Limitation on Grants of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Award may be granted during any suspension of the Plan or after termination or expiration of the Plan, but Awards previously granted may extend beyond that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No Effect on Outstanding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set forth in Section 16(b) (Stockholder Approval), no suspension or termination of the Plan shall materially adversely affect any rights under Awards outstanding at the time of such suspension or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No Employment or Services Rights; Other Compensation and Benefits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Neither the Plan not any Award Agreement shall confer upon any Grantee any right to employment or service with the Company or any Subsidiary or Parent, nor shall it interfere in any way with the right of the Company or any Subsidiary or Parent to terminate the Grantee’s employment or service at any time and for any reason, with or without cause.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(b) </w:t>
      </w:r>
      <w:r>
        <w:rPr>
          <w:rFonts w:ascii="Times New Roman" w:hAnsi="Times New Roman"/>
          <w:color w:val="000000"/>
          <w:sz w:val="24"/>
        </w:rPr>
        <w:t>The amount of any compensation deemed to be received by a Grantee pursuant to an Award shall not constitute includable compensation for purposes of determining the amount of benefits to which the Grantee is entitled under any other compensation or benefit plan or program of the Company or any Subsidiary or Parent, including under any bonus, pension, profit-sharing, life insurance, salary continuation, or severance benefits plan, except to the extent specifically provided by the terms of any such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 xml:space="preserve">Section 409A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It is intended that the provisions of the Plan avoid the adverse consequences under section 409A of the Code, and all provisions of the Plan and Award Agreements shall be construed and interpreted in a manner consistent with that intent.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(b) </w:t>
      </w:r>
      <w:r>
        <w:rPr>
          <w:rFonts w:ascii="Times New Roman" w:hAnsi="Times New Roman"/>
          <w:color w:val="000000"/>
          <w:sz w:val="24"/>
        </w:rPr>
        <w:t>No Grantee, or creditors, or beneficiaries of a Grantee, shall have the right to subject any deferred compensation (within the meaning of and subject to section 409A of the Code) payable under the Plan to any anticipation, alienation, sale, transfer, assignment, pledge, encumbrance, attachment, or garnishment, except as required by applicable law. Except as permitted under section 409A of the Code, any deferred compensation (within the meaning of and subject to section 409A of the Code) payable to any Grantee or for the benefit of any Grantee under the Plan may not be reduced by, or offset against, any amount owing by any such Grantee to the Company or any Subsidiary or Parent.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(c) </w:t>
      </w:r>
      <w:r>
        <w:rPr>
          <w:rFonts w:ascii="Times New Roman" w:hAnsi="Times New Roman"/>
          <w:color w:val="000000"/>
          <w:sz w:val="24"/>
        </w:rPr>
        <w:t>If an Award is subject to section 409A of the Code and payment is due upon a termination of employment, payment shall be made upon a separation from service within the meaning of section 409A of the Code.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(d) </w:t>
      </w:r>
      <w:r>
        <w:rPr>
          <w:rFonts w:ascii="Times New Roman" w:hAnsi="Times New Roman"/>
          <w:color w:val="000000"/>
          <w:sz w:val="24"/>
        </w:rPr>
        <w:t>If, at the time of a Grantee’s separation from service (within the meaning of section 409A of the Code), (i) such Grantee is a specified employee (within the meaning of section 409A of the Code), and (ii) an amount payable pursuant to an Award constitutes nonqualified deferred compensation (within the meaning of section 409A of the Code) the payment of which is required to be delayed pursuant to the six</w:t>
        <w:noBreakHyphen/>
        <w:t>month delay rule set forth in section 409A of the Code in order to avoid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taxes or penalties under section 409A of the Code, then the Company shall not pay such amount on the otherwise scheduled payment date but shall instead pay it, without interest, on the first day of the seventh month following such separation from service.</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(e) </w:t>
      </w:r>
      <w:r>
        <w:rPr>
          <w:rFonts w:ascii="Times New Roman" w:hAnsi="Times New Roman"/>
          <w:color w:val="000000"/>
          <w:sz w:val="24"/>
        </w:rPr>
        <w:t>Notwithstanding any provision of the Plan to the contrary, the Administrator reserves the right to make amendments to any Award as the Administrator deems necessary or desirable to avoid the imposition of taxes or penalties under section 409A of the Code. In any case, a Grantee shall be solely responsible and liable for the satisfaction of all taxes and penalties that may be imposed on a Grantee or for a Grantee’s account in connection with an Award (including any taxes and penalties under section 409A of the Code), and neither the Company nor any Subsidiary or Parent, or any other person or entity, shall have any obligation to indemnify or otherwise hold such Grantee harmless from any or all of such taxes or penalties.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Unfunded Status of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is intended to constitute an “unfunded” plan for incentive and deferred compensation. With respect to the portion of any Award that has not been exercised and any payments in cash, Shares, or other consideration not received by a Grantee, a Grantee shall have no rights greater than those of a general creditor of the Company unless the Administrator shall otherwise expressly so determine in connection with any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Electronic Signatures</w:t>
      </w:r>
    </w:p>
    <w:p>
      <w:pPr>
        <w:pStyle w:val="TextBody"/>
        <w:bidi w:val="0"/>
        <w:spacing w:before="0" w:after="200"/>
        <w:jc w:val="both"/>
        <w:rPr>
          <w:rFonts w:ascii="Times New Roman" w:hAnsi="Times New Roman"/>
          <w:color w:val="000000"/>
          <w:sz w:val="24"/>
        </w:rPr>
      </w:pPr>
      <w:r>
        <w:rPr>
          <w:rFonts w:ascii="Times New Roman" w:hAnsi="Times New Roman"/>
          <w:color w:val="000000"/>
          <w:sz w:val="24"/>
        </w:rPr>
        <w:t>For purposes of the Plan, a document shall be considered to be executed if signed electronically pursuant to procedures approved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u w:val="single"/>
        </w:rPr>
        <w:t>Clawback</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Awards (whether vested or unvested) shall be subject to the terms of the Company’s recoupment, clawback and/or similar policies, as such may be in effect from time to time, as well as any similar provisions of applicable law, which could in certain circumstances require repayment or forfeiture of Awards or any Shares or other cash or property received with respect to the Awards (including any value received from a disposition of the Shares acquired upon payment of the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Construction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 All references to sections of the Code shall include the relevant Treasury Regulation(s) thereunder, any successor to such regulation(s), and any Internal Revenue Service guidance that has been or may be promulgated thereunder from time to time. The word “include” shall mean to include, but not to be limited 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Severability</w:t>
      </w:r>
    </w:p>
    <w:p>
      <w:pPr>
        <w:pStyle w:val="TextBody"/>
        <w:bidi w:val="0"/>
        <w:spacing w:before="0" w:after="240"/>
        <w:jc w:val="both"/>
        <w:rPr>
          <w:rFonts w:ascii="Times New Roman" w:hAnsi="Times New Roman"/>
          <w:sz w:val="20"/>
        </w:rPr>
      </w:pPr>
      <w:r>
        <w:rPr>
          <w:rFonts w:ascii="Times New Roman" w:hAnsi="Times New Roman"/>
          <w:color w:val="000000"/>
          <w:sz w:val="24"/>
        </w:rPr>
        <w:t>If any provision of the Plan or any Award is, becomes, or is deemed to be invalid, illegal, or unenforceable in any jurisdiction or as to any Grantee, such provision shall be construed or deemed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amended to conform with applicable law, or if the provision cannot be so construed or deemed amended without, in the sole discretion of the Administrator, materially altering the intent of the Plan or the Award, such provision shall be severed as to the jurisdiction or the Grantee and the remainder of the Plan and any such Award shall remain in full force and effect.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Governing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validity and construction of the Plan and any Award Agreements thereunder shall be governed by the laws of the State of Delaware, excluding any conflicts or choice of law rules or principles that might otherwise refer construction or interpretation of any provision of the Plan or an Award Agreement to the substantive law of another jurisdiction.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26.</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Beneficiaries</w:t>
      </w:r>
    </w:p>
    <w:p>
      <w:pPr>
        <w:pStyle w:val="TextBody"/>
        <w:bidi w:val="0"/>
        <w:jc w:val="both"/>
        <w:rPr>
          <w:rFonts w:ascii="Times New Roman" w:hAnsi="Times New Roman"/>
          <w:sz w:val="20"/>
        </w:rPr>
      </w:pPr>
      <w:r>
        <w:rPr>
          <w:rFonts w:ascii="Times New Roman" w:hAnsi="Times New Roman"/>
          <w:color w:val="000000"/>
          <w:sz w:val="24"/>
        </w:rPr>
        <w:t>Unless stated otherwise in an Award Agreement, a Grantee may designate one or more beneficiaries with respect to an Award by timely filing the prescribed form with the Company. A beneficiary designation may be changed by filing the prescribed form with the Company at any time before the Grantee’s death. If no beneficiary was designated or if no designated beneficiary survives the Grantee, the designated beneficiary shall be the Grantee’s estate and after a Grantee’s death any vested Award(s) shall be transferred or distributed to the Grantee’s estate.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mallCaps/>
          <w:color w:val="000000"/>
          <w:sz w:val="24"/>
        </w:rPr>
      </w:pPr>
      <w:r>
        <w:rPr>
          <w:rFonts w:ascii="Times New Roman" w:hAnsi="Times New Roman"/>
          <w:smallCaps/>
          <w:color w:val="000000"/>
          <w:sz w:val="24"/>
        </w:rPr>
        <w:t>Odyssey Therapeutics, Inc. 2026 Long-Term Incentive Plan</w:t>
      </w:r>
    </w:p>
    <w:p>
      <w:pPr>
        <w:pStyle w:val="TextBody"/>
        <w:bidi w:val="0"/>
        <w:jc w:val="center"/>
        <w:rPr>
          <w:rFonts w:ascii="Times New Roman" w:hAnsi="Times New Roman"/>
          <w:smallCaps/>
          <w:color w:val="000000"/>
          <w:sz w:val="24"/>
        </w:rPr>
      </w:pPr>
      <w:r>
        <w:rPr>
          <w:rFonts w:ascii="Times New Roman" w:hAnsi="Times New Roman"/>
          <w:smallCaps/>
          <w:color w:val="000000"/>
          <w:sz w:val="24"/>
        </w:rPr>
        <w:t>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Employee SOA</w:t>
      </w:r>
    </w:p>
    <w:p>
      <w:pPr>
        <w:pStyle w:val="TextBody"/>
        <w:bidi w:val="0"/>
        <w:jc w:val="center"/>
        <w:rPr>
          <w:rFonts w:ascii="Times New Roman" w:hAnsi="Times New Roman"/>
          <w:b/>
          <w:color w:val="000000"/>
          <w:sz w:val="24"/>
        </w:rPr>
      </w:pPr>
      <w:r>
        <w:rPr>
          <w:rFonts w:ascii="Times New Roman" w:hAnsi="Times New Roman"/>
          <w:b/>
          <w:color w:val="000000"/>
          <w:sz w:val="24"/>
        </w:rPr>
        <w:t>ODYSSEY THERAPEUTICS, INC. 2026 LONG-TERM INCENTIVE PLAN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STOCK OPTION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Stock Option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between Odyssey Therapeutics,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the individual identified below as the “</w:t>
      </w:r>
      <w:r>
        <w:rPr>
          <w:rFonts w:ascii="Times New Roman" w:hAnsi="Times New Roman"/>
          <w:b/>
          <w:color w:val="000000"/>
          <w:sz w:val="24"/>
        </w:rPr>
        <w:t>Grantee</w:t>
      </w:r>
      <w:r>
        <w:rPr>
          <w:rFonts w:ascii="Times New Roman" w:hAnsi="Times New Roman"/>
          <w:color w:val="000000"/>
          <w:sz w:val="20"/>
        </w:rPr>
        <w:t xml:space="preserve">” </w:t>
      </w:r>
      <w:r>
        <w:rPr>
          <w:rFonts w:ascii="Times New Roman" w:hAnsi="Times New Roman"/>
          <w:color w:val="000000"/>
          <w:sz w:val="24"/>
        </w:rPr>
        <w:t>evidences the grant of a stock option (the “</w:t>
      </w:r>
      <w:r>
        <w:rPr>
          <w:rFonts w:ascii="Times New Roman" w:hAnsi="Times New Roman"/>
          <w:b/>
          <w:color w:val="000000"/>
          <w:sz w:val="24"/>
        </w:rPr>
        <w:t>Option</w:t>
      </w:r>
      <w:r>
        <w:rPr>
          <w:rFonts w:ascii="Times New Roman" w:hAnsi="Times New Roman"/>
          <w:color w:val="000000"/>
          <w:sz w:val="20"/>
        </w:rPr>
        <w:t>”</w:t>
      </w:r>
      <w:r>
        <w:rPr>
          <w:rFonts w:ascii="Times New Roman" w:hAnsi="Times New Roman"/>
          <w:color w:val="000000"/>
          <w:sz w:val="24"/>
        </w:rPr>
        <w:t>) under the Odyssey Therapeutics, Inc. 2026 Long-Term Incentive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xml:space="preserve">). This Agreement is subject to the terms of the Plan. To the extent that there is a conflict between the terms of this Agreement and the terms of the Plan, the terms of the Plan shall govern. </w:t>
      </w:r>
      <w:r>
        <w:rPr>
          <w:rFonts w:ascii="Times New Roman" w:hAnsi="Times New Roman"/>
          <w:b/>
          <w:color w:val="000000"/>
          <w:sz w:val="24"/>
        </w:rPr>
        <w:t>By signature below or by electronic acknowledgement of this Option through the online platform designated by the Company for delivery of this Agreement (any such platform, the “Online Platform”), the Grantee agrees to all of the terms and conditions described in this Agreement and in the Plan.</w:t>
      </w:r>
      <w:r>
        <w:rPr>
          <w:rFonts w:ascii="Times New Roman" w:hAnsi="Times New Roman"/>
          <w:color w:val="000000"/>
          <w:sz w:val="20"/>
        </w:rPr>
        <w:t xml:space="preserve">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NOTICE OF GRANT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14"/>
        <w:gridCol w:w="7091"/>
      </w:tblGrid>
      <w:tr>
        <w:trPr/>
        <w:tc>
          <w:tcPr>
            <w:tcW w:w="3114" w:type="dxa"/>
            <w:tcBorders/>
            <w:vAlign w:val="center"/>
          </w:tcPr>
          <w:p>
            <w:pPr>
              <w:pStyle w:val="TableContents"/>
              <w:bidi w:val="0"/>
              <w:spacing w:before="0" w:after="283"/>
              <w:jc w:val="left"/>
              <w:rPr>
                <w:sz w:val="4"/>
                <w:szCs w:val="4"/>
              </w:rPr>
            </w:pPr>
            <w:r>
              <w:rPr>
                <w:sz w:val="4"/>
                <w:szCs w:val="4"/>
              </w:rPr>
            </w:r>
          </w:p>
        </w:tc>
        <w:tc>
          <w:tcPr>
            <w:tcW w:w="7091" w:type="dxa"/>
            <w:tcBorders/>
            <w:vAlign w:val="center"/>
          </w:tcPr>
          <w:p>
            <w:pPr>
              <w:pStyle w:val="TableContents"/>
              <w:bidi w:val="0"/>
              <w:spacing w:before="0" w:after="283"/>
              <w:ind w:left="0" w:right="0" w:firstLine="29"/>
              <w:jc w:val="left"/>
              <w:rPr>
                <w:sz w:val="4"/>
                <w:szCs w:val="4"/>
              </w:rPr>
            </w:pPr>
            <w:r>
              <w:rPr>
                <w:sz w:val="4"/>
                <w:szCs w:val="4"/>
              </w:rPr>
            </w:r>
          </w:p>
        </w:tc>
      </w:tr>
      <w:tr>
        <w:trPr/>
        <w:tc>
          <w:tcPr>
            <w:tcW w:w="3114" w:type="dxa"/>
            <w:tcBorders>
              <w:top w:val="single" w:sz="4" w:space="0" w:color="000000"/>
              <w:left w:val="single" w:sz="4" w:space="0" w:color="000000"/>
              <w:bottom w:val="single" w:sz="4" w:space="0" w:color="000000"/>
              <w:right w:val="single" w:sz="4" w:space="0" w:color="000000"/>
            </w:tcBorders>
            <w:tcMar>
              <w:left w:w="43" w:type="dxa"/>
              <w:right w:w="43" w:type="dxa"/>
            </w:tcMar>
            <w:vAlign w:val="center"/>
          </w:tcPr>
          <w:p>
            <w:pPr>
              <w:pStyle w:val="TableContents"/>
              <w:bidi w:val="0"/>
              <w:spacing w:before="0" w:after="120"/>
              <w:ind w:left="0" w:right="0" w:firstLine="29"/>
              <w:jc w:val="left"/>
              <w:rPr>
                <w:rFonts w:ascii="Times New Roman" w:hAnsi="Times New Roman"/>
                <w:b/>
                <w:color w:val="000000"/>
                <w:sz w:val="24"/>
              </w:rPr>
            </w:pPr>
            <w:r>
              <w:rPr>
                <w:rFonts w:ascii="Times New Roman" w:hAnsi="Times New Roman"/>
                <w:b/>
                <w:color w:val="000000"/>
                <w:sz w:val="24"/>
              </w:rPr>
              <w:t>Name of Grantee (the “Grantee”)</w:t>
            </w:r>
          </w:p>
        </w:tc>
        <w:tc>
          <w:tcPr>
            <w:tcW w:w="7091" w:type="dxa"/>
            <w:tcBorders>
              <w:top w:val="single" w:sz="4" w:space="0" w:color="000000"/>
              <w:bottom w:val="single" w:sz="4" w:space="0" w:color="000000"/>
              <w:right w:val="single" w:sz="4" w:space="0" w:color="000000"/>
            </w:tcBorders>
            <w:tcMar>
              <w:left w:w="0" w:type="dxa"/>
              <w:right w:w="43" w:type="dxa"/>
            </w:tcMar>
            <w:vAlign w:val="center"/>
          </w:tcPr>
          <w:p>
            <w:pPr>
              <w:pStyle w:val="TableContents"/>
              <w:bidi w:val="0"/>
              <w:spacing w:before="0" w:after="120"/>
              <w:ind w:left="0" w:right="0" w:firstLine="29"/>
              <w:jc w:val="left"/>
              <w:rPr/>
            </w:pPr>
            <w:r>
              <w:rPr/>
              <w:t> </w:t>
            </w:r>
          </w:p>
        </w:tc>
      </w:tr>
      <w:tr>
        <w:trPr/>
        <w:tc>
          <w:tcPr>
            <w:tcW w:w="3114" w:type="dxa"/>
            <w:tcBorders>
              <w:left w:val="single" w:sz="4" w:space="0" w:color="000000"/>
              <w:bottom w:val="single" w:sz="4" w:space="0" w:color="000000"/>
              <w:right w:val="single" w:sz="4" w:space="0" w:color="000000"/>
            </w:tcBorders>
            <w:shd w:fill="F2F2F2" w:val="clear"/>
            <w:tcMar>
              <w:top w:w="0" w:type="dxa"/>
              <w:left w:w="43" w:type="dxa"/>
              <w:right w:w="43" w:type="dxa"/>
            </w:tcMar>
            <w:vAlign w:val="center"/>
          </w:tcPr>
          <w:p>
            <w:pPr>
              <w:pStyle w:val="TableContents"/>
              <w:bidi w:val="0"/>
              <w:spacing w:before="0" w:after="120"/>
              <w:ind w:left="0" w:right="0" w:firstLine="29"/>
              <w:jc w:val="left"/>
              <w:rPr>
                <w:rFonts w:ascii="Times New Roman" w:hAnsi="Times New Roman"/>
                <w:b/>
                <w:color w:val="000000"/>
                <w:sz w:val="24"/>
              </w:rPr>
            </w:pPr>
            <w:r>
              <w:rPr>
                <w:rFonts w:ascii="Times New Roman" w:hAnsi="Times New Roman"/>
                <w:b/>
                <w:color w:val="000000"/>
                <w:sz w:val="24"/>
              </w:rPr>
              <w:t>Address</w:t>
            </w:r>
          </w:p>
        </w:tc>
        <w:tc>
          <w:tcPr>
            <w:tcW w:w="7091" w:type="dxa"/>
            <w:tcBorders>
              <w:bottom w:val="single" w:sz="4" w:space="0" w:color="000000"/>
              <w:right w:val="single" w:sz="4" w:space="0" w:color="000000"/>
            </w:tcBorders>
            <w:shd w:fill="F2F2F2" w:val="clear"/>
            <w:tcMar>
              <w:top w:w="0" w:type="dxa"/>
              <w:left w:w="0" w:type="dxa"/>
              <w:right w:w="43" w:type="dxa"/>
            </w:tcMar>
            <w:vAlign w:val="center"/>
          </w:tcPr>
          <w:p>
            <w:pPr>
              <w:pStyle w:val="TableContents"/>
              <w:bidi w:val="0"/>
              <w:spacing w:before="0" w:after="120"/>
              <w:ind w:left="0" w:right="0" w:firstLine="29"/>
              <w:jc w:val="left"/>
              <w:rPr/>
            </w:pPr>
            <w:r>
              <w:rPr/>
              <w:t> </w:t>
            </w:r>
          </w:p>
        </w:tc>
      </w:tr>
      <w:tr>
        <w:trPr/>
        <w:tc>
          <w:tcPr>
            <w:tcW w:w="3114" w:type="dxa"/>
            <w:tcBorders>
              <w:left w:val="single" w:sz="4" w:space="0" w:color="000000"/>
              <w:bottom w:val="single" w:sz="4" w:space="0" w:color="000000"/>
              <w:right w:val="single" w:sz="4" w:space="0" w:color="000000"/>
            </w:tcBorders>
            <w:shd w:fill="F2F2F2" w:val="clear"/>
            <w:tcMar>
              <w:top w:w="0" w:type="dxa"/>
              <w:left w:w="43" w:type="dxa"/>
              <w:right w:w="43" w:type="dxa"/>
            </w:tcMar>
            <w:vAlign w:val="center"/>
          </w:tcPr>
          <w:p>
            <w:pPr>
              <w:pStyle w:val="TableContents"/>
              <w:bidi w:val="0"/>
              <w:spacing w:before="0" w:after="120"/>
              <w:ind w:left="0" w:right="0" w:firstLine="29"/>
              <w:jc w:val="left"/>
              <w:rPr>
                <w:rFonts w:ascii="Times New Roman" w:hAnsi="Times New Roman"/>
                <w:b/>
                <w:color w:val="000000"/>
                <w:sz w:val="24"/>
              </w:rPr>
            </w:pPr>
            <w:r>
              <w:rPr>
                <w:rFonts w:ascii="Times New Roman" w:hAnsi="Times New Roman"/>
                <w:b/>
                <w:color w:val="000000"/>
                <w:sz w:val="24"/>
              </w:rPr>
              <w:t>No. of Shares Subject to the Option (“Option Shares”)</w:t>
            </w:r>
          </w:p>
        </w:tc>
        <w:tc>
          <w:tcPr>
            <w:tcW w:w="7091" w:type="dxa"/>
            <w:tcBorders>
              <w:bottom w:val="single" w:sz="4" w:space="0" w:color="000000"/>
              <w:right w:val="single" w:sz="4" w:space="0" w:color="000000"/>
            </w:tcBorders>
            <w:shd w:fill="F2F2F2" w:val="clear"/>
            <w:tcMar>
              <w:top w:w="0" w:type="dxa"/>
              <w:left w:w="0" w:type="dxa"/>
              <w:right w:w="43" w:type="dxa"/>
            </w:tcMar>
            <w:vAlign w:val="center"/>
          </w:tcPr>
          <w:p>
            <w:pPr>
              <w:pStyle w:val="TableContents"/>
              <w:bidi w:val="0"/>
              <w:spacing w:before="0" w:after="120"/>
              <w:ind w:left="0" w:right="0" w:firstLine="29"/>
              <w:jc w:val="left"/>
              <w:rPr/>
            </w:pPr>
            <w:r>
              <w:rPr/>
              <w:t> </w:t>
            </w:r>
          </w:p>
        </w:tc>
      </w:tr>
      <w:tr>
        <w:trPr/>
        <w:tc>
          <w:tcPr>
            <w:tcW w:w="3114" w:type="dxa"/>
            <w:tcBorders>
              <w:left w:val="single" w:sz="4" w:space="0" w:color="000000"/>
              <w:bottom w:val="single" w:sz="4" w:space="0" w:color="000000"/>
              <w:right w:val="single" w:sz="4" w:space="0" w:color="000000"/>
            </w:tcBorders>
            <w:tcMar>
              <w:top w:w="0" w:type="dxa"/>
              <w:left w:w="43" w:type="dxa"/>
              <w:right w:w="43" w:type="dxa"/>
            </w:tcMar>
            <w:vAlign w:val="center"/>
          </w:tcPr>
          <w:p>
            <w:pPr>
              <w:pStyle w:val="TableContents"/>
              <w:bidi w:val="0"/>
              <w:spacing w:before="0" w:after="120"/>
              <w:ind w:left="0" w:right="0" w:firstLine="29"/>
              <w:jc w:val="left"/>
              <w:rPr>
                <w:rFonts w:ascii="Times New Roman" w:hAnsi="Times New Roman"/>
                <w:b/>
                <w:color w:val="000000"/>
                <w:sz w:val="24"/>
              </w:rPr>
            </w:pPr>
            <w:r>
              <w:rPr>
                <w:rFonts w:ascii="Times New Roman" w:hAnsi="Times New Roman"/>
                <w:b/>
                <w:color w:val="000000"/>
                <w:sz w:val="24"/>
              </w:rPr>
              <w:t>Exercise Price per Share (“Exercise Price”)</w:t>
            </w:r>
          </w:p>
        </w:tc>
        <w:tc>
          <w:tcPr>
            <w:tcW w:w="7091" w:type="dxa"/>
            <w:tcBorders>
              <w:bottom w:val="single" w:sz="4" w:space="0" w:color="000000"/>
              <w:right w:val="single" w:sz="4" w:space="0" w:color="000000"/>
            </w:tcBorders>
            <w:tcMar>
              <w:top w:w="0" w:type="dxa"/>
              <w:left w:w="0" w:type="dxa"/>
              <w:right w:w="43" w:type="dxa"/>
            </w:tcMar>
            <w:vAlign w:val="center"/>
          </w:tcPr>
          <w:p>
            <w:pPr>
              <w:pStyle w:val="TableContents"/>
              <w:bidi w:val="0"/>
              <w:spacing w:before="0" w:after="120"/>
              <w:ind w:left="0" w:right="0" w:firstLine="29"/>
              <w:jc w:val="left"/>
              <w:rPr/>
            </w:pPr>
            <w:r>
              <w:rPr/>
              <w:t> </w:t>
            </w:r>
          </w:p>
        </w:tc>
      </w:tr>
      <w:tr>
        <w:trPr/>
        <w:tc>
          <w:tcPr>
            <w:tcW w:w="3114" w:type="dxa"/>
            <w:tcBorders>
              <w:left w:val="single" w:sz="4" w:space="0" w:color="000000"/>
              <w:bottom w:val="single" w:sz="4" w:space="0" w:color="000000"/>
              <w:right w:val="single" w:sz="4" w:space="0" w:color="000000"/>
            </w:tcBorders>
            <w:shd w:fill="F2F2F2" w:val="clear"/>
            <w:tcMar>
              <w:top w:w="0" w:type="dxa"/>
              <w:left w:w="43" w:type="dxa"/>
              <w:right w:w="43" w:type="dxa"/>
            </w:tcMar>
            <w:vAlign w:val="center"/>
          </w:tcPr>
          <w:p>
            <w:pPr>
              <w:pStyle w:val="TableContents"/>
              <w:bidi w:val="0"/>
              <w:spacing w:before="0" w:after="120"/>
              <w:ind w:left="0" w:right="0" w:firstLine="29"/>
              <w:jc w:val="left"/>
              <w:rPr>
                <w:rFonts w:ascii="Times New Roman" w:hAnsi="Times New Roman"/>
                <w:b/>
                <w:color w:val="000000"/>
                <w:sz w:val="24"/>
              </w:rPr>
            </w:pPr>
            <w:r>
              <w:rPr>
                <w:rFonts w:ascii="Times New Roman" w:hAnsi="Times New Roman"/>
                <w:b/>
                <w:color w:val="000000"/>
                <w:sz w:val="24"/>
              </w:rPr>
              <w:t>Grant Date</w:t>
            </w:r>
          </w:p>
        </w:tc>
        <w:tc>
          <w:tcPr>
            <w:tcW w:w="7091" w:type="dxa"/>
            <w:tcBorders>
              <w:bottom w:val="single" w:sz="4" w:space="0" w:color="000000"/>
              <w:right w:val="single" w:sz="4" w:space="0" w:color="000000"/>
            </w:tcBorders>
            <w:shd w:fill="F2F2F2" w:val="clear"/>
            <w:tcMar>
              <w:top w:w="0" w:type="dxa"/>
              <w:left w:w="0" w:type="dxa"/>
              <w:right w:w="43" w:type="dxa"/>
            </w:tcMar>
            <w:vAlign w:val="center"/>
          </w:tcPr>
          <w:p>
            <w:pPr>
              <w:pStyle w:val="TableContents"/>
              <w:bidi w:val="0"/>
              <w:spacing w:before="0" w:after="120"/>
              <w:ind w:left="0" w:right="0" w:firstLine="29"/>
              <w:jc w:val="left"/>
              <w:rPr/>
            </w:pPr>
            <w:r>
              <w:rPr/>
              <w:t> </w:t>
            </w:r>
          </w:p>
        </w:tc>
      </w:tr>
      <w:tr>
        <w:trPr/>
        <w:tc>
          <w:tcPr>
            <w:tcW w:w="3114" w:type="dxa"/>
            <w:tcBorders>
              <w:left w:val="single" w:sz="4" w:space="0" w:color="000000"/>
              <w:bottom w:val="single" w:sz="4" w:space="0" w:color="000000"/>
              <w:right w:val="single" w:sz="4" w:space="0" w:color="000000"/>
            </w:tcBorders>
            <w:shd w:fill="FFFFFF" w:val="clear"/>
            <w:tcMar>
              <w:top w:w="0" w:type="dxa"/>
              <w:left w:w="43" w:type="dxa"/>
              <w:right w:w="43" w:type="dxa"/>
            </w:tcMar>
            <w:vAlign w:val="center"/>
          </w:tcPr>
          <w:p>
            <w:pPr>
              <w:pStyle w:val="TableContents"/>
              <w:bidi w:val="0"/>
              <w:spacing w:before="0" w:after="120"/>
              <w:ind w:left="0" w:right="0" w:firstLine="29"/>
              <w:jc w:val="left"/>
              <w:rPr>
                <w:rFonts w:ascii="Times New Roman" w:hAnsi="Times New Roman"/>
                <w:b/>
                <w:color w:val="000000"/>
                <w:sz w:val="24"/>
              </w:rPr>
            </w:pPr>
            <w:r>
              <w:rPr>
                <w:rFonts w:ascii="Times New Roman" w:hAnsi="Times New Roman"/>
                <w:b/>
                <w:color w:val="000000"/>
                <w:sz w:val="24"/>
              </w:rPr>
              <w:t>Vesting Commencement Date</w:t>
            </w:r>
          </w:p>
        </w:tc>
        <w:tc>
          <w:tcPr>
            <w:tcW w:w="7091" w:type="dxa"/>
            <w:tcBorders>
              <w:bottom w:val="single" w:sz="4" w:space="0" w:color="000000"/>
              <w:right w:val="single" w:sz="4" w:space="0" w:color="000000"/>
            </w:tcBorders>
            <w:shd w:fill="FFFFFF" w:val="clear"/>
            <w:tcMar>
              <w:top w:w="0" w:type="dxa"/>
              <w:left w:w="0" w:type="dxa"/>
              <w:right w:w="43" w:type="dxa"/>
            </w:tcMar>
            <w:vAlign w:val="center"/>
          </w:tcPr>
          <w:p>
            <w:pPr>
              <w:pStyle w:val="TableContents"/>
              <w:bidi w:val="0"/>
              <w:spacing w:before="0" w:after="120"/>
              <w:ind w:left="0" w:right="0" w:firstLine="29"/>
              <w:jc w:val="left"/>
              <w:rPr/>
            </w:pPr>
            <w:r>
              <w:rPr/>
              <w:t> </w:t>
            </w:r>
          </w:p>
        </w:tc>
      </w:tr>
      <w:tr>
        <w:trPr/>
        <w:tc>
          <w:tcPr>
            <w:tcW w:w="3114" w:type="dxa"/>
            <w:tcBorders>
              <w:left w:val="single" w:sz="4" w:space="0" w:color="000000"/>
              <w:bottom w:val="single" w:sz="4" w:space="0" w:color="000000"/>
              <w:right w:val="single" w:sz="4" w:space="0" w:color="000000"/>
            </w:tcBorders>
            <w:shd w:fill="F2F2F2" w:val="clear"/>
            <w:tcMar>
              <w:top w:w="0" w:type="dxa"/>
              <w:left w:w="43" w:type="dxa"/>
              <w:right w:w="43" w:type="dxa"/>
            </w:tcMar>
            <w:vAlign w:val="center"/>
          </w:tcPr>
          <w:p>
            <w:pPr>
              <w:pStyle w:val="TableContents"/>
              <w:bidi w:val="0"/>
              <w:spacing w:before="0" w:after="120"/>
              <w:ind w:left="0" w:right="0" w:firstLine="29"/>
              <w:jc w:val="left"/>
              <w:rPr>
                <w:rFonts w:ascii="Times New Roman" w:hAnsi="Times New Roman"/>
                <w:b/>
                <w:color w:val="000000"/>
                <w:sz w:val="24"/>
              </w:rPr>
            </w:pPr>
            <w:r>
              <w:rPr>
                <w:rFonts w:ascii="Times New Roman" w:hAnsi="Times New Roman"/>
                <w:b/>
                <w:color w:val="000000"/>
                <w:sz w:val="24"/>
              </w:rPr>
              <w:t>Vesting Schedule Including Any Acceleration</w:t>
            </w:r>
          </w:p>
        </w:tc>
        <w:tc>
          <w:tcPr>
            <w:tcW w:w="7091" w:type="dxa"/>
            <w:tcBorders>
              <w:bottom w:val="single" w:sz="4" w:space="0" w:color="000000"/>
              <w:right w:val="single" w:sz="4" w:space="0" w:color="000000"/>
            </w:tcBorders>
            <w:shd w:fill="F2F2F2" w:val="clear"/>
            <w:tcMar>
              <w:top w:w="0" w:type="dxa"/>
              <w:left w:w="0" w:type="dxa"/>
              <w:right w:w="43" w:type="dxa"/>
            </w:tcMar>
            <w:vAlign w:val="center"/>
          </w:tcPr>
          <w:p>
            <w:pPr>
              <w:pStyle w:val="TableContents"/>
              <w:bidi w:val="0"/>
              <w:spacing w:before="0" w:after="120"/>
              <w:ind w:left="0" w:right="0" w:firstLine="29"/>
              <w:jc w:val="both"/>
              <w:rPr>
                <w:rFonts w:ascii="Times New Roman" w:hAnsi="Times New Roman"/>
                <w:color w:val="000000"/>
                <w:sz w:val="24"/>
              </w:rPr>
            </w:pPr>
            <w:r>
              <w:rPr>
                <w:rFonts w:ascii="Times New Roman" w:hAnsi="Times New Roman"/>
                <w:color w:val="000000"/>
                <w:sz w:val="24"/>
              </w:rPr>
              <w:t>The Option Shares shall vest and become exercisable as follows, subject to the Grantee’s Continuous Service through the applicable vesting dates: [___________________________].</w:t>
            </w:r>
          </w:p>
          <w:p>
            <w:pPr>
              <w:pStyle w:val="TableContents"/>
              <w:bidi w:val="0"/>
              <w:spacing w:before="0" w:after="120"/>
              <w:ind w:left="0" w:right="0" w:firstLine="29"/>
              <w:jc w:val="left"/>
              <w:rPr>
                <w:rFonts w:ascii="Times New Roman" w:hAnsi="Times New Roman"/>
                <w:color w:val="000000"/>
                <w:sz w:val="24"/>
              </w:rPr>
            </w:pPr>
            <w:r>
              <w:rPr>
                <w:rFonts w:ascii="Times New Roman" w:hAnsi="Times New Roman"/>
                <w:color w:val="000000"/>
                <w:sz w:val="24"/>
              </w:rPr>
              <w:t>Upon the termination of the Grantee’s Continuous Service, all remaining unvested Option Shares shall be immediately forfeited.</w:t>
            </w:r>
          </w:p>
        </w:tc>
      </w:tr>
      <w:tr>
        <w:trPr/>
        <w:tc>
          <w:tcPr>
            <w:tcW w:w="3114" w:type="dxa"/>
            <w:tcBorders>
              <w:left w:val="single" w:sz="4" w:space="0" w:color="000000"/>
              <w:bottom w:val="single" w:sz="4" w:space="0" w:color="000000"/>
              <w:right w:val="single" w:sz="4" w:space="0" w:color="000000"/>
            </w:tcBorders>
            <w:shd w:fill="FFFFFF" w:val="clear"/>
            <w:tcMar>
              <w:top w:w="0" w:type="dxa"/>
              <w:left w:w="43" w:type="dxa"/>
              <w:right w:w="43" w:type="dxa"/>
            </w:tcMar>
            <w:vAlign w:val="center"/>
          </w:tcPr>
          <w:p>
            <w:pPr>
              <w:pStyle w:val="TableContents"/>
              <w:bidi w:val="0"/>
              <w:spacing w:before="0" w:after="120"/>
              <w:ind w:left="0" w:right="0" w:firstLine="29"/>
              <w:jc w:val="left"/>
              <w:rPr>
                <w:rFonts w:ascii="Times New Roman" w:hAnsi="Times New Roman"/>
                <w:b/>
                <w:color w:val="000000"/>
                <w:sz w:val="24"/>
              </w:rPr>
            </w:pPr>
            <w:r>
              <w:rPr>
                <w:rFonts w:ascii="Times New Roman" w:hAnsi="Times New Roman"/>
                <w:b/>
                <w:color w:val="000000"/>
                <w:sz w:val="24"/>
              </w:rPr>
              <w:t>Expiration Date</w:t>
            </w:r>
          </w:p>
        </w:tc>
        <w:tc>
          <w:tcPr>
            <w:tcW w:w="7091" w:type="dxa"/>
            <w:tcBorders>
              <w:bottom w:val="single" w:sz="4" w:space="0" w:color="000000"/>
              <w:right w:val="single" w:sz="4" w:space="0" w:color="000000"/>
            </w:tcBorders>
            <w:shd w:fill="FFFFFF" w:val="clear"/>
            <w:tcMar>
              <w:top w:w="0" w:type="dxa"/>
              <w:left w:w="0" w:type="dxa"/>
              <w:right w:w="43" w:type="dxa"/>
            </w:tcMar>
            <w:vAlign w:val="center"/>
          </w:tcPr>
          <w:p>
            <w:pPr>
              <w:pStyle w:val="TableContents"/>
              <w:bidi w:val="0"/>
              <w:spacing w:before="0" w:after="120"/>
              <w:ind w:left="0" w:right="0" w:firstLine="29"/>
              <w:jc w:val="both"/>
              <w:rPr>
                <w:rFonts w:ascii="Times New Roman" w:hAnsi="Times New Roman"/>
                <w:color w:val="000000"/>
                <w:sz w:val="24"/>
              </w:rPr>
            </w:pPr>
            <w:r>
              <w:rPr>
                <w:rFonts w:ascii="Times New Roman" w:hAnsi="Times New Roman"/>
                <w:color w:val="000000"/>
                <w:sz w:val="24"/>
              </w:rPr>
              <w:t>The day immediately preceding the tenth anniversary of the Grant Date</w:t>
            </w:r>
          </w:p>
        </w:tc>
      </w:tr>
      <w:tr>
        <w:trPr/>
        <w:tc>
          <w:tcPr>
            <w:tcW w:w="3114" w:type="dxa"/>
            <w:tcBorders>
              <w:left w:val="single" w:sz="4" w:space="0" w:color="000000"/>
              <w:bottom w:val="single" w:sz="4" w:space="0" w:color="000000"/>
              <w:right w:val="single" w:sz="4" w:space="0" w:color="000000"/>
            </w:tcBorders>
            <w:shd w:fill="F2F2F2" w:val="clear"/>
            <w:tcMar>
              <w:top w:w="0" w:type="dxa"/>
              <w:left w:w="43" w:type="dxa"/>
              <w:right w:w="43" w:type="dxa"/>
            </w:tcMar>
            <w:vAlign w:val="center"/>
          </w:tcPr>
          <w:p>
            <w:pPr>
              <w:pStyle w:val="TableContents"/>
              <w:bidi w:val="0"/>
              <w:spacing w:before="0" w:after="120"/>
              <w:ind w:left="0" w:right="0" w:firstLine="29"/>
              <w:jc w:val="left"/>
              <w:rPr>
                <w:rFonts w:ascii="Times New Roman" w:hAnsi="Times New Roman"/>
                <w:b/>
                <w:color w:val="000000"/>
                <w:sz w:val="24"/>
              </w:rPr>
            </w:pPr>
            <w:r>
              <w:rPr>
                <w:rFonts w:ascii="Times New Roman" w:hAnsi="Times New Roman"/>
                <w:b/>
                <w:color w:val="000000"/>
                <w:sz w:val="24"/>
              </w:rPr>
              <w:t>Type of Option</w:t>
            </w:r>
          </w:p>
        </w:tc>
        <w:tc>
          <w:tcPr>
            <w:tcW w:w="7091" w:type="dxa"/>
            <w:tcBorders>
              <w:bottom w:val="single" w:sz="4" w:space="0" w:color="000000"/>
              <w:right w:val="single" w:sz="4" w:space="0" w:color="000000"/>
            </w:tcBorders>
            <w:shd w:fill="F2F2F2" w:val="clear"/>
            <w:tcMar>
              <w:top w:w="0" w:type="dxa"/>
              <w:left w:w="0" w:type="dxa"/>
              <w:right w:w="43" w:type="dxa"/>
            </w:tcMar>
            <w:vAlign w:val="center"/>
          </w:tcPr>
          <w:p>
            <w:pPr>
              <w:pStyle w:val="TableContents"/>
              <w:bidi w:val="0"/>
              <w:spacing w:before="0" w:after="120"/>
              <w:ind w:left="0" w:right="0" w:firstLine="29"/>
              <w:jc w:val="both"/>
              <w:rPr>
                <w:rFonts w:ascii="Times New Roman" w:hAnsi="Times New Roman"/>
                <w:color w:val="000000"/>
                <w:sz w:val="24"/>
              </w:rPr>
            </w:pPr>
            <w:r>
              <w:rPr>
                <w:rFonts w:ascii="Times New Roman" w:hAnsi="Times New Roman"/>
                <w:color w:val="000000"/>
                <w:sz w:val="24"/>
              </w:rPr>
              <w:t>[Incentive Stock Option / Non-Qualified Stock Option]</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TERMS</w:t>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Definitions </w:t>
      </w:r>
    </w:p>
    <w:p>
      <w:pPr>
        <w:pStyle w:val="TextBody"/>
        <w:bidi w:val="0"/>
        <w:spacing w:before="0" w:after="240"/>
        <w:jc w:val="both"/>
        <w:rPr>
          <w:rFonts w:ascii="Times New Roman" w:hAnsi="Times New Roman"/>
          <w:sz w:val="20"/>
        </w:rPr>
      </w:pPr>
      <w:r>
        <w:rPr>
          <w:rFonts w:ascii="Times New Roman" w:hAnsi="Times New Roman"/>
          <w:color w:val="000000"/>
          <w:sz w:val="24"/>
        </w:rPr>
        <w:t>Capitalized terms used but not defined in this Agreement have the defined meanings set forth in the Plan.</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Grant of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Pursuant to the Plan and subject to the terms of this Agreement, the Company grants to the Grantee, as of the Grant Date, the Option to purchase the Option Shares at the Exercise Price.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Type of Option</w:t>
      </w:r>
    </w:p>
    <w:p>
      <w:pPr>
        <w:pStyle w:val="TextBody"/>
        <w:bidi w:val="0"/>
        <w:spacing w:before="0" w:after="240"/>
        <w:jc w:val="both"/>
        <w:rPr>
          <w:rFonts w:ascii="Times New Roman" w:hAnsi="Times New Roman"/>
          <w:sz w:val="20"/>
        </w:rPr>
      </w:pPr>
      <w:r>
        <w:rPr>
          <w:rFonts w:ascii="Times New Roman" w:hAnsi="Times New Roman"/>
          <w:color w:val="000000"/>
          <w:sz w:val="24"/>
        </w:rPr>
        <w:t>If designated above as a “Non-Qualified Stock Option,” the Option is not an incentive stock option under Section 422 of the Code (an “</w:t>
      </w:r>
      <w:r>
        <w:rPr>
          <w:rFonts w:ascii="Times New Roman" w:hAnsi="Times New Roman"/>
          <w:b/>
          <w:color w:val="000000"/>
          <w:sz w:val="24"/>
        </w:rPr>
        <w:t>ISO</w:t>
      </w:r>
      <w:r>
        <w:rPr>
          <w:rFonts w:ascii="Times New Roman" w:hAnsi="Times New Roman"/>
          <w:color w:val="000000"/>
          <w:sz w:val="20"/>
        </w:rPr>
        <w:t>”</w:t>
      </w:r>
      <w:r>
        <w:rPr>
          <w:rFonts w:ascii="Times New Roman" w:hAnsi="Times New Roman"/>
          <w:color w:val="000000"/>
          <w:sz w:val="24"/>
        </w:rPr>
        <w:t>) and shall be treated as a non-qualified stock option. If designated above as an “Incentive Stock Option,” the option is intended to be an ISO; however, to the extent that the Option does not satisfy the requirements applicable to ISOs, the Option shall be treated as a non-qualified stock option.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Vesting; Termination of Option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(a) Requirement of Vesting</w:t>
      </w:r>
      <w:r>
        <w:rPr>
          <w:rFonts w:ascii="Times New Roman" w:hAnsi="Times New Roman"/>
          <w:color w:val="000000"/>
          <w:sz w:val="24"/>
        </w:rPr>
        <w:t>. The Option may be exercised before termination or expiration to the extent that the Option has become vested, subject to the terms of this Agreement and the Plan.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(b) Vesting of Option</w:t>
      </w:r>
      <w:r>
        <w:rPr>
          <w:rFonts w:ascii="Times New Roman" w:hAnsi="Times New Roman"/>
          <w:color w:val="000000"/>
          <w:sz w:val="24"/>
        </w:rPr>
        <w:t>. The Option shall vest and become exercisable in one or more installments pursuant to the vesting schedule specified in the Notice of Grant.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(c) Termination of the Option</w:t>
      </w:r>
      <w:r>
        <w:rPr>
          <w:rFonts w:ascii="Times New Roman" w:hAnsi="Times New Roman"/>
          <w:color w:val="000000"/>
          <w:sz w:val="24"/>
        </w:rPr>
        <w:t>. The Option, if not previously exercised, shall terminate on the Expiration Date, except that, if the Grantee’s Continuous Service terminates while the Option is outstanding, the unvested portion of the Option shall terminate on the date that the Grantee’s Continuous Service terminates (except as otherwise determined by the Administrator), and the vested portion of the Option shall be exercisable as set forth below: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(i) Termination for Cause</w:t>
      </w:r>
      <w:r>
        <w:rPr>
          <w:rFonts w:ascii="Times New Roman" w:hAnsi="Times New Roman"/>
          <w:color w:val="000000"/>
          <w:sz w:val="24"/>
        </w:rPr>
        <w:t>. If the Grantee’s Continuous Service terminates due to a termination for Cause, the Option shall terminate (whether vested or unvested) immediately upon the date of such termination.</w:t>
      </w:r>
    </w:p>
    <w:p>
      <w:pPr>
        <w:pStyle w:val="TextBody"/>
        <w:bidi w:val="0"/>
        <w:spacing w:before="0" w:after="240"/>
        <w:jc w:val="both"/>
        <w:rPr>
          <w:rFonts w:ascii="Times New Roman" w:hAnsi="Times New Roman"/>
          <w:sz w:val="20"/>
        </w:rPr>
      </w:pPr>
      <w:r>
        <w:rPr>
          <w:rFonts w:ascii="Times New Roman" w:hAnsi="Times New Roman"/>
          <w:color w:val="000000"/>
          <w:sz w:val="24"/>
          <w:u w:val="single"/>
        </w:rPr>
        <w:t>(ii) Death</w:t>
      </w:r>
      <w:r>
        <w:rPr>
          <w:rFonts w:ascii="Times New Roman" w:hAnsi="Times New Roman"/>
          <w:color w:val="000000"/>
          <w:sz w:val="24"/>
        </w:rPr>
        <w:t>. If the Grantee’s Continuous Service terminates on account of death, the Option shall be exercisable by the Grantee’s legal representative or any other person who acquired the right to exercise the Option by reason of the Grantee’s death, as applicable, for a period of twelve (12) months from the date of the Grantee’s death or until the Expiration Date, if earlier.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(iii) Disability</w:t>
      </w:r>
      <w:r>
        <w:rPr>
          <w:rFonts w:ascii="Times New Roman" w:hAnsi="Times New Roman"/>
          <w:color w:val="000000"/>
          <w:sz w:val="24"/>
        </w:rPr>
        <w:t>. If the Grantee’s Continuous Service terminates on account of Disability, the Option shall be exercisable by the Grantee for a period of twelve (12) months from the date of such termination or until the Expiration Date, if earlier; provided, however,</w:t>
      </w:r>
      <w:r>
        <w:rPr>
          <w:rFonts w:ascii="Times New Roman" w:hAnsi="Times New Roman"/>
          <w:color w:val="000000"/>
          <w:sz w:val="20"/>
        </w:rPr>
        <w:t xml:space="preserve"> </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Employee Stock Option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that in the event the Grantee dies within the twelve (12) month period after such termination, the period for exercise will be extended until the date twelve (12) months after the Grantee’s death or until the Expiration Date, if earlier;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(iv) Other Terminations</w:t>
      </w:r>
      <w:r>
        <w:rPr>
          <w:rFonts w:ascii="Times New Roman" w:hAnsi="Times New Roman"/>
          <w:color w:val="000000"/>
          <w:sz w:val="24"/>
        </w:rPr>
        <w:t>. If the Grantee’s Continuous Service terminates for any reason other than as described above in clauses (i), (ii), or (iii), the Option may be exercised, to the extent vested, by the Grantee for a period of three (3) months from the date of such termination or until the Expiration Date, if earlier; provided, however, that in the event the Grantee dies within the twelve (12) month period after such termination, the period for exercise will be extended until the date twelve (12) months after the Grantee’s death or until the Expiration Date, if earlier.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Exercise of Option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Notice</w:t>
      </w:r>
      <w:r>
        <w:rPr>
          <w:rFonts w:ascii="Times New Roman" w:hAnsi="Times New Roman"/>
          <w:color w:val="000000"/>
          <w:sz w:val="24"/>
        </w:rPr>
        <w:t>. The Option may be exercised, in whole or in part, only by (i) the completion, execution, and delivery to the Company of a notice of exercise in the form supplied by the Company (which may be electronic or through the Online Platform); (ii) the payment to the Company, pursuant to the terms of this Agreement, of an amount equal to the Exercise Price multiplied by the number of Option Shares being purchased as specified in the notice of exercise; and (iii) the satisfaction by the Grantee, in a manner acceptable to the Company, of any withholding liability under any federal, state, local, non-U.S., or other law arising in connection with exercise of the Option. The notice of exercise shall be given in the manner specified in Section 11 (Notices) (or such other manner as may be specified by the Administrator) but any exercise of the Option shall be effective only when the items required by this Section 5(a) are actually received by the Company. Notwithstanding anything to the contrary in this Agreement, the Option may be exercised only if compliance with all applicable federal, state, and other securities laws can be effected.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Payment</w:t>
      </w:r>
      <w:r>
        <w:rPr>
          <w:rFonts w:ascii="Times New Roman" w:hAnsi="Times New Roman"/>
          <w:color w:val="000000"/>
          <w:sz w:val="24"/>
        </w:rPr>
        <w:t>. To the extent permitted by applicable law, payment of the aggregate Exercise Price and any applicable tax withholding may be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in cash, wire transfer, electronic funds transfer, or by check payable to the order of the Company for an amount in U.S. dollars equal to the aggregate Exercise Price of such Option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by delivery of Shares held by the Grantee for the requisite period necessary to avoid a charge to the Company’s earnings for financial reporting purposes, as determined by the Administrator in its discretion, and having an aggregate Fair Market Value equal to the amount of cash that would otherwise be required to pay the aggregate Exercise Price;</w:t>
      </w:r>
    </w:p>
    <w:p>
      <w:pPr>
        <w:pStyle w:val="TextBody"/>
        <w:bidi w:val="0"/>
        <w:spacing w:before="0" w:after="240"/>
        <w:jc w:val="both"/>
        <w:rPr>
          <w:rFonts w:ascii="Times New Roman" w:hAnsi="Times New Roman"/>
          <w:sz w:val="20"/>
        </w:rPr>
      </w:pPr>
      <w:r>
        <w:rPr>
          <w:rFonts w:ascii="Times New Roman" w:hAnsi="Times New Roman"/>
          <w:color w:val="000000"/>
          <w:sz w:val="24"/>
        </w:rPr>
        <w:t>(iii) by Sell-to-Cover,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(iv) upon approval by the Administrator, through a net exercise arrangement pursuant to which the Company will reduce the number of Shares issuable upon exercise by the largest whole number of Shares with a Fair Market Value that does not exceed the sum of the aggregate Exercise Price and the applicable federal, state, local and/or non-U.S. income and employment taxes required to be withheld by reason of such exercise (“</w:t>
      </w:r>
      <w:r>
        <w:rPr>
          <w:rFonts w:ascii="Times New Roman" w:hAnsi="Times New Roman"/>
          <w:b/>
          <w:color w:val="000000"/>
          <w:sz w:val="24"/>
        </w:rPr>
        <w:t>Net Exercise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Employee Stock Option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that any remaining balance of the aggregate Exercise Price not satisfied by the Net Exercise must be paid in cash or other permitted form of 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each case, such payment method shall be executed pursuant to the procedures established by the Administrator for this purpose and subject to the Company’s policies and procedures related to the trading of Company securities. Payment may also be made by combining the above methods, to the extent permitted by the Administrator. To the extent that Shares are used in making full or partial payment of the Exercise Price, each such Share will be valued at the Fair Market Value. Any overpayment will be promptly refunded, and any underpayment will be deemed an exercise of such lesser whole number of Shares as the amount paid is sufficient to purchase.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Certificates</w:t>
      </w:r>
      <w:r>
        <w:rPr>
          <w:rFonts w:ascii="Times New Roman" w:hAnsi="Times New Roman"/>
          <w:color w:val="000000"/>
          <w:sz w:val="24"/>
        </w:rPr>
        <w:t>. Except as otherwise provided in the Plan, upon any exercise of the Option by the Grantee or as soon thereafter as is practicable, such number of Shares as the Grantee has then elected to purchase shall be uncertificated shares recorded in the books of the Company (or as applicable, its transfer agent or stock plan administrator) or, in the Company’s discretion, shall be represented by a certificate or certificates registered in the name of the Grantee and issued or delivered by the Company. Such Shares shall bear such legends as the Company deems appropriate.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Withholding</w:t>
      </w:r>
      <w:r>
        <w:rPr>
          <w:rFonts w:ascii="Times New Roman" w:hAnsi="Times New Roman"/>
          <w:color w:val="000000"/>
          <w:sz w:val="24"/>
        </w:rPr>
        <w:t>. The Company shall, in its discretion, have the right to deduct or withhold from payments of any kind otherwise due to the Grantee, or require the Grantee to remit to the Company, an amount sufficient to satisfy taxes imposed under the laws of any country, state, province, city, or other jurisdiction, including but not limited to income taxes, capital gain taxes, transfer taxes, and social security contributions that are required by law to be withheld with respect to the Plan, exercise of the Option, payment of Shares under this Agreement, the sale of Shares acquired hereunder, and/or the payment of dividends on Shares acquired hereunder, as applicable. A sufficient number of the Shares resulting from payout of this Option at exercise may, in the Company’s discretion, be retained by the Company to satisfy any tax-withholding obligation.</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Restrictions on Transfer of Option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Option and the rights and privileges conferred hereby shall not be transferred, assigned, pledged, or otherwise encumbered in any way (whether by operation of law or otherwise), other than by will or by the laws of descent and distribution. The Option shall be exercisable only by the Grantee during the Grantee’s lifetime. For this purpose, any reference to the Grantee shall (when applicable) be deemed to be and include references to the Grantee’s estate, executors or administrators, personal or legal representatives, and transferees (direct or indirect). Any person to whom the Option is transferred in accordance with this Agreement shall be bound by all provisions of the Plan and this Agreement. Upon any attempt to transfer, assign, pledge, or otherwise encumber the Option or any right or privilege conferred hereby contrary to the provisions hereof, the Option and the rights and privileges conferred hereby shall immediately become null and void.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Adjustments </w:t>
      </w:r>
    </w:p>
    <w:p>
      <w:pPr>
        <w:pStyle w:val="TextBody"/>
        <w:bidi w:val="0"/>
        <w:spacing w:before="0" w:after="240"/>
        <w:jc w:val="both"/>
        <w:rPr>
          <w:rFonts w:ascii="Times New Roman" w:hAnsi="Times New Roman"/>
          <w:sz w:val="20"/>
        </w:rPr>
      </w:pPr>
      <w:r>
        <w:rPr>
          <w:rFonts w:ascii="Times New Roman" w:hAnsi="Times New Roman"/>
          <w:color w:val="000000"/>
          <w:sz w:val="24"/>
        </w:rPr>
        <w:t>The number of Option Shares as to which the Option has not been exercised, the Exercise Price, and the type of stock or other consideration to be received on exercise of the Option shall be subject to such adjustment, pursuant to the Plan, in the manner determined to be appropriate by the</w:t>
      </w:r>
      <w:r>
        <w:rPr>
          <w:rFonts w:ascii="Times New Roman" w:hAnsi="Times New Roman"/>
          <w:color w:val="000000"/>
          <w:sz w:val="20"/>
        </w:rPr>
        <w:t xml:space="preserve"> </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Employee Stock Option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Administrator, in its sole discretion. Any adjustment determined to be appropriate by the Administrator shall be conclusive and shall be binding on the Grantee.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Rights Prior to Exercise </w:t>
      </w:r>
    </w:p>
    <w:p>
      <w:pPr>
        <w:pStyle w:val="TextBody"/>
        <w:bidi w:val="0"/>
        <w:spacing w:before="0" w:after="240"/>
        <w:jc w:val="both"/>
        <w:rPr>
          <w:rFonts w:ascii="Times New Roman" w:hAnsi="Times New Roman"/>
          <w:sz w:val="20"/>
        </w:rPr>
      </w:pPr>
      <w:r>
        <w:rPr>
          <w:rFonts w:ascii="Times New Roman" w:hAnsi="Times New Roman"/>
          <w:color w:val="000000"/>
          <w:sz w:val="24"/>
        </w:rPr>
        <w:t>The Grantee will have no rights as a stockholder with respect to the Option Shares unless and until the Shares are issued to the Grantee pursuant to the exercise of the Option.</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Clawback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Grantee acknowledges and agrees that this Award may be subject to recoupment or clawback by the Company in accordance with the Company’s recoupment, clawback or similar policy as such may be in effect from time to time, as well as any similar provisions of applicable law, or Securities and Exchange Commission rule or regulation, or stock exchange requirement, which could in certain circumstances require repayment or forfeiture of the Award or any Shares or other cash or property received with respect to the Award (including any value received from a disposition of Shares acquired upon exercise of the Award).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No Guarantee of Continuing Service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grant of this Option evidenced by this Agreement nor any term or provision of this Agreement or the Plan shall constitute or be evidence of any understanding, express or implied, on the part of the Company or any Subsidiary or Parent to employ or retain the Grantee for any period.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Notices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notices, requests, consents, and other communications shall be in writing and be deemed given (a) when delivered personally; (b) when sent by email, by facsimile transmission, or other electronic means (as described in Section 12 (Electronic Delivery)); or (c) when received, if sent via courier service or mailed by first class registered or certified mail, postage prepaid. Notices to the Company or the Grantee shall be sent to the addresses, facsimile numbers, or email addresses listed on the Online Platform, as applicable, or to such other address, facsimile number, or email address as such party may designate by a notice delivered to the other party hereto, including through the Online Platform.</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Electronic Delivery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in its sole discretion, decide to deliver any documents related to the Company, the Plan, this Option, or current or future participation in the Plan, and any other documents that the Company is required to deliver to its security holders (including, without limitation, disclosures that may be required by the Securities and Exchange Commission), by email or by other electronic means. The Grantee hereby consents to (a) conduct business electronically, (b) receive such documents and notices by such electronic delivery, and (c) sign documents electronically; and the Grantee hereby agrees to participate in the Plan through an online or electronic capitalization administration platform established and maintained by the Company or a third party designated by the Company, including the Online Platform.</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Employee Stock Option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Data Privacy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Grantee acknowledges and agrees that the Company and its affiliates will process and retain certain personal data for the purposes of (a) calculating Awards, (b) monitoring Award terms and conditions, and (c) otherwise administering the Plan and Awards made under it. Such personal data may include, among other things, the Grantee’s address, email address, social security number, pay data, job title, and employment dates. The Grantee consents to such processing, and to the sharing of such personal data with the Company, its affiliates, its agents, its advisers, its regulators, and tax authorities, wherever appropriate.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Entire Agreement; Amendment; Enforcement of Rights</w:t>
      </w:r>
    </w:p>
    <w:p>
      <w:pPr>
        <w:pStyle w:val="TextBody"/>
        <w:bidi w:val="0"/>
        <w:spacing w:before="0" w:after="240"/>
        <w:jc w:val="both"/>
        <w:rPr>
          <w:rFonts w:ascii="Times New Roman" w:hAnsi="Times New Roman"/>
          <w:sz w:val="20"/>
        </w:rPr>
      </w:pPr>
      <w:r>
        <w:rPr>
          <w:rFonts w:ascii="Times New Roman" w:hAnsi="Times New Roman"/>
          <w:color w:val="000000"/>
          <w:sz w:val="24"/>
        </w:rPr>
        <w:t>(a) This Agreement, together with the Plan, sets forth the entire agreement and understanding between the parties hereto relating to the subject matter hereof and supersedes all prior and contemporaneous understandings, agreements, discussions, representations, and warranties, both written and oral, between the parties hereto, including any representations made during any interviews or relocation negotiations, with respect to such subject matter.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The Administrator may amend, modify, or terminate the Agreement at any time and for any reason. The Grantee’s consent to such action shall be required, except as permitted or contemplated under the Plan. The failure by either party to enforce any rights under this Agreement shall not be construed as a waiver of any rights of such party.</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Successors and Assigns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rights and benefits of this Agreement shall inure to the benefit of, and be enforceable by the Company’s successors and assigns. The rights and obligations of the Grantee under this Agreement may be assigned only with the prior written consent of the Company.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Severability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provision of the Agreement is, becomes, or is deemed to be invalid, illegal, or unenforceable in any jurisdiction or as to the Grantee, such provision shall be construed or deemed amended to conform with applicable law, or if the provision cannot be so construed or deemed amended without, in the sole discretion of the Administrator, materially altering the intent of the Agreement, such provision shall be severed as to the jurisdiction or the Grantee and the remainder of the Agreement shall remain in full force and effect.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Governing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validity and construction of the Plan and the Agreement shall be governed by the laws of the State of Delaware, excluding any conflicts or choice of law rules or principles that might otherwise refer construction or interpretation of any provision of the Plan or the Agreement to the substantive law of another jurisdiction.</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Employee Stock Option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Compliance with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granting of the Option, the exercise of the Option and related issuance of Shares, disposition of the Shares, and any other obligations of the Company under this Agreement, shall be subject to all applicable federal, state, local, and non-U.S. laws, rules, and regulations and to such approvals by any regulatory or governmental agency as may be required. The Administrator shall have the right to impose such restrictions on the Option and related Shares as it deems reasonably necessary or advisable under applicable securities laws and/or the rules and regulations of any stock exchange or market upon which the Shares are then listed or traded. Notwithstanding any other provision of this Agreement, the Company shall not be obligated to issue any Shares pursuant to this Agreement if the issuance thereof would result in a violation of any law. It is expressly understood that the Administrator is authorized to administer, construe, and make all determinations necessary or appropriate for the administration of the Plan, subject to the terms of this Agreement, all of which shall be binding upon the Grantee. The Grantee agrees to take all steps the Administrator determines are reasonably necessary to comply with all applicable securities laws in exercising the Grantee’s rights under this Agreement.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Section 409A of the Internal Revenue Code</w:t>
      </w:r>
    </w:p>
    <w:p>
      <w:pPr>
        <w:pStyle w:val="TextBody"/>
        <w:bidi w:val="0"/>
        <w:spacing w:before="0" w:after="240"/>
        <w:jc w:val="both"/>
        <w:rPr>
          <w:rFonts w:ascii="Times New Roman" w:hAnsi="Times New Roman"/>
          <w:sz w:val="20"/>
        </w:rPr>
      </w:pPr>
      <w:r>
        <w:rPr>
          <w:rFonts w:ascii="Times New Roman" w:hAnsi="Times New Roman"/>
          <w:color w:val="000000"/>
          <w:sz w:val="24"/>
        </w:rPr>
        <w:t>The Option and this Agreement shall be interpreted to be exempt from the requirements of Code section 409A (“</w:t>
      </w:r>
      <w:r>
        <w:rPr>
          <w:rFonts w:ascii="Times New Roman" w:hAnsi="Times New Roman"/>
          <w:b/>
          <w:color w:val="000000"/>
          <w:sz w:val="24"/>
        </w:rPr>
        <w:t>Section 409A</w:t>
      </w:r>
      <w:r>
        <w:rPr>
          <w:rFonts w:ascii="Times New Roman" w:hAnsi="Times New Roman"/>
          <w:color w:val="000000"/>
          <w:sz w:val="20"/>
        </w:rPr>
        <w:t>”</w:t>
      </w:r>
      <w:r>
        <w:rPr>
          <w:rFonts w:ascii="Times New Roman" w:hAnsi="Times New Roman"/>
          <w:color w:val="000000"/>
          <w:sz w:val="24"/>
        </w:rPr>
        <w:t>) pursuant to Treas. Reg. § 1.409A-1(b)(5)(i) and Treas. Reg. § 1.409A-1(b)(5)(ii). Any action that may be taken (and, to the extent possible, any action actually taken) by the Administrator or the Company shall not be taken (or shall be void and without effect), if such action violates the requirements of Section 409A. If the failure to take an action under this Agreement would violate Section 409A, then to the extent it is possible thereby to avoid a violation of Section 409A, the rights and effects under this Agreement shall be altered to avoid such violation. Any provision in this Agreement that is determined to violate the requirements of Section 409A shall be void and without effect. In addition, any provision that is required to appear in this Agreement to satisfy the requirements of Section 409A, but that is not expressly set forth, shall be deemed to be set forth herein, and the Agreement shall be administered in all respects as if such provision were expressly set forth.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nothing in this Agreement shall be interpreted or construed to transfer any liability for any tax (including a tax or penalty due as a result of a failure to comply with Section 409A) from the Grantee to the Company or to any other individual or entity.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Disqualifying Dispositions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Option is an ISO, and if the Grantee makes a “disposition” (as defined in Section 424 of the Code) of all or any portion of the Shares acquired upon exercise of the Option within two (2) years from the Grant Date or within one (1) year after issuance of the Shares acquired upon exercise of the Option, then the Grantee shall immediately notify the Company in writing as to the occurrence of, and the price realized upon, such disposition. The Grantee acknowledges that the Grantee may be subject to income tax withholding by the Company on the compensation income recognized by the Grantee.</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Employee Stock Option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Acceptance of Option</w:t>
      </w:r>
    </w:p>
    <w:p>
      <w:pPr>
        <w:pStyle w:val="TextBody"/>
        <w:bidi w:val="0"/>
        <w:spacing w:before="0" w:after="240"/>
        <w:jc w:val="both"/>
        <w:rPr>
          <w:rFonts w:ascii="Times New Roman" w:hAnsi="Times New Roman"/>
          <w:sz w:val="20"/>
        </w:rPr>
      </w:pPr>
      <w:r>
        <w:rPr>
          <w:rFonts w:ascii="Times New Roman" w:hAnsi="Times New Roman"/>
          <w:color w:val="000000"/>
          <w:sz w:val="24"/>
        </w:rPr>
        <w:t>In consideration for the Option and by accepting this Agreement, the Grantee agrees and acknowledges 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The Option and any future awards under the Plan are entirely voluntary, and at the complete discretion of the Company. Neither the Option, nor any future awards by the Company, shall be deemed to create any obligation to grant any other awards, whether or not such a reservation is explicitly stated at the time of any such award.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Subject to the terms of the Plan, the Board may at any time and from time to time, alter, amend, suspend, or terminate the Plan, in whole or in part.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Grantee acknowledges and agrees that the Grantee has no right to receive any equity compensation following the Grant Date other than as set forth in this Agreement or otherwise approved by the Board on or before the Grant Date, and that the Option is granted in full satisfaction of the Grantee’s right, if any, to an equity award under any offer letter, transition letter, or similar letter; agreement; or communication from the Company or any Subsidiary or Parent.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Plan shall not be deemed to constitute, and shall not be construed by the Grantee to constitute part of the terms and conditions of employment. The value of the Option is not part of the Grantee’s normal or expected compensation for purposes of calculating any severance, retirement, welfare, insurance, or similar employee benefit. Neither the Company nor any member of the Board or of the Administrator shall have any liability of any kind to the Grantee for any action taken or not taken in good faith under the Plan; for any change, amendment, or cancellation of the Plan or this Option; or for the failure of this Option to realize intended tax consequences or to comply with any other law, compliance with which is not required on the part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(e) The Grantee acknowledges receipt of a copy of the Plan and represents that the Grantee is familiar with the terms and provisions thereof (and has had an opportunity to consult counsel regarding the Option terms), and hereby accepts the Option and agrees to be bound by its contractual terms as set forth herein and in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Grantee represents that the Grantee has consulted any tax, legal, or financial consultants the Grantee deems advisable in connection with the Grantee’s participation in the Plan; the entering into of this Agreement; and the purchase or disposition of the Shares issued pursuant to the exercise of the Option and that the Grantee is not relying on the Company for, and the Company has not provided the Grantee with, any tax, legal, or financial advice. The Company is not making any recommendation to the Grantee regarding the Grantee’s participation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The Grantee understands that the Option is subject to the Company’s insider trading policy, and such related restrictions, terms and conditions, or other policies as may be established by the Administrator from time to time.</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Employee Stock Option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By signing below or by clicking the applicable acceptance space on the Online Platform, the Grantee acknowledges receipt of this Agreement and agrees to its terms and conditions.</w:t>
      </w:r>
    </w:p>
    <w:p>
      <w:pPr>
        <w:pStyle w:val="TextBody"/>
        <w:bidi w:val="0"/>
        <w:jc w:val="both"/>
        <w:rPr/>
      </w:pPr>
      <w:r>
        <w:rPr/>
        <w:t> </w:t>
      </w:r>
    </w:p>
    <w:tbl>
      <w:tblPr>
        <w:tblW w:w="1491" w:type="dxa"/>
        <w:jc w:val="left"/>
        <w:tblInd w:w="0" w:type="dxa"/>
        <w:tblLayout w:type="fixed"/>
        <w:tblCellMar>
          <w:top w:w="28" w:type="dxa"/>
          <w:left w:w="28" w:type="dxa"/>
          <w:bottom w:w="28" w:type="dxa"/>
          <w:right w:w="28" w:type="dxa"/>
        </w:tblCellMar>
      </w:tblPr>
      <w:tblGrid>
        <w:gridCol w:w="956"/>
        <w:gridCol w:w="244"/>
        <w:gridCol w:w="291"/>
      </w:tblGrid>
      <w:tr>
        <w:trPr/>
        <w:tc>
          <w:tcPr>
            <w:tcW w:w="95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Heading2"/>
              <w:bidi w:val="0"/>
              <w:spacing w:before="200" w:after="120"/>
              <w:jc w:val="both"/>
              <w:rPr>
                <w:rFonts w:ascii="Times New Roman" w:hAnsi="Times New Roman"/>
                <w:color w:val="000000"/>
                <w:sz w:val="24"/>
              </w:rPr>
            </w:pPr>
            <w:r>
              <w:rPr>
                <w:rFonts w:ascii="Times New Roman" w:hAnsi="Times New Roman"/>
                <w:color w:val="000000"/>
                <w:sz w:val="24"/>
              </w:rPr>
              <w:t>GRANTEE</w:t>
            </w:r>
          </w:p>
        </w:tc>
      </w:tr>
      <w:tr>
        <w:trPr/>
        <w:tc>
          <w:tcPr>
            <w:tcW w:w="9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00" w:type="dxa"/>
            <w:gridSpan w:val="2"/>
            <w:tcBorders/>
            <w:tcMar>
              <w:top w:w="0" w:type="dxa"/>
              <w:left w:w="0" w:type="dxa"/>
              <w:bottom w:w="0" w:type="dxa"/>
              <w:right w:w="0" w:type="dxa"/>
            </w:tcMar>
            <w:vAlign w:val="center"/>
          </w:tcPr>
          <w:p>
            <w:pPr>
              <w:pStyle w:val="Heading2"/>
              <w:bidi w:val="0"/>
              <w:spacing w:before="200" w:after="120"/>
              <w:jc w:val="both"/>
              <w:rPr>
                <w:rFonts w:ascii="Times New Roman" w:hAnsi="Times New Roman"/>
                <w:b w:val="false"/>
                <w:color w:val="000000"/>
                <w:sz w:val="24"/>
              </w:rPr>
            </w:pPr>
            <w:r>
              <w:rPr>
                <w:rFonts w:ascii="Times New Roman" w:hAnsi="Times New Roman"/>
                <w:b w:val="false"/>
                <w:color w:val="000000"/>
                <w:sz w:val="24"/>
              </w:rPr>
              <w:t>Signature</w:t>
            </w:r>
          </w:p>
          <w:p>
            <w:pPr>
              <w:pStyle w:val="Heading2"/>
              <w:bidi w:val="0"/>
              <w:spacing w:before="200" w:after="120"/>
              <w:jc w:val="both"/>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Print name:</w:t>
            </w:r>
          </w:p>
        </w:tc>
        <w:tc>
          <w:tcPr>
            <w:tcW w:w="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Date:</w:t>
            </w:r>
          </w:p>
        </w:tc>
        <w:tc>
          <w:tcPr>
            <w:tcW w:w="244"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r>
    </w:tbl>
    <w:p>
      <w:pPr>
        <w:pStyle w:val="TextBody"/>
        <w:bidi w:val="0"/>
        <w:jc w:val="both"/>
        <w:rPr/>
      </w:pPr>
      <w:r>
        <w:rPr/>
        <w:t> </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Employee Stock Option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r>
        <w:rPr>
          <w:rFonts w:ascii="Times New Roman" w:hAnsi="Times New Roman"/>
          <w:color w:val="000000"/>
          <w:sz w:val="24"/>
        </w:rPr>
        <w:t>Non-Employee Director SOA</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ODYSSEY THERAPEUTICS, INC. 2026 LONG-TERM INCENTIVE PLAN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STOCK OPTION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Stock Option Agreement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between Odyssey Therapeutics,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the individual identified below as the “</w:t>
      </w:r>
      <w:r>
        <w:rPr>
          <w:rFonts w:ascii="Times New Roman" w:hAnsi="Times New Roman"/>
          <w:b/>
          <w:color w:val="000000"/>
          <w:sz w:val="24"/>
        </w:rPr>
        <w:t>Grantee</w:t>
      </w:r>
      <w:r>
        <w:rPr>
          <w:rFonts w:ascii="Times New Roman" w:hAnsi="Times New Roman"/>
          <w:color w:val="000000"/>
          <w:sz w:val="20"/>
        </w:rPr>
        <w:t xml:space="preserve">” </w:t>
      </w:r>
      <w:r>
        <w:rPr>
          <w:rFonts w:ascii="Times New Roman" w:hAnsi="Times New Roman"/>
          <w:color w:val="000000"/>
          <w:sz w:val="24"/>
        </w:rPr>
        <w:t>evidences the grant of a stock option (the “</w:t>
      </w:r>
      <w:r>
        <w:rPr>
          <w:rFonts w:ascii="Times New Roman" w:hAnsi="Times New Roman"/>
          <w:b/>
          <w:color w:val="000000"/>
          <w:sz w:val="24"/>
        </w:rPr>
        <w:t>Option</w:t>
      </w:r>
      <w:r>
        <w:rPr>
          <w:rFonts w:ascii="Times New Roman" w:hAnsi="Times New Roman"/>
          <w:color w:val="000000"/>
          <w:sz w:val="20"/>
        </w:rPr>
        <w:t>”</w:t>
      </w:r>
      <w:r>
        <w:rPr>
          <w:rFonts w:ascii="Times New Roman" w:hAnsi="Times New Roman"/>
          <w:color w:val="000000"/>
          <w:sz w:val="24"/>
        </w:rPr>
        <w:t>) under the Odyssey Therapeutics, Inc. 2026 Long-Term Incentive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xml:space="preserve">). This Agreement is subject to the terms of the Plan. To the extent that there is a conflict between the terms of this Agreement and the terms of the Plan, the terms of the Plan shall govern. </w:t>
      </w:r>
      <w:r>
        <w:rPr>
          <w:rFonts w:ascii="Times New Roman" w:hAnsi="Times New Roman"/>
          <w:b/>
          <w:color w:val="000000"/>
          <w:sz w:val="24"/>
        </w:rPr>
        <w:t>By signature below or by electronic acknowledgement of this Option through the online platform designated by the Company for delivery of this Agreement (any such platform, the “Online Platform”), the Grantee agrees to all of the terms and conditions described in this Agreement and in the Plan.</w:t>
      </w:r>
      <w:r>
        <w:rPr>
          <w:rFonts w:ascii="Times New Roman" w:hAnsi="Times New Roman"/>
          <w:color w:val="000000"/>
          <w:sz w:val="20"/>
        </w:rPr>
        <w:t xml:space="preserve">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NOTICE OF GRANT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45"/>
        <w:gridCol w:w="7460"/>
      </w:tblGrid>
      <w:tr>
        <w:trPr/>
        <w:tc>
          <w:tcPr>
            <w:tcW w:w="2745" w:type="dxa"/>
            <w:tcBorders/>
            <w:vAlign w:val="center"/>
          </w:tcPr>
          <w:p>
            <w:pPr>
              <w:pStyle w:val="TableContents"/>
              <w:bidi w:val="0"/>
              <w:spacing w:before="0" w:after="283"/>
              <w:jc w:val="left"/>
              <w:rPr>
                <w:sz w:val="4"/>
                <w:szCs w:val="4"/>
              </w:rPr>
            </w:pPr>
            <w:r>
              <w:rPr>
                <w:sz w:val="4"/>
                <w:szCs w:val="4"/>
              </w:rPr>
            </w:r>
          </w:p>
        </w:tc>
        <w:tc>
          <w:tcPr>
            <w:tcW w:w="7460" w:type="dxa"/>
            <w:tcBorders/>
            <w:vAlign w:val="center"/>
          </w:tcPr>
          <w:p>
            <w:pPr>
              <w:pStyle w:val="TableContents"/>
              <w:bidi w:val="0"/>
              <w:spacing w:before="0" w:after="283"/>
              <w:jc w:val="left"/>
              <w:rPr>
                <w:sz w:val="4"/>
                <w:szCs w:val="4"/>
              </w:rPr>
            </w:pPr>
            <w:r>
              <w:rPr>
                <w:sz w:val="4"/>
                <w:szCs w:val="4"/>
              </w:rPr>
            </w:r>
          </w:p>
        </w:tc>
      </w:tr>
      <w:tr>
        <w:trPr/>
        <w:tc>
          <w:tcPr>
            <w:tcW w:w="274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Name of Grantee (the “Grantee”)</w:t>
            </w:r>
          </w:p>
        </w:tc>
        <w:tc>
          <w:tcPr>
            <w:tcW w:w="746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left"/>
              <w:rPr/>
            </w:pPr>
            <w:r>
              <w:rPr/>
              <w:t> </w:t>
            </w:r>
          </w:p>
        </w:tc>
      </w:tr>
      <w:tr>
        <w:trPr/>
        <w:tc>
          <w:tcPr>
            <w:tcW w:w="2745" w:type="dxa"/>
            <w:tcBorders>
              <w:left w:val="single" w:sz="4" w:space="0" w:color="000000"/>
              <w:bottom w:val="single" w:sz="4" w:space="0" w:color="000000"/>
              <w:right w:val="single" w:sz="4" w:space="0" w:color="000000"/>
            </w:tcBorders>
            <w:shd w:fill="F2F2F2" w:val="clear"/>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Address</w:t>
            </w:r>
          </w:p>
        </w:tc>
        <w:tc>
          <w:tcPr>
            <w:tcW w:w="7460" w:type="dxa"/>
            <w:tcBorders>
              <w:bottom w:val="single" w:sz="4" w:space="0" w:color="000000"/>
              <w:right w:val="single" w:sz="4" w:space="0" w:color="000000"/>
            </w:tcBorders>
            <w:shd w:fill="F2F2F2" w:val="clear"/>
            <w:tcMar>
              <w:top w:w="0" w:type="dxa"/>
              <w:left w:w="0" w:type="dxa"/>
              <w:right w:w="108" w:type="dxa"/>
            </w:tcMar>
            <w:vAlign w:val="center"/>
          </w:tcPr>
          <w:p>
            <w:pPr>
              <w:pStyle w:val="TableContents"/>
              <w:bidi w:val="0"/>
              <w:spacing w:before="0" w:after="120"/>
              <w:jc w:val="left"/>
              <w:rPr/>
            </w:pPr>
            <w:r>
              <w:rPr/>
              <w:t> </w:t>
            </w:r>
          </w:p>
        </w:tc>
      </w:tr>
      <w:tr>
        <w:trPr/>
        <w:tc>
          <w:tcPr>
            <w:tcW w:w="2745" w:type="dxa"/>
            <w:tcBorders>
              <w:left w:val="single" w:sz="4" w:space="0" w:color="000000"/>
              <w:bottom w:val="single" w:sz="4" w:space="0" w:color="000000"/>
              <w:right w:val="single" w:sz="4" w:space="0" w:color="000000"/>
            </w:tcBorders>
            <w:shd w:fill="F2F2F2" w:val="clear"/>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No. of Shares Subject to the Option (“Option Shares”)</w:t>
            </w:r>
          </w:p>
        </w:tc>
        <w:tc>
          <w:tcPr>
            <w:tcW w:w="7460" w:type="dxa"/>
            <w:tcBorders>
              <w:bottom w:val="single" w:sz="4" w:space="0" w:color="000000"/>
              <w:right w:val="single" w:sz="4" w:space="0" w:color="000000"/>
            </w:tcBorders>
            <w:shd w:fill="F2F2F2" w:val="clear"/>
            <w:tcMar>
              <w:top w:w="0" w:type="dxa"/>
              <w:left w:w="0" w:type="dxa"/>
              <w:right w:w="108" w:type="dxa"/>
            </w:tcMar>
            <w:vAlign w:val="center"/>
          </w:tcPr>
          <w:p>
            <w:pPr>
              <w:pStyle w:val="TableContents"/>
              <w:bidi w:val="0"/>
              <w:spacing w:before="0" w:after="120"/>
              <w:jc w:val="left"/>
              <w:rPr/>
            </w:pPr>
            <w:r>
              <w:rPr/>
              <w:t> </w:t>
            </w:r>
          </w:p>
        </w:tc>
      </w:tr>
      <w:tr>
        <w:trPr/>
        <w:tc>
          <w:tcPr>
            <w:tcW w:w="27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Exercise Price per Share (“Exercise Price”)</w:t>
            </w:r>
          </w:p>
        </w:tc>
        <w:tc>
          <w:tcPr>
            <w:tcW w:w="746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pPr>
            <w:r>
              <w:rPr/>
              <w:t> </w:t>
            </w:r>
          </w:p>
        </w:tc>
      </w:tr>
      <w:tr>
        <w:trPr/>
        <w:tc>
          <w:tcPr>
            <w:tcW w:w="2745" w:type="dxa"/>
            <w:tcBorders>
              <w:left w:val="single" w:sz="4" w:space="0" w:color="000000"/>
              <w:bottom w:val="single" w:sz="4" w:space="0" w:color="000000"/>
              <w:right w:val="single" w:sz="4" w:space="0" w:color="000000"/>
            </w:tcBorders>
            <w:shd w:fill="F2F2F2" w:val="clear"/>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Grant Date</w:t>
            </w:r>
          </w:p>
        </w:tc>
        <w:tc>
          <w:tcPr>
            <w:tcW w:w="7460" w:type="dxa"/>
            <w:tcBorders>
              <w:bottom w:val="single" w:sz="4" w:space="0" w:color="000000"/>
              <w:right w:val="single" w:sz="4" w:space="0" w:color="000000"/>
            </w:tcBorders>
            <w:shd w:fill="F2F2F2" w:val="clear"/>
            <w:tcMar>
              <w:top w:w="0" w:type="dxa"/>
              <w:left w:w="0" w:type="dxa"/>
              <w:right w:w="108" w:type="dxa"/>
            </w:tcMar>
            <w:vAlign w:val="center"/>
          </w:tcPr>
          <w:p>
            <w:pPr>
              <w:pStyle w:val="TableContents"/>
              <w:bidi w:val="0"/>
              <w:spacing w:before="0" w:after="120"/>
              <w:jc w:val="left"/>
              <w:rPr/>
            </w:pPr>
            <w:r>
              <w:rPr/>
              <w:t> </w:t>
            </w:r>
          </w:p>
        </w:tc>
      </w:tr>
      <w:tr>
        <w:trPr/>
        <w:tc>
          <w:tcPr>
            <w:tcW w:w="2745" w:type="dxa"/>
            <w:tcBorders>
              <w:left w:val="single" w:sz="4" w:space="0" w:color="000000"/>
              <w:bottom w:val="single" w:sz="4" w:space="0" w:color="000000"/>
              <w:right w:val="single" w:sz="4" w:space="0" w:color="000000"/>
            </w:tcBorders>
            <w:shd w:fill="FFFFFF" w:val="clear"/>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Vesting Commencement Date</w:t>
            </w:r>
          </w:p>
        </w:tc>
        <w:tc>
          <w:tcPr>
            <w:tcW w:w="7460"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120"/>
              <w:jc w:val="left"/>
              <w:rPr/>
            </w:pPr>
            <w:r>
              <w:rPr/>
              <w:t> </w:t>
            </w:r>
          </w:p>
        </w:tc>
      </w:tr>
      <w:tr>
        <w:trPr/>
        <w:tc>
          <w:tcPr>
            <w:tcW w:w="2745" w:type="dxa"/>
            <w:tcBorders>
              <w:left w:val="single" w:sz="4" w:space="0" w:color="000000"/>
              <w:bottom w:val="single" w:sz="4" w:space="0" w:color="000000"/>
              <w:right w:val="single" w:sz="4" w:space="0" w:color="000000"/>
            </w:tcBorders>
            <w:shd w:fill="F2F2F2" w:val="clear"/>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Vesting Schedule Including Any Acceleration</w:t>
            </w:r>
          </w:p>
        </w:tc>
        <w:tc>
          <w:tcPr>
            <w:tcW w:w="7460" w:type="dxa"/>
            <w:tcBorders>
              <w:bottom w:val="single" w:sz="4" w:space="0" w:color="000000"/>
              <w:right w:val="single" w:sz="4" w:space="0" w:color="000000"/>
            </w:tcBorders>
            <w:shd w:fill="F2F2F2" w:val="clear"/>
            <w:tcMar>
              <w:top w:w="0" w:type="dxa"/>
              <w:left w:w="0" w:type="dxa"/>
              <w:right w:w="108"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 xml:space="preserve">The Option Shares shall vest and become exercisable as follows, subject to the Grantee’s Continuous Service through the applicable vesting dates: [___________________________]. </w:t>
            </w:r>
          </w:p>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In the event of a Corporate Transaction during the Grantee’s Continuous Service, the Option Shares shall vest and become exercisable, to the extent not already vested and exercisable, immediately prior to the time of consummation of such Corporate Transaction.</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Upon the termination of the Grantee’s Continuous Service, all remaining unvested Option Shares shall be immediately forfeited.</w:t>
            </w:r>
          </w:p>
        </w:tc>
      </w:tr>
      <w:tr>
        <w:trPr/>
        <w:tc>
          <w:tcPr>
            <w:tcW w:w="2745" w:type="dxa"/>
            <w:tcBorders>
              <w:left w:val="single" w:sz="4" w:space="0" w:color="000000"/>
              <w:bottom w:val="single" w:sz="4" w:space="0" w:color="000000"/>
              <w:right w:val="single" w:sz="4" w:space="0" w:color="000000"/>
            </w:tcBorders>
            <w:shd w:fill="FFFFFF" w:val="clear"/>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Expiration Date</w:t>
            </w:r>
          </w:p>
        </w:tc>
        <w:tc>
          <w:tcPr>
            <w:tcW w:w="7460" w:type="dxa"/>
            <w:tcBorders>
              <w:bottom w:val="single" w:sz="4" w:space="0" w:color="000000"/>
              <w:right w:val="single" w:sz="4" w:space="0" w:color="000000"/>
            </w:tcBorders>
            <w:shd w:fill="FFFFFF" w:val="clear"/>
            <w:tcMar>
              <w:top w:w="0" w:type="dxa"/>
              <w:left w:w="0" w:type="dxa"/>
              <w:right w:w="108"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The day immediately preceding the tenth anniversary of the Grant Date</w:t>
            </w:r>
          </w:p>
        </w:tc>
      </w:tr>
      <w:tr>
        <w:trPr/>
        <w:tc>
          <w:tcPr>
            <w:tcW w:w="2745" w:type="dxa"/>
            <w:tcBorders>
              <w:left w:val="single" w:sz="4" w:space="0" w:color="000000"/>
              <w:bottom w:val="single" w:sz="4" w:space="0" w:color="000000"/>
              <w:right w:val="single" w:sz="4" w:space="0" w:color="000000"/>
            </w:tcBorders>
            <w:shd w:fill="F2F2F2" w:val="clear"/>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Type of Option</w:t>
            </w:r>
          </w:p>
        </w:tc>
        <w:tc>
          <w:tcPr>
            <w:tcW w:w="7460" w:type="dxa"/>
            <w:tcBorders>
              <w:bottom w:val="single" w:sz="4" w:space="0" w:color="000000"/>
              <w:right w:val="single" w:sz="4" w:space="0" w:color="000000"/>
            </w:tcBorders>
            <w:shd w:fill="F2F2F2" w:val="clear"/>
            <w:tcMar>
              <w:top w:w="0" w:type="dxa"/>
              <w:left w:w="0" w:type="dxa"/>
              <w:right w:w="108"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Non-Qualified Stock Option</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TERMS</w:t>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Definitions </w:t>
      </w:r>
    </w:p>
    <w:p>
      <w:pPr>
        <w:pStyle w:val="TextBody"/>
        <w:bidi w:val="0"/>
        <w:spacing w:before="0" w:after="240"/>
        <w:jc w:val="both"/>
        <w:rPr>
          <w:rFonts w:ascii="Times New Roman" w:hAnsi="Times New Roman"/>
          <w:sz w:val="20"/>
        </w:rPr>
      </w:pPr>
      <w:r>
        <w:rPr>
          <w:rFonts w:ascii="Times New Roman" w:hAnsi="Times New Roman"/>
          <w:color w:val="000000"/>
          <w:sz w:val="24"/>
        </w:rPr>
        <w:t>Capitalized terms used but not defined in this Agreement have the defined meanings set forth in the Plan.</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Grant of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Pursuant to the Plan and subject to the terms of this Agreement, the Company grants to the Grantee, as of the Grant Date, the Option to purchase the Option Shares at the Exercise Price.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Type of Option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Option is not an incentive stock option under Section 422 of the Code and shall be treated as a non-qualified stock option.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Vesting; Termination of Option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Requirement of Vesting</w:t>
      </w:r>
      <w:r>
        <w:rPr>
          <w:rFonts w:ascii="Times New Roman" w:hAnsi="Times New Roman"/>
          <w:color w:val="000000"/>
          <w:sz w:val="24"/>
        </w:rPr>
        <w:t>. The Option may be exercised before termination or expiration to the extent that the Option has become vested, subject to the terms of this Agreement and the Plan.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Vesting of Option</w:t>
      </w:r>
      <w:r>
        <w:rPr>
          <w:rFonts w:ascii="Times New Roman" w:hAnsi="Times New Roman"/>
          <w:color w:val="000000"/>
          <w:sz w:val="24"/>
        </w:rPr>
        <w:t>. The Option shall vest and become exercisable in one or more installments pursuant to the vesting schedule specified in the Notice of Grant.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Termination of the Option</w:t>
      </w:r>
      <w:r>
        <w:rPr>
          <w:rFonts w:ascii="Times New Roman" w:hAnsi="Times New Roman"/>
          <w:color w:val="000000"/>
          <w:sz w:val="24"/>
        </w:rPr>
        <w:t>. The Option, if not previously exercised, shall terminate on the Expiration Date, except that, if the Grantee’s Continuous Service terminates while the Option is outstanding, the unvested portion of the Option shall terminate on the date that the Grantee’s Continuous Service terminates (except as otherwise determined by the Administrator), and the vested portion of the Option shall be exercisable as set forth below: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Termination for Cause</w:t>
      </w:r>
      <w:r>
        <w:rPr>
          <w:rFonts w:ascii="Times New Roman" w:hAnsi="Times New Roman"/>
          <w:color w:val="000000"/>
          <w:sz w:val="24"/>
        </w:rPr>
        <w:t>. If the Grantee’s Continuous Service terminates due to a termination for Cause, the Option shall terminate (whether vested or unvested) immediately upon the date of such termination.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Other Terminations</w:t>
      </w:r>
      <w:r>
        <w:rPr>
          <w:rFonts w:ascii="Times New Roman" w:hAnsi="Times New Roman"/>
          <w:color w:val="000000"/>
          <w:sz w:val="24"/>
        </w:rPr>
        <w:t>. If the Grantee’s Continuous Service terminates for any reason other than as described above in clause (i), the Option may be exercised, to the extent vested, until the Expiration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Exercise of Option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Notice</w:t>
      </w:r>
      <w:r>
        <w:rPr>
          <w:rFonts w:ascii="Times New Roman" w:hAnsi="Times New Roman"/>
          <w:color w:val="000000"/>
          <w:sz w:val="24"/>
        </w:rPr>
        <w:t>. The Option may be exercised, in whole or in part, only by (i) the completion, execution, and delivery to the Company of a notice of exercise in the form supplied by the Company (which may be electronic or through the Online Platform); (ii) the payment to the Company, pursuant to the terms of this Agreement, of an amount equal to the Exercise Price multiplied by the number of Option Shares being purchased as specified in the notice of exercise; and (iii) the satisfaction by the Grantee, in a manner acceptable to the Company, of any withholding liability under any federal, state,</w:t>
      </w:r>
      <w:r>
        <w:rPr>
          <w:rFonts w:ascii="Times New Roman" w:hAnsi="Times New Roman"/>
          <w:color w:val="000000"/>
          <w:sz w:val="20"/>
        </w:rPr>
        <w:t xml:space="preserve"> </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Non-Employee Director Stock Option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local, non-U.S., or other law arising in connection with exercise of the Option. The notice of exercise shall be given in the manner specified in Section 11 (Notices) (or such other manner as may be specified by the Administrator) but any exercise of the Option shall be effective only when the items required by this Section 5(a) are actually received by the Company. Notwithstanding anything to the contrary in this Agreement, the Option may be exercised only if compliance with all applicable federal, state, and other securities laws can be effected.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Payment</w:t>
      </w:r>
      <w:r>
        <w:rPr>
          <w:rFonts w:ascii="Times New Roman" w:hAnsi="Times New Roman"/>
          <w:color w:val="000000"/>
          <w:sz w:val="24"/>
        </w:rPr>
        <w:t>. To the extent permitted by applicable law, payment of the aggregate Exercise Price and any applicable tax withholding may be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in cash, wire transfer, electronic funds transfer, or by check payable to the order of the Company for an amount in U.S. dollars equal to the aggregate Exercise Price of such Option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by delivery of Shares held by the Grantee for the requisite period necessary to avoid a charge to the Company’s earnings for financial reporting purposes, as determined by the Administrator in its discretion, and having an aggregate Fair Market Value equal to the amount of cash that would otherwise be required to pay the aggregate Exercise Price;</w:t>
      </w:r>
    </w:p>
    <w:p>
      <w:pPr>
        <w:pStyle w:val="TextBody"/>
        <w:bidi w:val="0"/>
        <w:spacing w:before="0" w:after="240"/>
        <w:jc w:val="both"/>
        <w:rPr>
          <w:rFonts w:ascii="Times New Roman" w:hAnsi="Times New Roman"/>
          <w:sz w:val="20"/>
        </w:rPr>
      </w:pPr>
      <w:r>
        <w:rPr>
          <w:rFonts w:ascii="Times New Roman" w:hAnsi="Times New Roman"/>
          <w:color w:val="000000"/>
          <w:sz w:val="24"/>
        </w:rPr>
        <w:t>(iii) by Sell-to-Cover,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(iv) upon approval by the Administrator, through a net exercise arrangement pursuant to which the Company will reduce the number of Shares issuable upon exercise by the largest whole number of Shares with a Fair Market Value that does not exceed the sum of the aggregate Exercise Price and the applicable federal, state, local and/or non-U.S. income and employment taxes required to be withheld by reason of such exercise (“</w:t>
      </w:r>
      <w:r>
        <w:rPr>
          <w:rFonts w:ascii="Times New Roman" w:hAnsi="Times New Roman"/>
          <w:b/>
          <w:color w:val="000000"/>
          <w:sz w:val="24"/>
        </w:rPr>
        <w:t>Net Exercise</w:t>
      </w:r>
      <w:r>
        <w:rPr>
          <w:rFonts w:ascii="Times New Roman" w:hAnsi="Times New Roman"/>
          <w:color w:val="000000"/>
          <w:sz w:val="20"/>
        </w:rPr>
        <w:t>”</w:t>
      </w:r>
      <w:r>
        <w:rPr>
          <w:rFonts w:ascii="Times New Roman" w:hAnsi="Times New Roman"/>
          <w:color w:val="000000"/>
          <w:sz w:val="24"/>
        </w:rPr>
        <w:t>), provided that any remaining balance of the aggregate Exercise Price not satisfied by the Net Exercise must be paid in cash or other permitted form of payment,</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in each case, such payment method shall be executed pursuant to the procedures established by the Administrator for this purpose and subject to the Company’s policies and procedures related to the trading of Company securities. Payment may also be made by combining the above methods, to the extent permitted by the Administrator. To the extent that Shares are used in making full or partial payment of the Exercise Price, each such Share will be valued at the Fair Market Value. Any overpayment will be promptly refunded, and any underpayment will be deemed an exercise of such lesser whole number of Shares as the amount paid is sufficient to purchase.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Certificates</w:t>
      </w:r>
      <w:r>
        <w:rPr>
          <w:rFonts w:ascii="Times New Roman" w:hAnsi="Times New Roman"/>
          <w:color w:val="000000"/>
          <w:sz w:val="24"/>
        </w:rPr>
        <w:t>. Except as otherwise provided in the Plan, upon any exercise of the Option by the Grantee or as soon thereafter as is practicable, such number of Shares as the Grantee has then elected to purchase shall be uncertificated shares recorded in the books of the Company (or as applicable, its transfer agent or stock plan administrator) or, in the Company’s discretion, shall be represented by a certificate or certificates registered in the name of the Grantee and issued or delivered by the Company. Such Shares shall bear such legends as the Company deems appropriate.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Withholding</w:t>
      </w:r>
      <w:r>
        <w:rPr>
          <w:rFonts w:ascii="Times New Roman" w:hAnsi="Times New Roman"/>
          <w:color w:val="000000"/>
          <w:sz w:val="24"/>
        </w:rPr>
        <w:t>. The Company shall, in its discretion, have the right to deduct or withhold from payments of any kind otherwise due to the Grantee, or require the Grantee to remit to the</w:t>
      </w:r>
      <w:r>
        <w:rPr>
          <w:rFonts w:ascii="Times New Roman" w:hAnsi="Times New Roman"/>
          <w:color w:val="000000"/>
          <w:sz w:val="20"/>
        </w:rPr>
        <w:t xml:space="preserve"> </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Non-Employee Director Stock Option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Company, an amount sufficient to satisfy taxes imposed under the laws of any country, state, province, city, or other jurisdiction, including but not limited to income taxes, capital gain taxes, transfer taxes, and social security contributions that are required by law to be withheld with respect to the Plan, exercise of the Option, payment of Shares under this Agreement, the sale of Shares acquired hereunder, and/or the payment of dividends on Shares acquired hereunder, as applicable. A sufficient number of the Shares resulting from payout of this Option at exercise may, in the Company’s discretion, be retained by the Company to satisfy any tax-withholding obligation.</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Restrictions on Transfer of Option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Option and the rights and privileges conferred hereby shall not be transferred, assigned, pledged, or otherwise encumbered in any way (whether by operation of law or otherwise), other than by will or by the laws of descent and distribution. The Option shall be exercisable only by the Grantee during the Grantee’s lifetime. For this purpose, any reference to the Grantee shall (when applicable) be deemed to be and include references to the Grantee’s estate, executors or administrators, personal or legal representatives, and transferees (direct or indirect). Any person to whom the Option is transferred in accordance with this Agreement shall be bound by all provisions of the Plan and this Agreement. Upon any attempt to transfer, assign, pledge, or otherwise encumber the Option or any right or privilege conferred hereby contrary to the provisions hereof, the Option and the rights and privileges conferred hereby shall immediately become null and void.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Adjustments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number of Option Shares as to which the Option has not been exercised, the Exercise Price, and the type of stock or other consideration to be received on exercise of the Option shall be subject to such adjustment, pursuant to the Plan, in the manner determined to be appropriate by the Administrator, in its sole discretion. Any adjustment determined to be appropriate by the Administrator shall be conclusive and shall be binding on the Grantee.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Rights Prior to Exercise </w:t>
      </w:r>
    </w:p>
    <w:p>
      <w:pPr>
        <w:pStyle w:val="TextBody"/>
        <w:bidi w:val="0"/>
        <w:spacing w:before="0" w:after="240"/>
        <w:jc w:val="both"/>
        <w:rPr>
          <w:rFonts w:ascii="Times New Roman" w:hAnsi="Times New Roman"/>
          <w:sz w:val="20"/>
        </w:rPr>
      </w:pPr>
      <w:r>
        <w:rPr>
          <w:rFonts w:ascii="Times New Roman" w:hAnsi="Times New Roman"/>
          <w:color w:val="000000"/>
          <w:sz w:val="24"/>
        </w:rPr>
        <w:t>The Grantee will have no rights as a stockholder with respect to the Option Shares unless and until the Shares are issued to the Grantee pursuant to the exercise of the Option.</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Clawback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Grantee acknowledges and agrees that this Award may be subject to recoupment or clawback by the Company in accordance with the Company’s recoupment, clawback or similar policy as such may be in effect from time to time, as well as any similar provisions of applicable law, or Securities and Exchange Commission rule or regulation, or stock exchange requirement, which could in certain circumstances require repayment or forfeiture of the Award or any Shares or other cash or property received with respect to the Award (including any value received from a disposition of Shares acquired upon exercise of the Award).</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Non-Employee Director Stock Option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No Guarantee of Continuing Service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grant of this Option evidenced by this Agreement nor any term or provision of this Agreement or the Plan shall constitute or be evidence of any understanding, express or implied, on the part of the Company or any Subsidiary or Parent to employ or retain the Grantee for any period.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Notices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notices, requests, consents, and other communications shall be in writing and be deemed given (a) when delivered personally; (b) when sent by email, by facsimile transmission, or other electronic means (as described in Section 12 (Electronic Delivery)); or (c) when received, if sent via courier service or mailed by first class registered or certified mail, postage prepaid. Notices to the Company or the Grantee shall be sent to the addresses, facsimile numbers, or email addresses listed on the Online Platform, as applicable, or to such other address, facsimile number, or email address as such party may designate by a notice delivered to the other party hereto, including through the Online Platform.</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Electronic Delivery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in its sole discretion, decide to deliver any documents related to the Company, the Plan, this Option, or current or future participation in the Plan, and any other documents that the Company is required to deliver to its security holders (including, without limitation, disclosures that may be required by the Securities and Exchange Commission), by email or by other electronic means. The Grantee hereby consents to (a) conduct business electronically, (b) receive such documents and notices by such electronic delivery, and (c) sign documents electronically; and the Grantee hereby agrees to participate in the Plan through an online or electronic capitalization administration platform established and maintained by the Company or a third party designated by the Company, including the Online Platform.</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Data Privacy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Grantee acknowledges and agrees that the Company and its affiliates will process and retain certain personal data for the purposes of (a) calculating Awards, (b) monitoring Award terms and conditions, and (c) otherwise administering the Plan and Awards made under it. Such personal data may include, among other things, the Grantee’s address, email address, social security number, pay data, job title, and employment dates. The Grantee consents to such processing, and to the sharing of such personal data with the Company, its affiliates, its agents, its advisers, its regulators, and tax authorities, wherever appropriate.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Entire Agreement; Amendment; Enforcement of Rights</w:t>
      </w:r>
    </w:p>
    <w:p>
      <w:pPr>
        <w:pStyle w:val="TextBody"/>
        <w:bidi w:val="0"/>
        <w:spacing w:before="0" w:after="240"/>
        <w:jc w:val="both"/>
        <w:rPr>
          <w:rFonts w:ascii="Times New Roman" w:hAnsi="Times New Roman"/>
          <w:sz w:val="20"/>
        </w:rPr>
      </w:pPr>
      <w:r>
        <w:rPr>
          <w:rFonts w:ascii="Times New Roman" w:hAnsi="Times New Roman"/>
          <w:color w:val="000000"/>
          <w:sz w:val="24"/>
        </w:rPr>
        <w:t>(a) This Agreement, together with the Plan, sets forth the entire agreement and understanding between the parties hereto relating to the subject matter hereof and supersedes all prior and contemporaneous understandings, agreements, discussions, representations, and warranties, both written and oral, between the parties hereto, including any representations made during any interviews or relocation negotiations, with respect to such subject matter.</w:t>
      </w:r>
      <w:r>
        <w:rPr>
          <w:rFonts w:ascii="Times New Roman" w:hAnsi="Times New Roman"/>
          <w:color w:val="000000"/>
          <w:sz w:val="20"/>
        </w:rPr>
        <w:t xml:space="preserve"> </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Non-Employee Director Stock Option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(b) The Administrator may amend, modify, or terminate the Agreement at any time and for any reason. The Grantee’s consent to such action shall be required, except as permitted or contemplated under the Plan. The failure by either party to enforce any rights under this Agreement shall not be construed as a waiver of any rights of such party.</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Successors and Assigns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rights and benefits of this Agreement shall inure to the benefit of, and be enforceable by the Company’s successors and assigns. The rights and obligations of the Grantee under this Agreement may be assigned only with the prior written consent of the Company.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Severability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provision of the Agreement is, becomes, or is deemed to be invalid, illegal, or unenforceable in any jurisdiction or as to the Grantee, such provision shall be construed or deemed amended to conform with applicable law, or if the provision cannot be so construed or deemed amended without, in the sole discretion of the Administrator, materially altering the intent of the Agreement, such provision shall be severed as to the jurisdiction or the Grantee and the remainder of the Agreement shall remain in full force and effect.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Governing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validity and construction of the Plan and the Agreement shall be governed by the laws of the State of Delaware, excluding any conflicts or choice of law rules or principles that might otherwise refer construction or interpretation of any provision of the Plan or the Agreement to the substantive law of another jurisdiction.</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Compliance with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granting of the Option, the exercise of the Option and related issuance of Shares, disposition of the Shares, and any other obligations of the Company under this Agreement, shall be subject to all applicable federal, state, local, and non-U.S. laws, rules, and regulations and to such approvals by any regulatory or governmental agency as may be required. The Administrator shall have the right to impose such restrictions on the Option and related Shares as it deems reasonably necessary or advisable under applicable securities laws and/or the rules and regulations of any stock exchange or market upon which the Shares are then listed or traded. Notwithstanding any other provision of this Agreement, the Company shall not be obligated to issue any Shares pursuant to this Agreement if the issuance thereof would result in a violation of any law. It is expressly understood that the Administrator is authorized to administer, construe, and make all determinations necessary or appropriate for the administration of the Plan, subject to the terms of this Agreement, all of which shall be binding upon the Grantee. The Grantee agrees to take all steps the Administrator determines are reasonably necessary to comply with all applicable securities laws in exercising the Grantee’s rights under this Agreement.</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Non-Employee Director Stock Option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Section 409A of the Internal Revenue Code</w:t>
      </w:r>
    </w:p>
    <w:p>
      <w:pPr>
        <w:pStyle w:val="TextBody"/>
        <w:bidi w:val="0"/>
        <w:spacing w:before="0" w:after="240"/>
        <w:jc w:val="both"/>
        <w:rPr>
          <w:rFonts w:ascii="Times New Roman" w:hAnsi="Times New Roman"/>
          <w:sz w:val="20"/>
        </w:rPr>
      </w:pPr>
      <w:r>
        <w:rPr>
          <w:rFonts w:ascii="Times New Roman" w:hAnsi="Times New Roman"/>
          <w:color w:val="000000"/>
          <w:sz w:val="24"/>
        </w:rPr>
        <w:t>The Option and this Agreement shall be interpreted to be exempt from the requirements of Code section 409A (“</w:t>
      </w:r>
      <w:r>
        <w:rPr>
          <w:rFonts w:ascii="Times New Roman" w:hAnsi="Times New Roman"/>
          <w:b/>
          <w:color w:val="000000"/>
          <w:sz w:val="24"/>
        </w:rPr>
        <w:t>Section 409A</w:t>
      </w:r>
      <w:r>
        <w:rPr>
          <w:rFonts w:ascii="Times New Roman" w:hAnsi="Times New Roman"/>
          <w:color w:val="000000"/>
          <w:sz w:val="20"/>
        </w:rPr>
        <w:t>”</w:t>
      </w:r>
      <w:r>
        <w:rPr>
          <w:rFonts w:ascii="Times New Roman" w:hAnsi="Times New Roman"/>
          <w:color w:val="000000"/>
          <w:sz w:val="24"/>
        </w:rPr>
        <w:t>) pursuant to Treas. Reg. § 1.409A-1(b)(5)(i) and Treas. Reg. § 1.409A-1(b)(5)(ii). Any action that may be taken (and, to the extent possible, any action actually taken) by the Administrator or the Company shall not be taken (or shall be void and without effect), if such action violates the requirements of Section 409A. If the failure to take an action under this Agreement would violate Section 409A, then to the extent it is possible thereby to avoid a violation of Section 409A, the rights and effects under this Agreement shall be altered to avoid such violation. Any provision in this Agreement that is determined to violate the requirements of Section 409A shall be void and without effect. In addition, any provision that is required to appear in this Agreement to satisfy the requirements of Section 409A, but that is not expressly set forth, shall be deemed to be set forth herein, and the Agreement shall be administered in all respects as if such provision were expressly set forth.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nothing in this Agreement shall be interpreted or construed to transfer any liability for any tax (including a tax or penalty due as a result of a failure to comply with Section 409A) from the Grantee to the Company or to any other individual or entity.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Acceptance of Option</w:t>
      </w:r>
    </w:p>
    <w:p>
      <w:pPr>
        <w:pStyle w:val="TextBody"/>
        <w:bidi w:val="0"/>
        <w:spacing w:before="0" w:after="240"/>
        <w:jc w:val="both"/>
        <w:rPr>
          <w:rFonts w:ascii="Times New Roman" w:hAnsi="Times New Roman"/>
          <w:sz w:val="20"/>
        </w:rPr>
      </w:pPr>
      <w:r>
        <w:rPr>
          <w:rFonts w:ascii="Times New Roman" w:hAnsi="Times New Roman"/>
          <w:color w:val="000000"/>
          <w:sz w:val="24"/>
        </w:rPr>
        <w:t>In consideration for the Option and by accepting this Agreement, the Grantee agrees and acknowledges 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The Option and any future awards under the Plan are entirely voluntary, and at the complete discretion of the Company. Neither the Option, nor any future awards by the Company, shall be deemed to create any obligation to grant any other awards, whether or not such a reservation is explicitly stated at the time of any such award.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Subject to the terms of the Plan, the Board may at any time and from time to time, alter, amend, suspend, or terminate the Plan, in whole or in part.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Grantee acknowledges and agrees that the Grantee has no right to receive any equity compensation following the Grant Date other than as set forth in this Agreement or otherwise approved by the Board on or before the Grant Date, and that the Option is granted in full satisfaction of the Grantee’s right, if any, to an equity award under any offer letter, transition letter, or similar letter; agreement; or communication from the Company or any Subsidiary or Parent.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Plan shall not be deemed to constitute, and shall not be construed by the Grantee to constitute, part of the terms and conditions of employment. The value of the Option is not part of the Grantee’s normal or expected compensation for purposes of calculating any severance, retirement, welfare, insurance, or similar employee benefit. Neither the Company nor any member of the Board or of the Administrator shall have any liability of any kind to the Grantee for any action taken or not taken in good faith under the Plan; for any change, amendment, or cancellation of the Plan or this Option; or for the failure of this Option to realize intended tax consequences or to comply with any other law, compliance with which is not required on the part of the Company.</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Non-Employee Director Stock Option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(e) The Grantee acknowledges receipt of a copy of the Plan and represents that the Grantee is familiar with the terms and provisions thereof (and has had an opportunity to consult counsel regarding the Option terms), and hereby accepts the Option and agrees to be bound by its contractual terms as set forth herein and in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Grantee represents that the Grantee has consulted any tax, legal, or financial consultants the Grantee deems advisable in connection with the Grantee’s participation in the Plan; the entering into of this Agreement; and the purchase or disposition of the Shares issued pursuant to the exercise of the Option and that the Grantee is not relying on the Company for, and the Company has not provided the Grantee with, any tax, legal, or financial advice. The Company is not making any recommendation to the Grantee regarding the Grantee’s participation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The Grantee understands that the Option is subject to the Company’s insider trading policy, and such related restrictions, terms and conditions, or other policies as may be established by the Administrator from time to time.</w:t>
      </w:r>
    </w:p>
    <w:p>
      <w:pPr>
        <w:pStyle w:val="TextBody"/>
        <w:bidi w:val="0"/>
        <w:jc w:val="both"/>
        <w:rPr>
          <w:rFonts w:ascii="Times New Roman" w:hAnsi="Times New Roman"/>
          <w:color w:val="000000"/>
          <w:sz w:val="24"/>
        </w:rPr>
      </w:pPr>
      <w:r>
        <w:rPr>
          <w:rFonts w:ascii="Times New Roman" w:hAnsi="Times New Roman"/>
          <w:color w:val="000000"/>
          <w:sz w:val="24"/>
        </w:rPr>
        <w:t>(h) By signing below or by clicking the applicable acceptance space on the Online Platform, the Grantee acknowledges receipt of this Agreement and agrees to its terms and conditions.</w:t>
      </w:r>
    </w:p>
    <w:p>
      <w:pPr>
        <w:pStyle w:val="TextBody"/>
        <w:bidi w:val="0"/>
        <w:jc w:val="both"/>
        <w:rPr/>
      </w:pPr>
      <w:r>
        <w:rPr/>
        <w:t> </w:t>
      </w:r>
    </w:p>
    <w:tbl>
      <w:tblPr>
        <w:tblW w:w="1491" w:type="dxa"/>
        <w:jc w:val="left"/>
        <w:tblInd w:w="0" w:type="dxa"/>
        <w:tblLayout w:type="fixed"/>
        <w:tblCellMar>
          <w:top w:w="28" w:type="dxa"/>
          <w:left w:w="28" w:type="dxa"/>
          <w:bottom w:w="28" w:type="dxa"/>
          <w:right w:w="28" w:type="dxa"/>
        </w:tblCellMar>
      </w:tblPr>
      <w:tblGrid>
        <w:gridCol w:w="956"/>
        <w:gridCol w:w="244"/>
        <w:gridCol w:w="291"/>
      </w:tblGrid>
      <w:tr>
        <w:trPr/>
        <w:tc>
          <w:tcPr>
            <w:tcW w:w="95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Heading2"/>
              <w:bidi w:val="0"/>
              <w:spacing w:before="200" w:after="120"/>
              <w:jc w:val="both"/>
              <w:rPr>
                <w:rFonts w:ascii="Times New Roman" w:hAnsi="Times New Roman"/>
                <w:color w:val="000000"/>
                <w:sz w:val="24"/>
              </w:rPr>
            </w:pPr>
            <w:r>
              <w:rPr>
                <w:rFonts w:ascii="Times New Roman" w:hAnsi="Times New Roman"/>
                <w:color w:val="000000"/>
                <w:sz w:val="24"/>
              </w:rPr>
              <w:t>GRANTEE</w:t>
            </w:r>
          </w:p>
        </w:tc>
      </w:tr>
      <w:tr>
        <w:trPr/>
        <w:tc>
          <w:tcPr>
            <w:tcW w:w="9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00" w:type="dxa"/>
            <w:gridSpan w:val="2"/>
            <w:tcBorders/>
            <w:tcMar>
              <w:top w:w="0" w:type="dxa"/>
              <w:left w:w="0" w:type="dxa"/>
              <w:bottom w:w="0" w:type="dxa"/>
              <w:right w:w="0" w:type="dxa"/>
            </w:tcMar>
            <w:vAlign w:val="center"/>
          </w:tcPr>
          <w:p>
            <w:pPr>
              <w:pStyle w:val="Heading2"/>
              <w:bidi w:val="0"/>
              <w:spacing w:before="200" w:after="120"/>
              <w:jc w:val="both"/>
              <w:rPr>
                <w:rFonts w:ascii="Times New Roman" w:hAnsi="Times New Roman"/>
                <w:b w:val="false"/>
                <w:color w:val="000000"/>
                <w:sz w:val="24"/>
              </w:rPr>
            </w:pPr>
            <w:r>
              <w:rPr>
                <w:rFonts w:ascii="Times New Roman" w:hAnsi="Times New Roman"/>
                <w:b w:val="false"/>
                <w:color w:val="000000"/>
                <w:sz w:val="24"/>
              </w:rPr>
              <w:t>Signature</w:t>
            </w:r>
          </w:p>
          <w:p>
            <w:pPr>
              <w:pStyle w:val="Heading2"/>
              <w:bidi w:val="0"/>
              <w:spacing w:before="200" w:after="120"/>
              <w:jc w:val="both"/>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Print name:</w:t>
            </w:r>
          </w:p>
        </w:tc>
        <w:tc>
          <w:tcPr>
            <w:tcW w:w="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Date:</w:t>
            </w:r>
          </w:p>
        </w:tc>
        <w:tc>
          <w:tcPr>
            <w:tcW w:w="244"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r>
    </w:tbl>
    <w:p>
      <w:pPr>
        <w:pStyle w:val="TextBody"/>
        <w:bidi w:val="0"/>
        <w:jc w:val="both"/>
        <w:rPr/>
      </w:pPr>
      <w:r>
        <w:rPr/>
        <w:t> </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Non-Employee Director Stock Option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RSU Award Agreement</w:t>
      </w:r>
    </w:p>
    <w:p>
      <w:pPr>
        <w:pStyle w:val="TextBody"/>
        <w:bidi w:val="0"/>
        <w:jc w:val="center"/>
        <w:rPr>
          <w:rFonts w:ascii="Times New Roman" w:hAnsi="Times New Roman"/>
          <w:b/>
          <w:color w:val="000000"/>
          <w:sz w:val="24"/>
        </w:rPr>
      </w:pPr>
      <w:r>
        <w:rPr>
          <w:rFonts w:ascii="Times New Roman" w:hAnsi="Times New Roman"/>
          <w:b/>
          <w:color w:val="000000"/>
          <w:sz w:val="24"/>
        </w:rPr>
        <w:t>ODYSSEY THERAPEUTICS, INC. 2026 LONG-TERM INCENTIVE PLAN</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Restricted Stock Unit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Restricted Stock Unit Agreement (the “</w:t>
      </w:r>
      <w:r>
        <w:rPr>
          <w:rFonts w:ascii="Times New Roman" w:hAnsi="Times New Roman"/>
          <w:b/>
          <w:color w:val="000000"/>
          <w:sz w:val="24"/>
        </w:rPr>
        <w:t>Award Agreement</w:t>
      </w:r>
      <w:r>
        <w:rPr>
          <w:rFonts w:ascii="Times New Roman" w:hAnsi="Times New Roman"/>
          <w:color w:val="000000"/>
          <w:sz w:val="20"/>
        </w:rPr>
        <w:t>”</w:t>
      </w:r>
      <w:r>
        <w:rPr>
          <w:rFonts w:ascii="Times New Roman" w:hAnsi="Times New Roman"/>
          <w:color w:val="000000"/>
          <w:sz w:val="24"/>
        </w:rPr>
        <w:t>) between Odyssey Therapeutics,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the individual identified below as the “</w:t>
      </w:r>
      <w:r>
        <w:rPr>
          <w:rFonts w:ascii="Times New Roman" w:hAnsi="Times New Roman"/>
          <w:b/>
          <w:color w:val="000000"/>
          <w:sz w:val="24"/>
        </w:rPr>
        <w:t>Grantee</w:t>
      </w:r>
      <w:r>
        <w:rPr>
          <w:rFonts w:ascii="Times New Roman" w:hAnsi="Times New Roman"/>
          <w:color w:val="000000"/>
          <w:sz w:val="20"/>
        </w:rPr>
        <w:t xml:space="preserve">” </w:t>
      </w:r>
      <w:r>
        <w:rPr>
          <w:rFonts w:ascii="Times New Roman" w:hAnsi="Times New Roman"/>
          <w:color w:val="000000"/>
          <w:sz w:val="24"/>
        </w:rPr>
        <w:t>evidences the grant of an award of Restricted Stock Units (the “</w:t>
      </w:r>
      <w:r>
        <w:rPr>
          <w:rFonts w:ascii="Times New Roman" w:hAnsi="Times New Roman"/>
          <w:b/>
          <w:color w:val="000000"/>
          <w:sz w:val="24"/>
        </w:rPr>
        <w:t>Award</w:t>
      </w:r>
      <w:r>
        <w:rPr>
          <w:rFonts w:ascii="Times New Roman" w:hAnsi="Times New Roman"/>
          <w:color w:val="000000"/>
          <w:sz w:val="20"/>
        </w:rPr>
        <w:t>”</w:t>
      </w:r>
      <w:r>
        <w:rPr>
          <w:rFonts w:ascii="Times New Roman" w:hAnsi="Times New Roman"/>
          <w:color w:val="000000"/>
          <w:sz w:val="24"/>
        </w:rPr>
        <w:t>) under the Odyssey Therapeutics, Inc. 2026 Long-Term Incentive Plan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xml:space="preserve">). This Award Agreement is subject to the terms of the Plan. To the extent that there is a conflict between the terms of this Award Agreement and the terms of the Plan, the terms of the Plan shall govern. </w:t>
      </w:r>
      <w:r>
        <w:rPr>
          <w:rFonts w:ascii="Times New Roman" w:hAnsi="Times New Roman"/>
          <w:b/>
          <w:color w:val="000000"/>
          <w:sz w:val="24"/>
        </w:rPr>
        <w:t>By signature below or by electronic acknowledgement of this Award through the online platform designated by the Company for delivery of this Award Agreement (any such platform, the “Online Platform”), the Grantee agrees to all of the terms and conditions described in this Award Agreement and in the Plan.</w:t>
      </w:r>
      <w:r>
        <w:rPr>
          <w:rFonts w:ascii="Times New Roman" w:hAnsi="Times New Roman"/>
          <w:color w:val="000000"/>
          <w:sz w:val="20"/>
        </w:rPr>
        <w:t xml:space="preserve"> </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NOTICE OF GRANT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85"/>
        <w:gridCol w:w="7120"/>
      </w:tblGrid>
      <w:tr>
        <w:trPr/>
        <w:tc>
          <w:tcPr>
            <w:tcW w:w="3085" w:type="dxa"/>
            <w:tcBorders/>
            <w:vAlign w:val="center"/>
          </w:tcPr>
          <w:p>
            <w:pPr>
              <w:pStyle w:val="TableContents"/>
              <w:bidi w:val="0"/>
              <w:spacing w:before="0" w:after="283"/>
              <w:jc w:val="left"/>
              <w:rPr>
                <w:sz w:val="4"/>
                <w:szCs w:val="4"/>
              </w:rPr>
            </w:pPr>
            <w:r>
              <w:rPr>
                <w:sz w:val="4"/>
                <w:szCs w:val="4"/>
              </w:rPr>
            </w:r>
          </w:p>
        </w:tc>
        <w:tc>
          <w:tcPr>
            <w:tcW w:w="7120" w:type="dxa"/>
            <w:tcBorders/>
            <w:vAlign w:val="center"/>
          </w:tcPr>
          <w:p>
            <w:pPr>
              <w:pStyle w:val="TableContents"/>
              <w:bidi w:val="0"/>
              <w:spacing w:before="0" w:after="283"/>
              <w:jc w:val="left"/>
              <w:rPr>
                <w:sz w:val="4"/>
                <w:szCs w:val="4"/>
              </w:rPr>
            </w:pPr>
            <w:r>
              <w:rPr>
                <w:sz w:val="4"/>
                <w:szCs w:val="4"/>
              </w:rPr>
            </w:r>
          </w:p>
        </w:tc>
      </w:tr>
      <w:tr>
        <w:trPr/>
        <w:tc>
          <w:tcPr>
            <w:tcW w:w="308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Name of Grantee (the “Grantee”)</w:t>
            </w:r>
          </w:p>
        </w:tc>
        <w:tc>
          <w:tcPr>
            <w:tcW w:w="712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120"/>
              <w:jc w:val="left"/>
              <w:rPr/>
            </w:pPr>
            <w:r>
              <w:rPr/>
              <w:t> </w:t>
            </w:r>
          </w:p>
        </w:tc>
      </w:tr>
      <w:tr>
        <w:trPr/>
        <w:tc>
          <w:tcPr>
            <w:tcW w:w="3085" w:type="dxa"/>
            <w:tcBorders>
              <w:left w:val="single" w:sz="4" w:space="0" w:color="000000"/>
              <w:bottom w:val="single" w:sz="4" w:space="0" w:color="000000"/>
              <w:right w:val="single" w:sz="4" w:space="0" w:color="000000"/>
            </w:tcBorders>
            <w:shd w:fill="F2F2F2" w:val="clear"/>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Address</w:t>
            </w:r>
          </w:p>
        </w:tc>
        <w:tc>
          <w:tcPr>
            <w:tcW w:w="7120" w:type="dxa"/>
            <w:tcBorders>
              <w:bottom w:val="single" w:sz="4" w:space="0" w:color="000000"/>
              <w:right w:val="single" w:sz="4" w:space="0" w:color="000000"/>
            </w:tcBorders>
            <w:shd w:fill="F2F2F2" w:val="clear"/>
            <w:tcMar>
              <w:top w:w="0" w:type="dxa"/>
              <w:left w:w="0" w:type="dxa"/>
              <w:right w:w="108" w:type="dxa"/>
            </w:tcMar>
            <w:vAlign w:val="center"/>
          </w:tcPr>
          <w:p>
            <w:pPr>
              <w:pStyle w:val="TableContents"/>
              <w:bidi w:val="0"/>
              <w:spacing w:before="0" w:after="120"/>
              <w:jc w:val="left"/>
              <w:rPr/>
            </w:pPr>
            <w:r>
              <w:rPr/>
              <w:t> </w:t>
            </w:r>
          </w:p>
        </w:tc>
      </w:tr>
      <w:tr>
        <w:trPr/>
        <w:tc>
          <w:tcPr>
            <w:tcW w:w="3085" w:type="dxa"/>
            <w:tcBorders>
              <w:left w:val="single" w:sz="4" w:space="0" w:color="000000"/>
              <w:bottom w:val="single" w:sz="4" w:space="0" w:color="000000"/>
              <w:right w:val="single" w:sz="4" w:space="0" w:color="000000"/>
            </w:tcBorders>
            <w:shd w:fill="F2F2F2" w:val="clear"/>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No. of Restricted Stock Units (“RSUs”)</w:t>
            </w:r>
          </w:p>
        </w:tc>
        <w:tc>
          <w:tcPr>
            <w:tcW w:w="7120" w:type="dxa"/>
            <w:tcBorders>
              <w:bottom w:val="single" w:sz="4" w:space="0" w:color="000000"/>
              <w:right w:val="single" w:sz="4" w:space="0" w:color="000000"/>
            </w:tcBorders>
            <w:shd w:fill="F2F2F2" w:val="clear"/>
            <w:tcMar>
              <w:top w:w="0" w:type="dxa"/>
              <w:left w:w="0" w:type="dxa"/>
              <w:right w:w="108" w:type="dxa"/>
            </w:tcMar>
            <w:vAlign w:val="center"/>
          </w:tcPr>
          <w:p>
            <w:pPr>
              <w:pStyle w:val="TableContents"/>
              <w:bidi w:val="0"/>
              <w:spacing w:before="0" w:after="120"/>
              <w:jc w:val="left"/>
              <w:rPr/>
            </w:pPr>
            <w:r>
              <w:rPr/>
              <w:t> </w:t>
            </w:r>
          </w:p>
        </w:tc>
      </w:tr>
      <w:tr>
        <w:trPr/>
        <w:tc>
          <w:tcPr>
            <w:tcW w:w="308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Grant Date</w:t>
            </w:r>
          </w:p>
        </w:tc>
        <w:tc>
          <w:tcPr>
            <w:tcW w:w="71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left"/>
              <w:rPr/>
            </w:pPr>
            <w:r>
              <w:rPr/>
              <w:t> </w:t>
            </w:r>
          </w:p>
        </w:tc>
      </w:tr>
      <w:tr>
        <w:trPr/>
        <w:tc>
          <w:tcPr>
            <w:tcW w:w="3085" w:type="dxa"/>
            <w:tcBorders>
              <w:left w:val="single" w:sz="4" w:space="0" w:color="000000"/>
              <w:bottom w:val="single" w:sz="4" w:space="0" w:color="000000"/>
              <w:right w:val="single" w:sz="4" w:space="0" w:color="000000"/>
            </w:tcBorders>
            <w:shd w:fill="F2F2F2" w:val="clear"/>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Vesting Commencement Date</w:t>
            </w:r>
          </w:p>
        </w:tc>
        <w:tc>
          <w:tcPr>
            <w:tcW w:w="7120" w:type="dxa"/>
            <w:tcBorders>
              <w:bottom w:val="single" w:sz="4" w:space="0" w:color="000000"/>
              <w:right w:val="single" w:sz="4" w:space="0" w:color="000000"/>
            </w:tcBorders>
            <w:shd w:fill="F2F2F2" w:val="clear"/>
            <w:tcMar>
              <w:top w:w="0" w:type="dxa"/>
              <w:left w:w="0" w:type="dxa"/>
              <w:right w:w="108" w:type="dxa"/>
            </w:tcMar>
            <w:vAlign w:val="center"/>
          </w:tcPr>
          <w:p>
            <w:pPr>
              <w:pStyle w:val="TableContents"/>
              <w:bidi w:val="0"/>
              <w:spacing w:before="0" w:after="120"/>
              <w:jc w:val="left"/>
              <w:rPr/>
            </w:pPr>
            <w:r>
              <w:rPr/>
              <w:t> </w:t>
            </w:r>
          </w:p>
        </w:tc>
      </w:tr>
      <w:tr>
        <w:trPr/>
        <w:tc>
          <w:tcPr>
            <w:tcW w:w="308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left"/>
              <w:rPr>
                <w:rFonts w:ascii="Times New Roman" w:hAnsi="Times New Roman"/>
                <w:b/>
                <w:color w:val="000000"/>
                <w:sz w:val="24"/>
              </w:rPr>
            </w:pPr>
            <w:r>
              <w:rPr>
                <w:rFonts w:ascii="Times New Roman" w:hAnsi="Times New Roman"/>
                <w:b/>
                <w:color w:val="000000"/>
                <w:sz w:val="24"/>
              </w:rPr>
              <w:t>Vesting Schedule Including Any Acceleration</w:t>
            </w:r>
          </w:p>
        </w:tc>
        <w:tc>
          <w:tcPr>
            <w:tcW w:w="712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120"/>
              <w:jc w:val="both"/>
              <w:rPr>
                <w:rFonts w:ascii="Times New Roman" w:hAnsi="Times New Roman"/>
                <w:color w:val="000000"/>
                <w:sz w:val="24"/>
              </w:rPr>
            </w:pPr>
            <w:r>
              <w:rPr>
                <w:rFonts w:ascii="Times New Roman" w:hAnsi="Times New Roman"/>
                <w:color w:val="000000"/>
                <w:sz w:val="24"/>
              </w:rPr>
              <w:t>The RSUs shall vest as follows, subject to the Grantee’s Continuous Service through the applicable vesting dates: [___________________________].</w:t>
            </w:r>
          </w:p>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Upon the termination of the Grantee’s Continuous Service, all remaining unvested RSUs shall be immediately forfeited.</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TERMS</w:t>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Definitions</w:t>
      </w:r>
    </w:p>
    <w:p>
      <w:pPr>
        <w:pStyle w:val="TextBody"/>
        <w:bidi w:val="0"/>
        <w:spacing w:before="0" w:after="240"/>
        <w:jc w:val="both"/>
        <w:rPr>
          <w:rFonts w:ascii="Times New Roman" w:hAnsi="Times New Roman"/>
          <w:sz w:val="20"/>
        </w:rPr>
      </w:pPr>
      <w:r>
        <w:rPr>
          <w:rFonts w:ascii="Times New Roman" w:hAnsi="Times New Roman"/>
          <w:color w:val="000000"/>
          <w:sz w:val="24"/>
        </w:rPr>
        <w:t>Capitalized terms used but not defined in this Award Agreement have the defined meanings set forth in the Plan.</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Grant of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Pursuant to the Plan and subject to the terms of this Award Agreement, the Company grants to the Grantee, as of the Grant Date, the Award.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Vesting of Restricted Stock Units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Award shall vest in one or more installments pursuant to the vesting schedule specified in the Notice of Grant. If the Grantee’s Continuous Service terminates due to a termination for Cause, any RSUs (vested or unvested) that have not yet been settled in accordance with Section 4 (Issuance of Common Stock) shall be forfeited.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If the Grantee’s Continuous Service terminates for any reason other than as described above in Section 3(a), any portion of the Award that has not yet vested shall terminate on the date that the Grantee’s Continuous Service terminates (except as otherwise determined by the Administrator).</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Issuance of Common Stock </w:t>
      </w:r>
    </w:p>
    <w:p>
      <w:pPr>
        <w:pStyle w:val="TextBody"/>
        <w:bidi w:val="0"/>
        <w:spacing w:before="0" w:after="240"/>
        <w:jc w:val="both"/>
        <w:rPr>
          <w:rFonts w:ascii="Times New Roman" w:hAnsi="Times New Roman"/>
          <w:sz w:val="20"/>
        </w:rPr>
      </w:pPr>
      <w:r>
        <w:rPr>
          <w:rFonts w:ascii="Times New Roman" w:hAnsi="Times New Roman"/>
          <w:color w:val="000000"/>
          <w:sz w:val="24"/>
        </w:rPr>
        <w:t>(a) Each Share underlying a vested RSU shall be issued to the Grantee as soon a reasonably practicable following the applicable vesting date and in no event later than March 15th of the year following the year of such vesting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The Company’s obligations to the Grantee with respect to the RSUs shall be satisfied in full upon the issuance of Shares with respect to the RSUs that vested in accordance with Section 3 (Vesting of Restricted Stock Units), net of any applicable withholding taxes, or upon the forfeiture of such RSUs in accordance with Section 3 (Vesting of Restricted Stock Units).</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Withholding</w:t>
      </w:r>
    </w:p>
    <w:p>
      <w:pPr>
        <w:pStyle w:val="TextBody"/>
        <w:bidi w:val="0"/>
        <w:spacing w:before="0" w:after="240"/>
        <w:jc w:val="both"/>
        <w:rPr>
          <w:rFonts w:ascii="Times New Roman" w:hAnsi="Times New Roman"/>
          <w:sz w:val="20"/>
        </w:rPr>
      </w:pPr>
      <w:r>
        <w:rPr>
          <w:rFonts w:ascii="Times New Roman" w:hAnsi="Times New Roman"/>
          <w:color w:val="000000"/>
          <w:sz w:val="24"/>
        </w:rPr>
        <w:t>The Company shall, in its discretion, have the right to deduct or withhold from payments of any kind otherwise due to the Grantee, or require the Grantee to remit to the Company, an amount sufficient to satisfy taxes imposed under any federal, state, local, non-U.S., or other law, including but not limited to income taxes, capital gain taxes, transfer taxes, and social security contributions that are required by law to be withheld with respect to the Plan, grants of restricted stock units, payment of Shares under this Award Agreement, the sale of Shares acquired hereunder, and/or the payment of dividends on Shares acquired hereunder, as applicable. A sufficient number of the Shares resulting from payout of this Award at vesting may, in the Company’s discretion, be retained by the Company to satisfy any tax-withholding obligation.</w:t>
      </w:r>
      <w:r>
        <w:rPr>
          <w:rFonts w:ascii="Times New Roman" w:hAnsi="Times New Roman"/>
          <w:color w:val="000000"/>
          <w:sz w:val="20"/>
        </w:rPr>
        <w:t xml:space="preserve"> </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RSU Award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Administrator approves a “sell to cover” program, any Grantee may satisfy the Grantee’s tax withholding obligation through a program approved by the Administrator in which payment of any tax-withholding obligation may be satisfied, in whole, or in part, by delivery of an irrevocable direction to a securities broker (on a form prescribed by the Administrator) to sell Shares and to deliver all or part of the sale proceeds to the Company in payment of the amount necessary to satisfy the Company’s withholding obligations (such program a “sell to cover” program). For the avoidance of doubt, any Share withholding or “sell to cover” shall, to the extent applicable, be carried out in accordance with Treas. Reg. § 1.409A-3(j)(4)(vi) or (xi).</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Restrictions on Transfer of Award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Award and the rights and privileges conferred hereby shall not be transferred, assigned, pledged, or otherwise encumbered in any way (whether by operation of law or otherwise), other than by will or by the laws of descent and distribution. Upon any attempt to transfer, assign, pledge, or otherwise encumber the Award or any right or privilege conferred hereby contrary to the provisions hereof, the Award and the rights and privileges conferred hereby shall immediately become null and void.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Adjustments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number of RSUs covered by the Award and the type of stock or other consideration to be received on settlement of the Award shall be subject to such adjustment, pursuant to the Plan, in the manner determined to be appropriate by the Administrator, in its sole discretion. Any adjustment determined to be appropriate by the Administrator shall be conclusive and shall be binding on the Grantee.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Dividend, Voting, and Other Rights</w:t>
      </w:r>
    </w:p>
    <w:p>
      <w:pPr>
        <w:pStyle w:val="TextBody"/>
        <w:bidi w:val="0"/>
        <w:spacing w:before="0" w:after="240"/>
        <w:jc w:val="both"/>
        <w:rPr>
          <w:rFonts w:ascii="Times New Roman" w:hAnsi="Times New Roman"/>
          <w:sz w:val="20"/>
        </w:rPr>
      </w:pPr>
      <w:r>
        <w:rPr>
          <w:rFonts w:ascii="Times New Roman" w:hAnsi="Times New Roman"/>
          <w:color w:val="000000"/>
          <w:sz w:val="24"/>
        </w:rPr>
        <w:t>(a) The RSUs are not Shares, and the Grantee shall therefore have no voting or other stockholder rights by reason of receiving or being credited with RSUs pursuant to this Award Agreement unless and until Shares are issued to the Grantee pursuant to Section 4 (Issuance of Common Stock).</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No dividends or Dividend Equivalents (as defined below) shall be payable with respect to the RSUs unless approved by the Administrator. If approved by the Administrator and the Notice of Grant specifies that the Grantee shall be entitled to a “Dividend Equivalent”, then if the Company declares and pays a dividend in respect of its Common Stock and, on the record date for such dividend, the Grantee holds RSUs granted pursuant to this Award Agreement, the Grantee shall have an unvested right to receive an amount (the “</w:t>
      </w:r>
      <w:r>
        <w:rPr>
          <w:rFonts w:ascii="Times New Roman" w:hAnsi="Times New Roman"/>
          <w:b/>
          <w:color w:val="000000"/>
          <w:sz w:val="24"/>
        </w:rPr>
        <w:t>Dividend Equivalent</w:t>
      </w:r>
      <w:r>
        <w:rPr>
          <w:rFonts w:ascii="Times New Roman" w:hAnsi="Times New Roman"/>
          <w:color w:val="000000"/>
          <w:sz w:val="20"/>
        </w:rPr>
        <w:t>”</w:t>
      </w:r>
      <w:r>
        <w:rPr>
          <w:rFonts w:ascii="Times New Roman" w:hAnsi="Times New Roman"/>
          <w:color w:val="000000"/>
          <w:sz w:val="24"/>
        </w:rPr>
        <w:t>) equal to the dividends that the Grantee would have received if the Grantee were the holder of record, as of such record date, of the number of Shares related to the RSUs that the Grantee holds as of such record date. Any Dividend Equivalent will vest if, when and to the extent that the related RSUs vest and will be paid to the Grantee as soon a reasonably practicable following the applicable vesting date and in no event later than March 15th of the year following the year of such vesting date. No interest will be paid with respect to a Dividend Equivalent. If any the RSUs are forfeited, any Dividend Equivalent with respect to such RSUs shall also be forfeited.</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RSU Award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 This Award Agreement represents only an unfunded and unsecured promise by the Company. The Grantee’s rights under this Award Agreement shall be limited to those of an unsecured general creditor of the Company.</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Clawback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Grantee acknowledges and agrees that this Award may be subject to recoupment or clawback by the Company in accordance with the Company’s recoupment, clawback or similar policy as such may be in effect from time to time, as well as any similar provisions of applicable law, or Securities and Exchange Commission rule or regulation, or stock exchange requirement, which could in certain circumstances require repayment or forfeiture of the Award or any Shares or other cash or property received with respect to the Award (including any value received from a disposition of Shares acquired upon payment of the Award).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No Guarantee of Continuing Service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Neither the grant of this Award evidenced by this Award Agreement nor any term or provision of this Award Agreement or the Plan shall constitute or be evidence of any understanding, express or implied, on the part of the Company or any Subsidiary or Parent to employ or retain the Grantee for any period.</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Notices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notices, requests, consents, and other communications shall be in writing and be deemed given (a) when delivered personally; (b) when sent by email, by facsimile transmission, or other electronic means (as described in Section 12 (Electronic Delivery)); or (c) when received, if sent via courier service or mailed by first class registered or certified mail, postage prepaid. Notices to the Company or the Grantee shall be sent to the addresses, facsimile numbers, or email addresses listed on the Online Platform, as applicable, or to such other address, facsimile number, or email address as such party may designate by a notice delivered to the other party hereto, including through the Online Platform.</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Electronic Delivery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in its sole discretion, decide to deliver any documents related to the Company, the Plan, this Award, or current or future participation in the Plan, and any other documents that the Company is required to deliver to its security holders (including, without limitation, disclosures that may be required by the Securities and Exchange Commission), by email or by other electronic means. The Grantee hereby consents to (a) conduct business electronically, (b) receive such documents and notices by such electronic delivery, and (c) sign documents electronically; and the Grantee hereby agrees to participate in the Plan through an online or electronic capitalization administration platform established and maintained by the Company or a third party designated by the Company, including the Online Platform.</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RSU Award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 xml:space="preserve">Data Privacy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Grantee acknowledges and agrees that the Company and its affiliates will process and retain certain personal data for the purposes of (a) calculating Awards, (b) monitoring Award terms and conditions, and (c) otherwise administering the Plan and Awards made under it. Such personal data may include, among other things, the Grantee’s address, email address, social security number, pay data, job title, and employment dates. The Grantee consents to such processing, and to the sharing of such personal data with the Company, its affiliates, its agents, its advisers, its regulators, and tax authorities, wherever appropriate.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Entire Agreement; Amendment; Enforcement of Rights</w:t>
      </w:r>
    </w:p>
    <w:p>
      <w:pPr>
        <w:pStyle w:val="TextBody"/>
        <w:bidi w:val="0"/>
        <w:spacing w:before="0" w:after="240"/>
        <w:jc w:val="both"/>
        <w:rPr>
          <w:rFonts w:ascii="Times New Roman" w:hAnsi="Times New Roman"/>
          <w:sz w:val="20"/>
        </w:rPr>
      </w:pPr>
      <w:r>
        <w:rPr>
          <w:rFonts w:ascii="Times New Roman" w:hAnsi="Times New Roman"/>
          <w:color w:val="000000"/>
          <w:sz w:val="24"/>
        </w:rPr>
        <w:t>(a) This Award Agreement, together with the Plan, sets forth the entire agreement and understanding between the parties hereto relating to the subject matter hereof and supersedes all prior and contemporaneous understandings, agreements, discussions, representations, and warranties, both written and oral, between the parties hereto, including any representations made during any interviews or relocation negotiations, with respect to such subject matter.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The Administrator may amend, modify, or terminate the Award Agreement at any time and for any reason. The Grantee’s consent to such action shall be required, except as permitted or contemplated under the Plan. The failure by either party to enforce any rights under this Award Agreement shall not be construed as a waiver of any rights of such party.</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Successors and Assigns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rights and benefits of this Award Agreement shall inure to the benefit of, and be enforceable by the Company’s successors and assigns. The rights and obligations of the Grantee under this Award Agreement may be assigned only with the prior written consent of the Company.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Severability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provision of the Award Agreement is, becomes, or is deemed to be invalid, illegal, or unenforceable in any jurisdiction or as to the Grantee, such provision shall be construed or deemed amended to conform with applicable law, or if the provision cannot be so construed or deemed amended without, in the sole discretion of the Administrator, materially altering the intent of the Award Agreement, such provision shall be severed as to the jurisdiction or the Grantee and the remainder of the Award Agreement shall remain in full force and effect.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Governing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validity and construction of the Plan and the Award Agreement shall be governed by the laws of the State of Delaware, excluding any conflicts or choice of law rules or principles that might otherwise refer construction or interpretation of any provision of the Plan or the Award Agreement to the substantive law of another jurisdiction.</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RSU Award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Compliance with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granting of the Award, the settlement of the RSUs, and any other obligations of the Company under this Award Agreement, shall be subject to all applicable federal, provincial, state, local, and foreign laws, rules, and regulations and to such approvals by any regulatory or governmental agency as may be required. The Administrator shall have the right to impose such restrictions on the RSUs as it deems reasonably necessary or advisable under applicable federal securities laws and/or the rules and regulations of any stock exchange or market upon which the Shares are then listed or traded. Notwithstanding any other provision of this Award Agreement, the Company shall not be obligated to issue any Shares pursuant to this Award Agreement if the issuance thereof would result in a violation of any law. It is expressly understood that the Administrator is authorized to administer, construe, and make all determinations necessary or appropriate for the administration of the Plan, subject to the terms of this Award Agreement, all of which shall be binding upon the Grantee. The Grantee agrees to take all steps the Administrator determines are reasonably necessary to comply with all applicable provisions of federal, provincial, state, local, and foreign securities law in exercising the Grantee’s rights under this Award Agreement.</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Section 409A of the Internal Revenue Code</w:t>
      </w:r>
    </w:p>
    <w:p>
      <w:pPr>
        <w:pStyle w:val="TextBody"/>
        <w:bidi w:val="0"/>
        <w:spacing w:before="0" w:after="240"/>
        <w:jc w:val="both"/>
        <w:rPr>
          <w:rFonts w:ascii="Times New Roman" w:hAnsi="Times New Roman"/>
          <w:sz w:val="20"/>
        </w:rPr>
      </w:pPr>
      <w:r>
        <w:rPr>
          <w:rFonts w:ascii="Times New Roman" w:hAnsi="Times New Roman"/>
          <w:color w:val="000000"/>
          <w:sz w:val="24"/>
        </w:rPr>
        <w:t>It is intended that the RSUs and this Award Agreement comply with, or are exempt from, the requirements of Section 409A of the Code (“</w:t>
      </w:r>
      <w:r>
        <w:rPr>
          <w:rFonts w:ascii="Times New Roman" w:hAnsi="Times New Roman"/>
          <w:b/>
          <w:color w:val="000000"/>
          <w:sz w:val="24"/>
        </w:rPr>
        <w:t>Section 409A</w:t>
      </w:r>
      <w:r>
        <w:rPr>
          <w:rFonts w:ascii="Times New Roman" w:hAnsi="Times New Roman"/>
          <w:color w:val="000000"/>
          <w:sz w:val="20"/>
        </w:rPr>
        <w:t>”</w:t>
      </w:r>
      <w:r>
        <w:rPr>
          <w:rFonts w:ascii="Times New Roman" w:hAnsi="Times New Roman"/>
          <w:color w:val="000000"/>
          <w:sz w:val="24"/>
        </w:rPr>
        <w:t>), and this Award Agreement and the Plan shall be administered in a manner consistent with the foregoing intent. If this Award is subject to Section 409A and if the Grantee is a “specified employee” (within the meaning set forth Section 409A(a)(2)(B)(i) of the Code) as of the date of the Grantee’s separation from service (within the meaning of Treas. Reg. § 1.409A-1(h)), then the issuance of any Shares or payment of any Dividend Equivalent that would otherwise be made upon the date of the Grantee’s separation from service or within the first six months thereafter will not be made until the first business day after the six (6) month period following the date of the Grantee’s termination (or, if sooner, as soon as reasonably practicable following the Grantee’s death) but if and only if such delay in the issuance of the Shares or payment of the Dividend Equivalent is necessary to avoid the imposition of taxation in respect of the Shares or Dividend Equivalent under Section 409A. Notwithstanding anything in this Award Agreement to the contrary, the receipt of any benefits under this Award Agreement as a result of a termination of service shall require that the Grantee undergo a “separation from service” within the meaning of Treas. Reg. § 1.409A-1(h) or any successor thereto.</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nothing in this Award Agreement shall be interpreted or construed to transfer any liability for any tax (including a tax or penalty due as a result of a failure to comply with Section 409A) from the Grantee to the Company or to any other individual or entity.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Acceptance of Award</w:t>
      </w:r>
    </w:p>
    <w:p>
      <w:pPr>
        <w:pStyle w:val="TextBody"/>
        <w:bidi w:val="0"/>
        <w:spacing w:before="0" w:after="240"/>
        <w:jc w:val="both"/>
        <w:rPr>
          <w:rFonts w:ascii="Times New Roman" w:hAnsi="Times New Roman"/>
          <w:sz w:val="20"/>
        </w:rPr>
      </w:pPr>
      <w:r>
        <w:rPr>
          <w:rFonts w:ascii="Times New Roman" w:hAnsi="Times New Roman"/>
          <w:color w:val="000000"/>
          <w:sz w:val="24"/>
        </w:rPr>
        <w:t>In consideration for the RSUs and by accepting this Award Agreement, the Grantee agrees and acknowledges 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The award of RSUs hereunder and any future awards under the Plan are entirely voluntary, and at the complete discretion of the Company. Neither the award of RSUs hereunder, nor any future</w:t>
      </w:r>
      <w:r>
        <w:rPr>
          <w:rFonts w:ascii="Times New Roman" w:hAnsi="Times New Roman"/>
          <w:color w:val="000000"/>
          <w:sz w:val="20"/>
        </w:rPr>
        <w:t xml:space="preserve"> </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RSU Award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awards by the Company, shall be deemed to create any obligation to grant any other awards, whether or not such a reservation is explicitly stated at the time of any such award.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Subject to the terms of the Plan, the Board may at any time and from time to time, alter, amend, suspend, or terminate the Plan, in whole or in part.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Grantee acknowledges and agrees that the Grantee has no right to receive any equity compensation following the Grant Date other than as set forth in this Award Agreement or otherwise approved by the Board on or before the Grant Date, and that the Award is granted in full satisfaction of the Grantee’s right, if any, to an equity award under any offer letter, transition letter, or similar letter; agreement; or communication from the Company or any Subsidiary or Parent.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Plan shall not be deemed to constitute, and shall not be construed by the Grantee to constitute part of the terms and conditions of employment. The value of the Award is not part of the Grantee’s normal or expected compensation for purposes of calculating any severance, retirement, welfare, insurance, or similar employee benefit. Neither the Company nor any member of the Board or of the Administrator shall have any liability of any kind to the Grantee for any action taken or not taken in good faith under the Plan; for any change, amendment, or cancellation of the Plan or this Award; or for the failure of this Award to realize intended tax consequences or to comply with any other law, compliance with which is not required on the part of the Company.</w:t>
      </w:r>
    </w:p>
    <w:p>
      <w:pPr>
        <w:pStyle w:val="TextBody"/>
        <w:bidi w:val="0"/>
        <w:spacing w:before="0" w:after="240"/>
        <w:jc w:val="both"/>
        <w:rPr>
          <w:rFonts w:ascii="Times New Roman" w:hAnsi="Times New Roman"/>
          <w:sz w:val="20"/>
        </w:rPr>
      </w:pPr>
      <w:r>
        <w:rPr>
          <w:rFonts w:ascii="Times New Roman" w:hAnsi="Times New Roman"/>
          <w:color w:val="000000"/>
          <w:sz w:val="24"/>
        </w:rPr>
        <w:t>(e) The Grantee acknowledges receipt of a copy of the Plan and represents that the Grantee is familiar with the terms and provisions thereof (and has had an opportunity to consult counsel regarding the Award terms), and hereby accepts the Award and agrees to be bound by its contractual terms as set forth herein and in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Grantee represents that the Grantee has consulted any tax, legal, or financial consultants the Grantee deems advisable in connection with the Grantee’s participation in the Plan; entering into of this Award Agreement; and the settlement of the RSUs and that the Grantee is not relying on the Company for, and the Company has not provided the Grantee with, any tax, legal, or financial advice. The Company is not making any recommendation to the Grantee regarding the Grantee’s participation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The Grantee understands that the Award is subject to the Company’s insider trading policy, and such related restrictions, terms and conditions, or other policies as may be established by the Administrator from time to time.</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RSU Award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(h) By signing below or by clicking the applicable acceptance space on the Online Platform, the Grantee acknowledges receipt of this Award Agreement and agrees to its terms and conditions.</w:t>
      </w:r>
    </w:p>
    <w:p>
      <w:pPr>
        <w:pStyle w:val="TextBody"/>
        <w:bidi w:val="0"/>
        <w:jc w:val="both"/>
        <w:rPr/>
      </w:pPr>
      <w:r>
        <w:rPr/>
        <w:t> </w:t>
      </w:r>
    </w:p>
    <w:tbl>
      <w:tblPr>
        <w:tblW w:w="1491" w:type="dxa"/>
        <w:jc w:val="left"/>
        <w:tblInd w:w="0" w:type="dxa"/>
        <w:tblLayout w:type="fixed"/>
        <w:tblCellMar>
          <w:top w:w="28" w:type="dxa"/>
          <w:left w:w="28" w:type="dxa"/>
          <w:bottom w:w="28" w:type="dxa"/>
          <w:right w:w="28" w:type="dxa"/>
        </w:tblCellMar>
      </w:tblPr>
      <w:tblGrid>
        <w:gridCol w:w="956"/>
        <w:gridCol w:w="244"/>
        <w:gridCol w:w="291"/>
      </w:tblGrid>
      <w:tr>
        <w:trPr/>
        <w:tc>
          <w:tcPr>
            <w:tcW w:w="95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Heading2"/>
              <w:bidi w:val="0"/>
              <w:spacing w:before="200" w:after="120"/>
              <w:jc w:val="both"/>
              <w:rPr>
                <w:rFonts w:ascii="Times New Roman" w:hAnsi="Times New Roman"/>
                <w:color w:val="000000"/>
                <w:sz w:val="24"/>
              </w:rPr>
            </w:pPr>
            <w:r>
              <w:rPr>
                <w:rFonts w:ascii="Times New Roman" w:hAnsi="Times New Roman"/>
                <w:color w:val="000000"/>
                <w:sz w:val="24"/>
              </w:rPr>
              <w:t>GRANTEE</w:t>
            </w:r>
          </w:p>
        </w:tc>
      </w:tr>
      <w:tr>
        <w:trPr/>
        <w:tc>
          <w:tcPr>
            <w:tcW w:w="9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00" w:type="dxa"/>
            <w:gridSpan w:val="2"/>
            <w:tcBorders/>
            <w:tcMar>
              <w:top w:w="0" w:type="dxa"/>
              <w:left w:w="0" w:type="dxa"/>
              <w:bottom w:w="0" w:type="dxa"/>
              <w:right w:w="0" w:type="dxa"/>
            </w:tcMar>
            <w:vAlign w:val="center"/>
          </w:tcPr>
          <w:p>
            <w:pPr>
              <w:pStyle w:val="Heading2"/>
              <w:bidi w:val="0"/>
              <w:spacing w:before="200" w:after="120"/>
              <w:jc w:val="both"/>
              <w:rPr>
                <w:rFonts w:ascii="Times New Roman" w:hAnsi="Times New Roman"/>
                <w:b w:val="false"/>
                <w:color w:val="000000"/>
                <w:sz w:val="24"/>
              </w:rPr>
            </w:pPr>
            <w:r>
              <w:rPr>
                <w:rFonts w:ascii="Times New Roman" w:hAnsi="Times New Roman"/>
                <w:b w:val="false"/>
                <w:color w:val="000000"/>
                <w:sz w:val="24"/>
              </w:rPr>
              <w:t>Signature</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Print name:</w:t>
            </w:r>
          </w:p>
        </w:tc>
        <w:tc>
          <w:tcPr>
            <w:tcW w:w="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Date:</w:t>
            </w:r>
          </w:p>
        </w:tc>
        <w:tc>
          <w:tcPr>
            <w:tcW w:w="244"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120" w:after="283"/>
              <w:jc w:val="left"/>
              <w:rPr/>
            </w:pPr>
            <w:r>
              <w:rPr/>
              <w:t> </w:t>
            </w:r>
          </w:p>
        </w:tc>
      </w:tr>
    </w:tbl>
    <w:p>
      <w:pPr>
        <w:pStyle w:val="TextBody"/>
        <w:bidi w:val="0"/>
        <w:jc w:val="left"/>
        <w:rPr/>
      </w:pPr>
      <w:r>
        <w:rPr/>
        <w:t> </w:t>
      </w:r>
    </w:p>
    <w:p>
      <w:pPr>
        <w:pStyle w:val="TextBody"/>
        <w:bidi w:val="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283"/>
              <w:jc w:val="left"/>
              <w:rPr>
                <w:sz w:val="4"/>
                <w:szCs w:val="4"/>
              </w:rPr>
            </w:pPr>
            <w:r>
              <w:rPr>
                <w:sz w:val="4"/>
                <w:szCs w:val="4"/>
              </w:rPr>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Odyssey Therapeutics, Inc. 2026 Long-Term Incentive Plan</w:t>
            </w:r>
          </w:p>
        </w:tc>
      </w:tr>
      <w:tr>
        <w:trPr/>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RSU Award Agreement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4" w:name="odtx-ex10_3.htm"/>
      <w:bookmarkStart w:id="45" w:name="ksodtxex10_3"/>
      <w:bookmarkEnd w:id="44"/>
      <w:bookmarkEnd w:id="45"/>
      <w:r>
        <w:rPr>
          <w:rFonts w:ascii="Times New Roman" w:hAnsi="Times New Roman"/>
          <w:b/>
          <w:color w:val="000000"/>
          <w:sz w:val="24"/>
        </w:rPr>
        <w:t>Exhibit 10.3</w:t>
      </w:r>
      <w:r>
        <w:br w:type="page"/>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ODYSSEY THERAPEUTICS, INC.</w:t>
      </w:r>
    </w:p>
    <w:p>
      <w:pPr>
        <w:pStyle w:val="TextBody"/>
        <w:bidi w:val="0"/>
        <w:jc w:val="center"/>
        <w:rPr>
          <w:rFonts w:ascii="Times New Roman" w:hAnsi="Times New Roman"/>
          <w:b/>
          <w:color w:val="000000"/>
          <w:sz w:val="24"/>
        </w:rPr>
      </w:pPr>
      <w:r>
        <w:rPr>
          <w:rFonts w:ascii="Times New Roman" w:hAnsi="Times New Roman"/>
          <w:b/>
          <w:color w:val="000000"/>
          <w:sz w:val="24"/>
        </w:rPr>
        <w:t>2026 EMPLOYEE STOCK PURCHASE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The purpose of the Plan is to provide eligible employees of the Company and each Designated Company with opportunities to purchase shares of the Company’s Common Stock. Subject to the provisions of </w:t>
      </w:r>
      <w:r>
        <w:rPr>
          <w:rFonts w:ascii="Times New Roman" w:hAnsi="Times New Roman"/>
          <w:color w:val="000000"/>
          <w:sz w:val="24"/>
          <w:u w:val="single"/>
        </w:rPr>
        <w:t>Section 16</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17</w:t>
      </w:r>
      <w:r>
        <w:rPr>
          <w:rFonts w:ascii="Times New Roman" w:hAnsi="Times New Roman"/>
          <w:color w:val="000000"/>
          <w:sz w:val="24"/>
        </w:rPr>
        <w:t xml:space="preserve">, the maximum number of shares of Common Stock that may be issued under the Plan shall be 516,400 shares of Common Stock. In addition, commencing on January 1, 2027 and on each subsequent anniversary thereof (but not following the Expiration Date), the number of shares of Common Stock available for issuance under the Plan will automatically increase in an amount equal to the lesser of (x) 1.00% of the total number of shares of the Company’s capital stock outstanding on December 31 of the preceding year and (y) 1,032,801 shares of Common Stock (subject to adjustment pursuant to the provisions of </w:t>
      </w:r>
      <w:r>
        <w:rPr>
          <w:rFonts w:ascii="Times New Roman" w:hAnsi="Times New Roman"/>
          <w:color w:val="000000"/>
          <w:sz w:val="24"/>
          <w:u w:val="single"/>
        </w:rPr>
        <w:t>Section 16</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17</w:t>
      </w:r>
      <w:r>
        <w:rPr>
          <w:rFonts w:ascii="Times New Roman" w:hAnsi="Times New Roman"/>
          <w:color w:val="000000"/>
          <w:sz w:val="24"/>
        </w:rPr>
        <w:t>). Notwithstanding the foregoing, the Board or the Committee may act prior to the first day of any calendar year to provide that there will be no January 1st increase in the share reserve for such calendar year or that the increase in the share reserve for such calendar year will be a lesser number than would otherwise occur pursuant to the preceding sentence.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The Company intends this Plan to qualify as an “employee stock purchase plan” under Code Section 423 (including any amendments to or replacements of such Section), and this Plan shall be so construed. Any term not expressly defined in this Plan but defined for purposes of Code Section 423 shall have the same definition herein. However, with regard to offers of options for purchase of the Common Stock under the Plan to employees outside the United States working for a Subsidiary or an Affiliate of the Company, the Board may offer a sub-plan or an option that is not intended to meet the Code Section 423 requirements and that varies from the terms and conditions of the Plan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such variations do not cause the Section 423 portion of the Plan to violate Section 423 of the Code). For the avoidance of doubt, the adoption of a sub-plan shall not be the adoption of a new plan for purposes of Treas. Reg. § 1.423-2(c).</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Unless otherwise defined herein, capitalized terms in this Plan shall have the meaning ascribed to them in </w:t>
      </w:r>
      <w:r>
        <w:rPr>
          <w:rFonts w:ascii="Times New Roman" w:hAnsi="Times New Roman"/>
          <w:color w:val="000000"/>
          <w:sz w:val="24"/>
          <w:u w:val="single"/>
        </w:rPr>
        <w:t>Section 30</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Administration</w:t>
      </w:r>
      <w:r>
        <w:rPr>
          <w:rFonts w:ascii="Times New Roman" w:hAnsi="Times New Roman"/>
          <w:color w:val="000000"/>
          <w:sz w:val="24"/>
        </w:rPr>
        <w:t xml:space="preserve">. The Plan shall be administered by the Administrator. The Administrator has full authority at any time to: (i) adopt, alter and repeal such rules, guidelines and practices for the administration of the Plan and for its own acts and proceedings as it shall deem advisable and appoint such agents as it deems appropriate for the proper administration of the Plan; (ii) interpret and construe, reconcile any inconsistency in, correct any default in and supply any omission in, and apply the terms of the Plan and any ESPP Request Form or other instrument or agreement relating to the Plan; (iii) determine the terms and conditions of any right to purchase shares of Common Stock under the Plan; (iv) make all determinations and take all actions it deems advisable for the administration of the Plan, including to accommodate the specific requirements of local laws, regulations and procedures for jurisdictions outside the United States, such as adopting rules and procedures regarding payment of interest (if any), conversion of local currency, payroll tax, withholding procedures and handling of stock certificates that vary with local requirements outside of the United States, and adopting sub-plans applicable to particular Designated Companies or locations, which sub-plans may be necessary or appropriate to permit the participation in the Plan by employees who are foreign nationals or employed outside the United States, as further set forth in </w:t>
      </w:r>
      <w:r>
        <w:rPr>
          <w:rFonts w:ascii="Times New Roman" w:hAnsi="Times New Roman"/>
          <w:color w:val="000000"/>
          <w:sz w:val="24"/>
          <w:u w:val="single"/>
        </w:rPr>
        <w:t>Section 12</w:t>
      </w:r>
      <w:r>
        <w:rPr>
          <w:color w:val="000000"/>
        </w:rPr>
        <w:t xml:space="preserve"> </w:t>
      </w:r>
      <w:r>
        <w:rPr>
          <w:rFonts w:ascii="Times New Roman" w:hAnsi="Times New Roman"/>
          <w:color w:val="000000"/>
          <w:sz w:val="24"/>
        </w:rPr>
        <w:t xml:space="preserve">below; (v) determine eligibility and decide all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 xml:space="preserve">disputes arising in connection with the Plan, including which Subsidiaries and Affiliates will be Designated Companies; (vi) amend an outstanding right to purchase shares of Common Stock, including any amendments to a right that may be necessary for purposes of effecting a transaction contemplated under </w:t>
      </w:r>
      <w:r>
        <w:rPr>
          <w:rFonts w:ascii="Times New Roman" w:hAnsi="Times New Roman"/>
          <w:color w:val="000000"/>
          <w:sz w:val="24"/>
          <w:u w:val="single"/>
        </w:rPr>
        <w:t>Section 16</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17</w:t>
      </w:r>
      <w:r>
        <w:rPr>
          <w:color w:val="000000"/>
        </w:rPr>
        <w:t xml:space="preserve"> </w:t>
      </w:r>
      <w:r>
        <w:rPr>
          <w:rFonts w:ascii="Times New Roman" w:hAnsi="Times New Roman"/>
          <w:color w:val="000000"/>
          <w:sz w:val="24"/>
        </w:rPr>
        <w:t xml:space="preserve">(including, but not limited to, an amendment to the class or type of stock that may be issued pursuant to the exercise of a right or the Option Price applicable to a right),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amended right otherwise conforms to the terms of the Plan; and (vii) otherwise supervise and take any other actions necessary or desirable for the administration of the Plan. All interpretations and decisions of the Administrator shall be binding on all persons, including the Company and the Participants. Subject to applicable laws and regulations, the Board or the Committee may delegate administrative authority hereunder to an officer of the Company or to such other individual or group as the Board or Committee may determine in its discretion. No member of the Board or individual exercising administrative authority with respect to the Plan shall be liable for any action or determination made in good faith with respect to the Plan or any Option granted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Offerings</w:t>
      </w:r>
      <w:r>
        <w:rPr>
          <w:rFonts w:ascii="Times New Roman" w:hAnsi="Times New Roman"/>
          <w:color w:val="000000"/>
          <w:sz w:val="24"/>
        </w:rPr>
        <w:t xml:space="preserve">. The Administrator may make one or more Offerings (consisting of one or more Purchase Periods) to Eligible Employees to purchase Common Stock under the Plan. The Administrator shall, in its discretion, designate the period of any Offering,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 Offering shall exceed twenty-seven (27) months in duration. Unless the Administrator otherwise determines, each Offering shall be for a Purchase Period of six (6) months, beginning on the Offering Date and ending on the Exercise Date. If an Offering will have more than one (1) Purchase Period, the Administrator may provide in advance of the Offering that if the Fair Market Value of a share of Common Stock on the first Trading Day of a new Purchase Period within that Offering is less than or equal to the Fair Market Value of a share of Common Stock on the Offering Date for that Offering, then (a) that Offering will terminate immediately as of that first Trading Day, and (b) the Participants in such terminated Offering will be automatically enrolled in a new Offering beginning on the first Trading Day of such new Purchase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applicable law, the Administrator, or its delegate, retains the discretion to impose trading restrictions or holding requirements on Common Stock purchased with respect to a particular Offering. If the Administrator elects to impose such restrictions or requirements, the restrictions or requirements will be described in the enrollment materials for the applicable Offering.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 respect to the Section 423 portion of the Plan, each Offering will comply with the requirement of Section 423(b)(5) of the Code that all Eligible Employees granted Options will have the same rights and privileges.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Eligibility</w:t>
      </w:r>
      <w:r>
        <w:rPr>
          <w:rFonts w:ascii="Times New Roman" w:hAnsi="Times New Roman"/>
          <w:color w:val="000000"/>
          <w:sz w:val="24"/>
        </w:rPr>
        <w:t>. All individuals classified as employees on the payroll records of the Company and each Designated Company are eligible to participate in any one or more of the Offerings under the Plan, except for (i) any employees who have been employed less than 1 year, unless otherwise determined by the Administrator, and (ii) any employees who do not meet any other eligibility requirements that the Administrator may choose to impose (within the limits permitted by the Code) (such eligible individuals, “</w:t>
      </w:r>
      <w:r>
        <w:rPr>
          <w:rFonts w:ascii="Times New Roman" w:hAnsi="Times New Roman"/>
          <w:b/>
          <w:i/>
          <w:color w:val="000000"/>
          <w:sz w:val="24"/>
        </w:rPr>
        <w:t>Eligible Employees</w:t>
      </w:r>
      <w:r>
        <w:rPr>
          <w:color w:val="000000"/>
        </w:rPr>
        <w:t>”</w:t>
      </w:r>
      <w:r>
        <w:rPr>
          <w:rFonts w:ascii="Times New Roman" w:hAnsi="Times New Roman"/>
          <w:color w:val="000000"/>
          <w:sz w:val="24"/>
        </w:rPr>
        <w:t xml:space="preserve">). Notwithstanding any other provision herein, individuals who are not classified as employees of the Company or a Designated Company for purposes of the Company’s or applicable Designated Company’s payroll system on the Offering Date are not considered to be “Eligible Employees” of the Company or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Designated Company and shall not be eligible to participate in the Plan with respect to such Offering.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classified as of an Offering Date as employees of the Company or a Designated Company on the Company’s or Designated Company’s payroll system to become eligible to participate in an Offering under this Plan is through an amendment to this Plan, duly executed by the Company, which specifically renders such individuals eligible to participate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the Plan, in accordance with Treas. Reg. § 1.421-1(h)(2), the employment relationship shall be treated as continuing intact while the individual is on military leave, sick leave or other leave of absence approved by the Company or a Designated Company that does not exceed three months and during any period longer than three (3) months if the individual’s right to reemployment is guaranteed by statute or contract.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retains the discretion to determine which Eligible Employees may participate pursuant to and consistent with Treasury Regulation §§ 1.423-2(e) and (f).</w:t>
      </w:r>
    </w:p>
    <w:p>
      <w:pPr>
        <w:pStyle w:val="TextBody"/>
        <w:bidi w:val="0"/>
        <w:spacing w:before="240" w:after="283"/>
        <w:jc w:val="both"/>
        <w:rPr>
          <w:rFonts w:ascii="Times New Roman" w:hAnsi="Times New Roman"/>
          <w:sz w:val="20"/>
        </w:rPr>
      </w:pPr>
      <w:r>
        <w:rPr>
          <w:rFonts w:ascii="Times New Roman" w:hAnsi="Times New Roman"/>
          <w:color w:val="000000"/>
          <w:sz w:val="24"/>
        </w:rPr>
        <w:t>An Eligible Employee who works for a Designated Company and is a citizen or resident of a jurisdiction other than the United States (without regard to whether such individual also is a citizen or resident of the United States or is a resident alien (within the meaning of Section 7701(b)(1)(A) of the Code)) may be excluded from participation in the Plan or an Offering if the participation of such Eligible Employee is prohibited under the laws of the applicable jurisdiction or if complying with the laws of the applicable jurisdiction would cause an offering under the Section 423 portion of the Plan to violate Section 423 of the Code.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Participation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Participants on Effective Date</w:t>
      </w:r>
      <w:r>
        <w:rPr>
          <w:rFonts w:ascii="Times New Roman" w:hAnsi="Times New Roman"/>
          <w:color w:val="000000"/>
          <w:sz w:val="24"/>
        </w:rPr>
        <w:t xml:space="preserve">. An Eligible Employee may elect to participate in the Plan by properly completing and submitting an ESPP Request Form (in the manner described in </w:t>
      </w:r>
      <w:r>
        <w:rPr>
          <w:rFonts w:ascii="Times New Roman" w:hAnsi="Times New Roman"/>
          <w:color w:val="000000"/>
          <w:sz w:val="24"/>
          <w:u w:val="single"/>
        </w:rPr>
        <w:t>Section 4(b)</w:t>
      </w:r>
      <w:r>
        <w:rPr>
          <w:rFonts w:ascii="Times New Roman" w:hAnsi="Times New Roman"/>
          <w:color w:val="000000"/>
          <w:sz w:val="24"/>
        </w:rPr>
        <w:t>) in accordance with enrollment procedures and timing established by the Administrator. Participation in the Plan is entirely voluntary.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Enrollment</w:t>
      </w:r>
      <w:r>
        <w:rPr>
          <w:rFonts w:ascii="Times New Roman" w:hAnsi="Times New Roman"/>
          <w:color w:val="000000"/>
          <w:sz w:val="24"/>
        </w:rPr>
        <w:t xml:space="preserve">. The ESPP Request Form shall (i) state the deduction to be made from an Eligible Employee’s Compensation during an Offering pursuant to </w:t>
      </w:r>
      <w:r>
        <w:rPr>
          <w:rFonts w:ascii="Times New Roman" w:hAnsi="Times New Roman"/>
          <w:color w:val="000000"/>
          <w:sz w:val="24"/>
          <w:u w:val="single"/>
        </w:rPr>
        <w:t>Section 5</w:t>
      </w:r>
      <w:r>
        <w:rPr>
          <w:rFonts w:ascii="Times New Roman" w:hAnsi="Times New Roman"/>
          <w:color w:val="000000"/>
          <w:sz w:val="24"/>
        </w:rPr>
        <w:t xml:space="preserve">, (ii) authorize the purchase of Common Stock in each Offering in accordance with the terms of the Plan, and (iii) specify the exact name or names in which shares of Common Stock purchased for such individual are to be issued pursuant to </w:t>
      </w:r>
      <w:r>
        <w:rPr>
          <w:rFonts w:ascii="Times New Roman" w:hAnsi="Times New Roman"/>
          <w:color w:val="000000"/>
          <w:sz w:val="24"/>
          <w:u w:val="single"/>
        </w:rPr>
        <w:t>Section 10</w:t>
      </w:r>
      <w:r>
        <w:rPr>
          <w:rFonts w:ascii="Times New Roman" w:hAnsi="Times New Roman"/>
          <w:color w:val="000000"/>
          <w:sz w:val="24"/>
        </w:rPr>
        <w:t xml:space="preserve">. An employee who does not enroll in an Offering in accordance with these procedures shall be deemed to have waived participation in such Offering.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Automatic Re-enrollment</w:t>
      </w:r>
      <w:r>
        <w:rPr>
          <w:rFonts w:ascii="Times New Roman" w:hAnsi="Times New Roman"/>
          <w:color w:val="000000"/>
          <w:sz w:val="24"/>
        </w:rPr>
        <w:t xml:space="preserve">. The deduction rate selected in the ESPP Request Form shall remain in effect for subsequent Offerings unless the Participant submits a new ESPP Request Form (i) authorizing a new level of payroll deductions in accordance with </w:t>
      </w:r>
      <w:r>
        <w:rPr>
          <w:rFonts w:ascii="Times New Roman" w:hAnsi="Times New Roman"/>
          <w:color w:val="000000"/>
          <w:sz w:val="24"/>
          <w:u w:val="single"/>
        </w:rPr>
        <w:t>Section 6</w:t>
      </w:r>
      <w:r>
        <w:rPr>
          <w:rFonts w:ascii="Times New Roman" w:hAnsi="Times New Roman"/>
          <w:color w:val="000000"/>
          <w:sz w:val="24"/>
        </w:rPr>
        <w:t xml:space="preserve">, or (ii) withdrawing from the Plan in accordance with </w:t>
      </w:r>
      <w:r>
        <w:rPr>
          <w:rFonts w:ascii="Times New Roman" w:hAnsi="Times New Roman"/>
          <w:color w:val="000000"/>
          <w:sz w:val="24"/>
          <w:u w:val="single"/>
        </w:rPr>
        <w:t>Section 7</w:t>
      </w:r>
      <w:r>
        <w:rPr>
          <w:rFonts w:ascii="Times New Roman" w:hAnsi="Times New Roman"/>
          <w:color w:val="000000"/>
          <w:sz w:val="24"/>
        </w:rPr>
        <w:t>, or if the Participant terminates employment or otherwise becomes ineligible to participate in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Electronic Submission of ESPP Request Form</w:t>
      </w:r>
      <w:r>
        <w:rPr>
          <w:rFonts w:ascii="Times New Roman" w:hAnsi="Times New Roman"/>
          <w:color w:val="000000"/>
          <w:sz w:val="24"/>
        </w:rPr>
        <w:t xml:space="preserve">. The Administrator may specify that ESPP Request Forms to be submitted to the Company pursuant to this </w:t>
      </w:r>
      <w:r>
        <w:rPr>
          <w:rFonts w:ascii="Times New Roman" w:hAnsi="Times New Roman"/>
          <w:color w:val="000000"/>
          <w:sz w:val="24"/>
          <w:u w:val="single"/>
        </w:rPr>
        <w:t>Section 4</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7</w:t>
      </w:r>
      <w:r>
        <w:rPr>
          <w:color w:val="000000"/>
        </w:rPr>
        <w:t xml:space="preserve"> </w:t>
      </w:r>
      <w:r>
        <w:rPr>
          <w:rFonts w:ascii="Times New Roman" w:hAnsi="Times New Roman"/>
          <w:color w:val="000000"/>
          <w:sz w:val="24"/>
        </w:rPr>
        <w:t>below are to be submitted electronically via the Company’s intranet or the Internet site of a third party or via email or any other means of electronic delivery specified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participation in the Plan shall neither be permitted nor denied contrary to the requirements of the Code.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Employee Contributions</w:t>
      </w:r>
      <w:r>
        <w:rPr>
          <w:rFonts w:ascii="Times New Roman" w:hAnsi="Times New Roman"/>
          <w:color w:val="000000"/>
          <w:sz w:val="24"/>
        </w:rPr>
        <w:t xml:space="preserve">. Each Eligible Employee may, by submitting an ESPP Request Form as described in </w:t>
      </w:r>
      <w:r>
        <w:rPr>
          <w:rFonts w:ascii="Times New Roman" w:hAnsi="Times New Roman"/>
          <w:color w:val="000000"/>
          <w:sz w:val="24"/>
          <w:u w:val="single"/>
        </w:rPr>
        <w:t>Section 4(b)</w:t>
      </w:r>
      <w:r>
        <w:rPr>
          <w:rFonts w:ascii="Times New Roman" w:hAnsi="Times New Roman"/>
          <w:color w:val="000000"/>
          <w:sz w:val="24"/>
        </w:rPr>
        <w:t xml:space="preserve">, authorize payroll deductions, in whole percentages, at a minimum of 1% up to a maximum of 15% of such employee’s Compensation, to be deducted on a pro rata basis for each pay period during an Offering,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to the extent permitted by Administrator for an Offering, an Eligible Employee may authorize a payroll deduction expressed as a flat dollar amount, subject to such terms, conditions and limits as may be established by the Administrator for such Offering. Payroll deductions shall commence on the first payroll date following the Offering Date and end on the last payroll date on or before the last day of the Offering. Payroll deductions shall be made in accordance with the Eligible Employee’s election;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due to rounding or other administrative reasons, the actual percentage contributed may be less than the elected percentage. The Company shall maintain notional book accounts showing the amount of payroll deductions made by each Participant for each Purchase Period, but the Company will not hold payroll deductions in a trust or in any segregated account, unless otherwise determined by the Administrator or required by applicable law. No interest shall accrue or be paid on payroll deductions, except as may be required by applicable law. If payroll deductions for purposes of the Plan are prohibited or otherwise problematic under applicable law (as determined by the Administrator in its discretion), the Administrator may require Participants to contribute to the Plan by such other means as determined by the Administrator. Any reference to “payroll deductions” in this </w:t>
      </w:r>
      <w:r>
        <w:rPr>
          <w:rFonts w:ascii="Times New Roman" w:hAnsi="Times New Roman"/>
          <w:color w:val="000000"/>
          <w:sz w:val="24"/>
          <w:u w:val="single"/>
        </w:rPr>
        <w:t>Section 5</w:t>
      </w:r>
      <w:r>
        <w:rPr>
          <w:color w:val="000000"/>
        </w:rPr>
        <w:t xml:space="preserve"> </w:t>
      </w:r>
      <w:r>
        <w:rPr>
          <w:rFonts w:ascii="Times New Roman" w:hAnsi="Times New Roman"/>
          <w:color w:val="000000"/>
          <w:sz w:val="24"/>
        </w:rPr>
        <w:t xml:space="preserve">(or in any other section of the Plan) shall similarly cover contributions by other means made pursuant to this </w:t>
      </w:r>
      <w:r>
        <w:rPr>
          <w:rFonts w:ascii="Times New Roman" w:hAnsi="Times New Roman"/>
          <w:color w:val="000000"/>
          <w:sz w:val="24"/>
          <w:u w:val="single"/>
        </w:rPr>
        <w:t>Section 5</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Deduction Changes</w:t>
      </w:r>
      <w:r>
        <w:rPr>
          <w:rFonts w:ascii="Times New Roman" w:hAnsi="Times New Roman"/>
          <w:color w:val="000000"/>
          <w:sz w:val="24"/>
        </w:rPr>
        <w:t xml:space="preserve">. Except as may be determined by the Administrator in advance of an Offering, a Participant may not increase or decrease his, her or their payroll deduction during any Offering, but may increase or decrease his or her payroll deduction with respect to the next Offering (subject to the limitations of </w:t>
      </w:r>
      <w:r>
        <w:rPr>
          <w:rFonts w:ascii="Times New Roman" w:hAnsi="Times New Roman"/>
          <w:color w:val="000000"/>
          <w:sz w:val="24"/>
          <w:u w:val="single"/>
        </w:rPr>
        <w:t>Section 5</w:t>
      </w:r>
      <w:r>
        <w:rPr>
          <w:rFonts w:ascii="Times New Roman" w:hAnsi="Times New Roman"/>
          <w:color w:val="000000"/>
          <w:sz w:val="24"/>
        </w:rPr>
        <w:t>) by filing a new ESPP Request Form in accordance with enrollment procedures and timing established by the Administrator. The Administrator may, in advance of any Offering, establish rules permitting a Participant to increase, decrease or terminate the Participant’s payroll deduction during an Offering.</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Withdrawal</w:t>
      </w:r>
      <w:r>
        <w:rPr>
          <w:rFonts w:ascii="Times New Roman" w:hAnsi="Times New Roman"/>
          <w:color w:val="000000"/>
          <w:sz w:val="24"/>
        </w:rPr>
        <w:t xml:space="preserve">. A Participant may withdraw from participation in the Plan by submitting to the Company a revised ESPP Request Form indicating his, her or their election to withdraw (in accordance with such procedures as may be established by the Administrator). The Participant’s withdrawal shall be effective as of the next business day. Following a Participant’s withdrawal, the Company shall promptly refund such individual’s entire account balance under the Plan (after payment for any Common Stock purchased before the effective date of withdrawal). Partial withdrawals are not permitted. Any withdrawing employee may not begin participating again during the remainder of the then current Offering but may enroll in a subsequent Offering in accordance with </w:t>
      </w:r>
      <w:r>
        <w:rPr>
          <w:rFonts w:ascii="Times New Roman" w:hAnsi="Times New Roman"/>
          <w:color w:val="000000"/>
          <w:sz w:val="24"/>
          <w:u w:val="single"/>
        </w:rPr>
        <w:t>Section 4</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Grant of Options</w:t>
      </w:r>
      <w:r>
        <w:rPr>
          <w:rFonts w:ascii="Times New Roman" w:hAnsi="Times New Roman"/>
          <w:color w:val="000000"/>
          <w:sz w:val="24"/>
        </w:rPr>
        <w:t>. On each Offering Date, the Company shall grant to each Participant in the Plan an option (“</w:t>
      </w:r>
      <w:r>
        <w:rPr>
          <w:rFonts w:ascii="Times New Roman" w:hAnsi="Times New Roman"/>
          <w:b/>
          <w:i/>
          <w:color w:val="000000"/>
          <w:sz w:val="24"/>
        </w:rPr>
        <w:t>Option</w:t>
      </w:r>
      <w:r>
        <w:rPr>
          <w:color w:val="000000"/>
        </w:rPr>
        <w:t>”</w:t>
      </w:r>
      <w:r>
        <w:rPr>
          <w:rFonts w:ascii="Times New Roman" w:hAnsi="Times New Roman"/>
          <w:color w:val="000000"/>
          <w:sz w:val="24"/>
        </w:rPr>
        <w:t xml:space="preserve">) to purchase, on the Exercise Date and at the Option Price hereinafter provided for, the lesser of (a) a number of shares of Common Stock determined by dividing such Participant’s accumulated payroll deductions on such Exercise Date by the Option Price and (b) a number of shares of Common Stock equal to $25,000 divided by the Fair Market Value of a share of Common Stock on the Offering Date (or such other maximum number of shares as shall have been established by the Administrator in advance of the Offering (in each case subject to adjustment pursuant to </w:t>
      </w:r>
      <w:r>
        <w:rPr>
          <w:rFonts w:ascii="Times New Roman" w:hAnsi="Times New Roman"/>
          <w:color w:val="000000"/>
          <w:sz w:val="24"/>
          <w:u w:val="single"/>
        </w:rPr>
        <w:t>Section 16</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17</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such Option shall be subject to the limitations set forth below. Each Participant’s Option shall be exercisable only to the extent of such Participant’s accumulated payroll deductions on the Exercise Date. The purchase price for each share purchased under each Option (the “</w:t>
      </w:r>
      <w:r>
        <w:rPr>
          <w:rFonts w:ascii="Times New Roman" w:hAnsi="Times New Roman"/>
          <w:b/>
          <w:i/>
          <w:color w:val="000000"/>
          <w:sz w:val="24"/>
        </w:rPr>
        <w:t>Option Price</w:t>
      </w:r>
      <w:r>
        <w:rPr>
          <w:color w:val="000000"/>
        </w:rPr>
        <w:t>”</w:t>
      </w:r>
      <w:r>
        <w:rPr>
          <w:rFonts w:ascii="Times New Roman" w:hAnsi="Times New Roman"/>
          <w:color w:val="000000"/>
          <w:sz w:val="24"/>
        </w:rPr>
        <w:t xml:space="preserve">) shall, unless otherwise determined by the Administrator in advance of an Offering, be the lesser of 85% of the Fair Market Value of a share of Common Stock on (a) the Offering Date or (b) the Exercise Date;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no event shall the Option Price be less than 85% of the Fair Market Value of a share of Common Stock on the Offering Date or the Exercise Date, whichever is less.</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 the foregoing, no Participant may be granted an Option hereunder if such Participant, immediately after the Option was granted, would be treated as owning stock possessing 5% or more of the total combined voting power or value of all classes of stock of the Company or any Parent or Subsidiary.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that permits the Participant’s rights to purchase stock under the Plan, and any other employee stock purchase plan (described in Section 423 of the Code) of the Company and its Parents and Subsidiaries, to accrue at a rate which exceeds $25,000 of the Fair Market Value of such stock (determined on the Option grant date or dates) for each calendar year in which the Option is outstanding at any time (for example, if the Administrator makes two Offerings of six months in duration that begin on January 1 and July 1 of a calendar year and each Offering is for a single Purchase Period, the maximum number of shares of Common Stock that may be purchased in the first Offering shall be $25,000 divided by Fair Market Value of a share of Common Stock as of January 1, and the maximum number of shares of Common Stock that may be purchased in the second Offering, if any, shall be (a) $25,000 less the product of (i) Fair Market Value of a share of Common Stock as of January 1 multiplied by (ii) the number of shares of Common Stock purchased in the first Offering, divided by (b) Fair Market Value of a share of Common Stock as of July 1). The purpose of the limitation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preceding sentence is to comply with Section 423(b)(8) of the Code and shall be applied taking Options into account in the order in which they were granted.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Exercise of Option and Purchase of Shares</w:t>
      </w:r>
      <w:r>
        <w:rPr>
          <w:rFonts w:ascii="Times New Roman" w:hAnsi="Times New Roman"/>
          <w:color w:val="000000"/>
          <w:sz w:val="24"/>
        </w:rPr>
        <w:t>. Each employee who continues to be a Participant in the Plan on the Exercise Date shall be deemed to have exercised his or her Option on such date and shall acquire from the Company such number of whole shares of Common Stock reserved for the purpose of the Plan as the Participant’s accumulated payroll deductions on such date shall purchase at the Option Price, subject to any other limitations contained in the Plan. Unless otherwise determined by the Administrator in advance of an Offering, any amount remaining in a Participant’s account after the purchase of shares on an Exercise Date of an Offering solely by reason of the inability to purchase a fractional share shall be carried forward to the next Offering; any other balance remaining in a Participant’s account at the end of an Offering shall be refunded to the Participant promptly.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Issuance of Certificates</w:t>
      </w:r>
      <w:r>
        <w:rPr>
          <w:rFonts w:ascii="Times New Roman" w:hAnsi="Times New Roman"/>
          <w:color w:val="000000"/>
          <w:sz w:val="24"/>
        </w:rPr>
        <w:t xml:space="preserve">. Certificates representing shares of Common Stock purchased under the Plan may be issued only in the name of the Eligible Employee, in the name of the Eligible Employee and another person of legal age as joint tenants with rights of survivorship, or in the name of a broker authorized by the Eligible Employee to be his, her or their, nominee for such purpose. Participants will not have any voting, dividend, or other rights of a stockholder with respect to the shares of Common Stock until such shares have been delivered pursuant to this </w:t>
      </w:r>
      <w:r>
        <w:rPr>
          <w:rFonts w:ascii="Times New Roman" w:hAnsi="Times New Roman"/>
          <w:color w:val="000000"/>
          <w:sz w:val="24"/>
          <w:u w:val="single"/>
        </w:rPr>
        <w:t>Section 10</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transactions under this Plan are subject to the Company’s insider trading policy as may be in effect from time to time. This includes any blackout period prohibition or requirement to obtain mandatory pre-clearance of transactions such as enrollment, modification of level of participation, withdrawal, or trading. If the standard enrollment period is scheduled to occur during a blackout period, arrangements may be made to allow for restricted insiders to update their elections during the preceding open trading window.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Rights on Termination or Transfer of Employment</w:t>
      </w:r>
      <w:r>
        <w:rPr>
          <w:rFonts w:ascii="Times New Roman" w:hAnsi="Times New Roman"/>
          <w:color w:val="000000"/>
          <w:sz w:val="24"/>
        </w:rPr>
        <w:t xml:space="preserve">. If a Participant’s employment terminates for any reason, or if the Participant’s employment status changes such that the Participant is no longer an Eligible Employee before the Exercise Date for any Purchase Period, no further payroll deduction shall be taken from any pay due and owing to the Participant and the balance in the Participant’s notional account shall be paid as if such Participant had withdrawn from the Plan under </w:t>
      </w:r>
      <w:r>
        <w:rPr>
          <w:rFonts w:ascii="Times New Roman" w:hAnsi="Times New Roman"/>
          <w:color w:val="000000"/>
          <w:sz w:val="24"/>
          <w:u w:val="single"/>
        </w:rPr>
        <w:t>Section 7</w:t>
      </w:r>
      <w:r>
        <w:rPr>
          <w:rFonts w:ascii="Times New Roman" w:hAnsi="Times New Roman"/>
          <w:color w:val="000000"/>
          <w:sz w:val="24"/>
        </w:rPr>
        <w:t>, to such Participant or, in the case of such Participant’s death, to (i) the legal representative of the Participant’s estate; or (ii) if no such legal representative has been appointed to the knowledge of the Company, to such other person(s) as the Company may, in its discretion, designate. An employee shall be deemed to have terminated employment, for this purpose, if the corporation or other entity that employs such individual, having been a Designated Company, ceases to be a Subsidiary or Affiliate, or if the employee is transferred to any entity other than the Company or a Designated Company. Unless otherwise determined by the Administrator, a Participant whose employment transfers between, or whose employment terminates with an immediate rehire (with no break in service) by, Designated Companies or a Designated Company and the Company shall not be treated as having terminated employment for purposes of participating in the Plan or an Offering.</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Special Rules and Sub-Plans</w:t>
      </w:r>
      <w:r>
        <w:rPr>
          <w:rFonts w:ascii="Times New Roman" w:hAnsi="Times New Roman"/>
          <w:color w:val="000000"/>
          <w:sz w:val="24"/>
        </w:rPr>
        <w:t>. Notwithstanding anything herein to the contrary, the Administrator may adopt special rules or sub-plans applicable to the employees of a particular Designated Company whenever the Administrator determines that such rules are necessary or appropriate for the implementation of the Plan in a jurisdiction where such Designated Company has employees. Any such special rules or sub-plans may address, without limitation, eligibility to participate in the Plan, handling and making of payroll deductions or contribution by other means, establishment of bank or trust accounts to hold payroll deductions, payment of interest, conversion of local currency, obligations to pay payroll tax, withholding procedures and handling of share issuances, any of which may vary according to applicable requirements. Unless otherwise specifically provided, to the extent there is a conflict between the provisions of a sub-plan and the terms of the main portion of the Plan, the terms of the sub-plan shall govern with respect to the individuals who participate in such sub-plan.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Optionees Not Stockholders</w:t>
      </w:r>
      <w:r>
        <w:rPr>
          <w:rFonts w:ascii="Times New Roman" w:hAnsi="Times New Roman"/>
          <w:color w:val="000000"/>
          <w:sz w:val="24"/>
        </w:rPr>
        <w:t>. Neither the granting of an Option to a Participant nor the deductions from a Participant’s pay shall result in such Participant becoming a holder of the shares of Common Stock covered by an Option under the Plan until such shares have been purchased by and issued to such Participant.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Rights Not Transferable</w:t>
      </w:r>
      <w:r>
        <w:rPr>
          <w:rFonts w:ascii="Times New Roman" w:hAnsi="Times New Roman"/>
          <w:color w:val="000000"/>
          <w:sz w:val="24"/>
        </w:rPr>
        <w:t>. Rights under the Plan are not transferable by a Participant other than by will or the laws of descent and distribution and are exercisable during the Participant’s lifetime only by the Participant.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color w:val="000000"/>
          <w:sz w:val="24"/>
          <w:u w:val="single"/>
        </w:rPr>
        <w:t>Application of Funds</w:t>
      </w:r>
      <w:r>
        <w:rPr>
          <w:rFonts w:ascii="Times New Roman" w:hAnsi="Times New Roman"/>
          <w:color w:val="000000"/>
          <w:sz w:val="24"/>
        </w:rPr>
        <w:t>. All funds received or held by the Company under the Plan may be combined with other corporate funds and may be used for any corporate purpose, unless otherwise required under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color w:val="000000"/>
          <w:sz w:val="24"/>
          <w:u w:val="single"/>
        </w:rPr>
        <w:t>Adjustment in Case of Changes Affecting Common Stock</w:t>
      </w:r>
      <w:r>
        <w:rPr>
          <w:rFonts w:ascii="Times New Roman" w:hAnsi="Times New Roman"/>
          <w:color w:val="000000"/>
          <w:sz w:val="24"/>
        </w:rPr>
        <w:t xml:space="preserve">. Upon any stock split, reverse stock split, stock dividend, recapitalization, combination or exchange of shares, reclassification of shares, spin-off, or other similar change in capitalization or event, or any dividend or distribution to holders of Common Stock other than an ordinary cash dividend, or any other change affecting the Common Stock, (i) the number and class of shares approved for the Plan, (ii) the Option Price, and (iii) the share limitation set forth in </w:t>
      </w:r>
      <w:r>
        <w:rPr>
          <w:rFonts w:ascii="Times New Roman" w:hAnsi="Times New Roman"/>
          <w:color w:val="000000"/>
          <w:sz w:val="24"/>
          <w:u w:val="single"/>
        </w:rPr>
        <w:t>Section 8</w:t>
      </w:r>
      <w:r>
        <w:rPr>
          <w:color w:val="000000"/>
        </w:rPr>
        <w:t xml:space="preserve"> </w:t>
      </w:r>
      <w:r>
        <w:rPr>
          <w:rFonts w:ascii="Times New Roman" w:hAnsi="Times New Roman"/>
          <w:color w:val="000000"/>
          <w:sz w:val="24"/>
        </w:rPr>
        <w:t>shall be equitably or proportionately adjusted to the extent determined by the Administrator to give proper effect to such event, in accordance with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Corporate Transactions</w:t>
      </w:r>
      <w:r>
        <w:rPr>
          <w:rFonts w:ascii="Times New Roman" w:hAnsi="Times New Roman"/>
          <w:color w:val="000000"/>
          <w:sz w:val="24"/>
        </w:rPr>
        <w:t>. In connection with a Corporate Transaction, the Administrator shall take any one or more of the following actions as to outstanding Options on such terms as the Administrator determines: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provide that Options shall be assumed, or substantially equivalent Options shall be substituted, by the acquiring or succeeding corporation or other entity (or an affiliate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upon written notice to Participants, provide that Participants’ accumulated payroll deductions will be used to purchase shares of Common Stock on a date determined by the Administrator within ten (10) days prior to the Corporate Transaction and that all outstanding Options will terminate immediately after such purchase;</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upon written notice to Participants, provide that all outstanding Options will be cancelled as of a date prior to the effective date of the Corporate Transaction and that all accumulated payroll deductions will be returned to Participants;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of a Corporate Transaction under the terms of which holders of Common Stock will receive, upon consummation thereof, a cash payment for each share surrendered in the Corporate Transaction, make or provide for a cash payment to a Participant equal to (1) the Acquisition Price times the number of shares of Common Stock subject to the Participant’s Option (to the extent the Option Price does not exceed the Acquisition Price) minus (2) the aggregate Option Price of such Option, in exchange for the termination of such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provide that, in connection with a liquidation or dissolution of the Company, Options shall convert into the right to receive liquidation proceeds (net of the Option Price thereof);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combination of the foregoing.</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For purposes of clause (a) above, an Option shall be considered assumed if, following consummation of the Corporate Transaction, the Option confers the right to purchase, for each share of Common Stock subject to the Option immediately prior to the consummation of the Corporate Transaction, the consideration (whether cash, securities, or other property) received as a result of the Corporate Transaction by holders of Common Stock for each share of Common Stock held immediately prior to the consummation of the Corporate Transaction (and if holders were offered a choice of consideration, the type of consideration chosen by the holders of a majority of the outstanding shares of Common Stock);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the consideration received as a result of the Corporate Transaction is not solely capital stock of the acquiring or succeeding corporation or other entity (or an affiliate thereof), the Company may, with the consent of the acquiring or succeeding corporation or other entity, provide for the consideration to be received upon the exercise of Options to consist solely of capital stock of the acquiring or succeeding corporation or other entity (or an affiliate thereof) equivalent in value (as determined by the Administrator) to the per share consideration received by holders of outstanding shares of Common Stock as a result of the Corporate Transaction.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In addition, any action taken under this </w:t>
      </w:r>
      <w:r>
        <w:rPr>
          <w:rFonts w:ascii="Times New Roman" w:hAnsi="Times New Roman"/>
          <w:color w:val="000000"/>
          <w:sz w:val="24"/>
          <w:u w:val="single"/>
        </w:rPr>
        <w:t>Section 17</w:t>
      </w:r>
      <w:r>
        <w:rPr>
          <w:rFonts w:ascii="Times New Roman" w:hAnsi="Times New Roman"/>
          <w:color w:val="000000"/>
          <w:sz w:val="20"/>
        </w:rPr>
        <w:t xml:space="preserve"> </w:t>
      </w:r>
      <w:r>
        <w:rPr>
          <w:rFonts w:ascii="Times New Roman" w:hAnsi="Times New Roman"/>
          <w:color w:val="000000"/>
          <w:sz w:val="24"/>
        </w:rPr>
        <w:t>shall be consistent with the intent that Options comply with Section 423 of the Code, unless otherwise expressly determined by the Administrator. The Plan shall in no event be construed to restrict in any way the Company’s right to undertake a dissolution, liquidation, merger, consolidation or other Corporate Transaction.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Amendment of the Plan</w:t>
      </w:r>
      <w:r>
        <w:rPr>
          <w:rFonts w:ascii="Times New Roman" w:hAnsi="Times New Roman"/>
          <w:color w:val="000000"/>
          <w:sz w:val="24"/>
        </w:rPr>
        <w:t xml:space="preserve">. The Administrator may at any time and from time to time amend the Plan in any respect, except that, without the approval within twelve (12) months before or after such Administrator action by the stockholders of the Company, no amendment shall be made increasing the number of shares approved for the Plan or making any other change that would require stockholder approval under the requirements of any stock exchange upon which the shares may then be listed or in order for the Plan, as amended, to qualify as an “employee stock purchase plan” under Section 423(b) of the Code.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Suspension of the Plan</w:t>
      </w:r>
      <w:r>
        <w:rPr>
          <w:rFonts w:ascii="Times New Roman" w:hAnsi="Times New Roman"/>
          <w:color w:val="000000"/>
          <w:sz w:val="24"/>
        </w:rPr>
        <w:t xml:space="preserve">. The Administrator may, at any time, suspend the Plan;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Company shall provide notice to the Participants prior to the effectiveness of such suspension. The Administrator may resume the operation of the Plan following any such suspension;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Company shall provide notice to the Participants prior to the date of termination of the suspension period. A Participant shall remain a Participant in the Plan during any suspension period (unless the Participant withdraws pursuant to </w:t>
      </w:r>
      <w:r>
        <w:rPr>
          <w:rFonts w:ascii="Times New Roman" w:hAnsi="Times New Roman"/>
          <w:color w:val="000000"/>
          <w:sz w:val="24"/>
          <w:u w:val="single"/>
        </w:rPr>
        <w:t>Section 7</w:t>
      </w:r>
      <w:r>
        <w:rPr>
          <w:rFonts w:ascii="Times New Roman" w:hAnsi="Times New Roman"/>
          <w:color w:val="000000"/>
          <w:sz w:val="24"/>
        </w:rPr>
        <w:t>). However, no Options shall be granted or exercised, and no payroll deductions shall be made in respect of any Participant, during the suspension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color w:val="000000"/>
          <w:sz w:val="24"/>
          <w:u w:val="single"/>
        </w:rPr>
        <w:t>Insufficient Shares</w:t>
      </w:r>
      <w:r>
        <w:rPr>
          <w:rFonts w:ascii="Times New Roman" w:hAnsi="Times New Roman"/>
          <w:color w:val="000000"/>
          <w:sz w:val="24"/>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in a manner consistent with the requirements of Section 423(b)(4) and (5) of the Code and the regulations thereunder among Participants in proportion to the amount of payroll deductions accumulated on behalf of each Participant that would otherwise be used to purchase Common Stock on such Exercise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Effective Date and Stockholder Approval</w:t>
      </w:r>
      <w:r>
        <w:rPr>
          <w:rFonts w:ascii="Times New Roman" w:hAnsi="Times New Roman"/>
          <w:color w:val="000000"/>
          <w:sz w:val="24"/>
        </w:rPr>
        <w:t>. The Plan shall become effective immediately prior to and contingent upon the Public Trading Date (the “</w:t>
      </w:r>
      <w:r>
        <w:rPr>
          <w:rFonts w:ascii="Times New Roman" w:hAnsi="Times New Roman"/>
          <w:b/>
          <w:i/>
          <w:color w:val="000000"/>
          <w:sz w:val="24"/>
        </w:rPr>
        <w:t>Effective Date</w:t>
      </w:r>
      <w:r>
        <w:rPr>
          <w:color w:val="000000"/>
        </w:rPr>
        <w:t>”</w:t>
      </w:r>
      <w:r>
        <w:rPr>
          <w:rFonts w:ascii="Times New Roman" w:hAnsi="Times New Roman"/>
          <w:color w:val="000000"/>
          <w:sz w:val="24"/>
        </w:rPr>
        <w:t>). In accordance with Treas. Reg. § 1.423-2(a)(2)(ii), the Company shall seek stockholder approval of the Plan within 12 months before or after the date the Plan is adopted. No Options shall be exercised unless and until the Plan has been approved by the stockholders of the Company. If stockholder approval is not received within 12 months before or after the Plan is adopted, the Plan shall be terminated and any amounts contributed by employees to the Plan shall be returned to the employees without interest (unless otherwise required pursuant to applicable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color w:val="000000"/>
          <w:sz w:val="24"/>
          <w:u w:val="single"/>
        </w:rPr>
        <w:t>Termination of the Plan</w:t>
      </w:r>
      <w:r>
        <w:rPr>
          <w:rFonts w:ascii="Times New Roman" w:hAnsi="Times New Roman"/>
          <w:color w:val="000000"/>
          <w:sz w:val="24"/>
        </w:rPr>
        <w:t xml:space="preserve">. Except as otherwise provided in </w:t>
      </w:r>
      <w:r>
        <w:rPr>
          <w:rFonts w:ascii="Times New Roman" w:hAnsi="Times New Roman"/>
          <w:color w:val="000000"/>
          <w:sz w:val="24"/>
          <w:u w:val="single"/>
        </w:rPr>
        <w:t>Section 21</w:t>
      </w:r>
      <w:r>
        <w:rPr>
          <w:rFonts w:ascii="Times New Roman" w:hAnsi="Times New Roman"/>
          <w:color w:val="000000"/>
          <w:sz w:val="24"/>
        </w:rPr>
        <w:t>, the Plan may be terminated at any time by the Administrator. Upon termination of the Plan, all amounts in the accounts of Participants shall be promptly refunded. The Plan shall automatically terminate on the ten-year anniversary of the date the Plan is approved by the Company’s stockholders (such ten-year anniversary, the “</w:t>
      </w:r>
      <w:r>
        <w:rPr>
          <w:rFonts w:ascii="Times New Roman" w:hAnsi="Times New Roman"/>
          <w:b/>
          <w:i/>
          <w:color w:val="000000"/>
          <w:sz w:val="24"/>
        </w:rPr>
        <w:t>Expiration Date</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color w:val="000000"/>
          <w:sz w:val="24"/>
          <w:u w:val="single"/>
        </w:rPr>
        <w:t>Compliance with Law</w:t>
      </w:r>
      <w:r>
        <w:rPr>
          <w:rFonts w:ascii="Times New Roman" w:hAnsi="Times New Roman"/>
          <w:color w:val="000000"/>
          <w:sz w:val="24"/>
        </w:rPr>
        <w:t xml:space="preserve">. The obligations of the Company with respect to payments under the Plan are subject to compliance with all applicable laws and regulations. Common Stock shall not be issued with respect to a right to purchase unless the issuance and delivery of the shares of Common Stock pursuant thereto shall comply with all applicable provisions of law, including, without limitation, the Securities Act, the Exchange Act and the requirements of any stock exchange upon which the shares may then be listed. Without limiting the foregoing, the Company’s obligation to sell and deliver Common Stock under the Plan is subject to the completion of any registration or qualification of the Common Stock under any U.S. or non-U.S. local, state or federal securities or exchange control law, or under rulings or regulations of the SEC or of any other governmental regulatory body, and to obtaining any approval or other clearance from any U.S. and non-U.S. local, state or federal governmental agency, which registration, qualification or approval the Company may, in its absolute discretion, deem necessary or advisable. The Company is under no obligation to register or qualify the Common Stock with the SEC or any other U.S. or non-U.S. securities commission or to seek approval or clearance from any governmental authority for the issuance or sale of such stock. If, pursuant to this </w:t>
      </w:r>
      <w:r>
        <w:rPr>
          <w:rFonts w:ascii="Times New Roman" w:hAnsi="Times New Roman"/>
          <w:color w:val="000000"/>
          <w:sz w:val="24"/>
          <w:u w:val="single"/>
        </w:rPr>
        <w:t>Section 23</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Administrator determines that the shares of Common Stock will not be issued to any Participant, all accumulated payroll deductions will be promptly refunded, without interest (unless otherwise required pursuant to applicable law), to the Participant, without any liability to the Company or any of its Affiliates.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rFonts w:ascii="Times New Roman" w:hAnsi="Times New Roman"/>
          <w:color w:val="000000"/>
          <w:sz w:val="24"/>
          <w:u w:val="single"/>
        </w:rPr>
        <w:t>Governing Law</w:t>
      </w:r>
      <w:r>
        <w:rPr>
          <w:rFonts w:ascii="Times New Roman" w:hAnsi="Times New Roman"/>
          <w:color w:val="000000"/>
          <w:sz w:val="24"/>
        </w:rPr>
        <w:t>. This Plan and all Options and actions taken thereunder shall be governed by, and construed in accordance with, the laws of the State of Delaware, applied without regard to conflict of law principles.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both"/>
        <w:rPr/>
      </w:pPr>
      <w:r>
        <w:rPr>
          <w:rFonts w:ascii="Times New Roman" w:hAnsi="Times New Roman"/>
          <w:color w:val="000000"/>
          <w:sz w:val="24"/>
          <w:u w:val="single"/>
        </w:rPr>
        <w:t>Issuance of Shares</w:t>
      </w:r>
      <w:r>
        <w:rPr>
          <w:rFonts w:ascii="Times New Roman" w:hAnsi="Times New Roman"/>
          <w:color w:val="000000"/>
          <w:sz w:val="24"/>
        </w:rPr>
        <w:t>. Shares may be issued upon exercise of an Option from authorized but unissued Common Stock, from shares held in the treasury of the Company, or from any other proper source.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both"/>
        <w:rPr/>
      </w:pPr>
      <w:r>
        <w:rPr>
          <w:rFonts w:ascii="Times New Roman" w:hAnsi="Times New Roman"/>
          <w:color w:val="000000"/>
          <w:sz w:val="24"/>
          <w:u w:val="single"/>
        </w:rPr>
        <w:t>Tax Withholding</w:t>
      </w:r>
      <w:r>
        <w:rPr>
          <w:rFonts w:ascii="Times New Roman" w:hAnsi="Times New Roman"/>
          <w:color w:val="000000"/>
          <w:sz w:val="24"/>
        </w:rPr>
        <w:t>.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but shall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Common Stock by such Participant. In addition, the Company or any Subsidiary or Affiliate may, but shall not be obligated to, withhold from the proceeds of the sale of Common Stock or any other method of withholding that the Company or any Subsidiary or Affiliate deems appropriate to the extent permitted by U.S. Treasury Regulation Section 1.423-2(f). The Company shall not be required to issue any Common Stock under the Plan until such obligations are satisfied.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both"/>
        <w:rPr/>
      </w:pPr>
      <w:r>
        <w:rPr>
          <w:rFonts w:ascii="Times New Roman" w:hAnsi="Times New Roman"/>
          <w:color w:val="000000"/>
          <w:sz w:val="24"/>
          <w:u w:val="single"/>
        </w:rPr>
        <w:t>Code Section 409A</w:t>
      </w:r>
      <w:r>
        <w:rPr>
          <w:rFonts w:ascii="Times New Roman" w:hAnsi="Times New Roman"/>
          <w:color w:val="000000"/>
          <w:sz w:val="24"/>
        </w:rPr>
        <w:t>. The Plan is intended to be exempt from the application of Section 409A of the Code and any ambiguities herein shall be interpreted to so be exempt from Section 409A of the Code. Notwithstanding any provision in the Plan to the contrary, if the Administrator determines that an Option granted under the Plan may be subject to Section 409A of the Code or that any provision in the Plan would cause an Option under the Plan to be subject to Section 409A of the Code,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Administrator would not violate Section 409A of the Code. Notwithstanding the foregoing, the Company shall have no liability to a Participant or any other party if the Option to purchase Common Stock under the Plan that is intended to be exempt from or compliant with Section 409A of the Code is not so exempt or compliant or for any action taken by the Administrator with respect thereto. The Company makes no representation that the Option to purchase Common Stock under the Plan is compliant with Section 409A of the Code.</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28.</w:t>
      </w:r>
    </w:p>
    <w:p>
      <w:pPr>
        <w:pStyle w:val="TextBody"/>
        <w:bidi w:val="0"/>
        <w:spacing w:before="240" w:after="283"/>
        <w:jc w:val="both"/>
        <w:rPr/>
      </w:pPr>
      <w:r>
        <w:rPr>
          <w:rFonts w:ascii="Times New Roman" w:hAnsi="Times New Roman"/>
          <w:color w:val="000000"/>
          <w:sz w:val="24"/>
          <w:u w:val="single"/>
        </w:rPr>
        <w:t>Notification Upon Sale of Shares</w:t>
      </w:r>
      <w:r>
        <w:rPr>
          <w:rFonts w:ascii="Times New Roman" w:hAnsi="Times New Roman"/>
          <w:color w:val="000000"/>
          <w:sz w:val="24"/>
        </w:rPr>
        <w:t>. Each Participant agrees, by entering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29.</w:t>
      </w:r>
    </w:p>
    <w:p>
      <w:pPr>
        <w:pStyle w:val="TextBody"/>
        <w:bidi w:val="0"/>
        <w:spacing w:before="240" w:after="283"/>
        <w:jc w:val="both"/>
        <w:rPr/>
      </w:pPr>
      <w:r>
        <w:rPr>
          <w:rFonts w:ascii="Times New Roman" w:hAnsi="Times New Roman"/>
          <w:color w:val="000000"/>
          <w:sz w:val="24"/>
          <w:u w:val="single"/>
        </w:rPr>
        <w:t>General</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No Right to Options; No Stockholder Rights; No Right to Employment</w:t>
      </w:r>
      <w:r>
        <w:rPr>
          <w:rFonts w:ascii="Times New Roman" w:hAnsi="Times New Roman"/>
          <w:color w:val="000000"/>
          <w:sz w:val="24"/>
        </w:rPr>
        <w:t>. No person shall have any right to be granted any Option under the Plan. No person shall have any rights as a stockholder with respect to any Common Stock to be issued under the Plan prior to the issuance thereof. The grant of an Option shall not be construed as giving any person the right to be retained in the employ of the Company or any Subsidiary or Affiliate. Further, the Company and each Subsidiary and Affiliate expressly reserve the right at any time to dismiss an employee free from any liability or any claim under the Plan, except as expressly provided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Successors and Assigns</w:t>
      </w:r>
      <w:r>
        <w:rPr>
          <w:rFonts w:ascii="Times New Roman" w:hAnsi="Times New Roman"/>
          <w:color w:val="000000"/>
          <w:sz w:val="24"/>
        </w:rPr>
        <w:t>. The Plan shall be binding on the Company and its successors and assigns.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Entire Plan</w:t>
      </w:r>
      <w:r>
        <w:rPr>
          <w:rFonts w:ascii="Times New Roman" w:hAnsi="Times New Roman"/>
          <w:color w:val="000000"/>
          <w:sz w:val="24"/>
        </w:rPr>
        <w:t>. This Plan constitutes the entire plan with respect to the subject matter hereof and supersedes all prior plans with respect to the subject matter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Severability of Provisions</w:t>
      </w:r>
      <w:r>
        <w:rPr>
          <w:rFonts w:ascii="Times New Roman" w:hAnsi="Times New Roman"/>
          <w:color w:val="000000"/>
          <w:sz w:val="24"/>
        </w:rPr>
        <w:t>. If any provision of the Plan shall be held invalid or unenforceable, such invalidity or unenforceability shall not affect any other provision hereof, and the Plan shall be construed and enforced as if such provision had not been included.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Incapacity</w:t>
      </w:r>
      <w:r>
        <w:rPr>
          <w:rFonts w:ascii="Times New Roman" w:hAnsi="Times New Roman"/>
          <w:color w:val="000000"/>
          <w:sz w:val="24"/>
        </w:rPr>
        <w:t>. Any benefit payable to or for the benefit of a minor, an incompetent person, or other person incapable of accepting receipt shall be deemed paid when paid to such person’s guardian or to the party providing or reasonably appearing to provide for the care of such person, and such payment shall fully discharge any liability or obligation of the Board, the Administrator, the Company and any Designated Company, and all other parties with respect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Headings and Captions; Rules of Construction</w:t>
      </w:r>
      <w:r>
        <w:rPr>
          <w:rFonts w:ascii="Times New Roman" w:hAnsi="Times New Roman"/>
          <w:color w:val="000000"/>
          <w:sz w:val="24"/>
        </w:rPr>
        <w:t>. The headings and captions herein are provided for reference and convenience only, shall not be considered part of the Plan, and shall not be employed in the construction of the Plan. Whenever used in the Plan, words in the masculine gender shall be deemed to refer to females as well as to males; words in the singular shall be deemed to refer also to the plural; and references to a statute or statutory provision shall be construed as if they referred also to that provision (or to a successor provision of similar import) as currently in effect, as amended, or as reenacted, and to any regulations and other formal guidance of general applicability issued thereunder. Except where otherwise indicated, references to Sections are references to sections of this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Unfunded Status of Plan</w:t>
      </w:r>
      <w:r>
        <w:rPr>
          <w:rFonts w:ascii="Times New Roman" w:hAnsi="Times New Roman"/>
          <w:color w:val="000000"/>
          <w:sz w:val="24"/>
        </w:rPr>
        <w:t>. The Plan is unfunded and shall not create or be construed to create a trust or separate fund of any kind or a fiduciary relationship between any Participant (or beneficiary thereof), on the one hand, and the Company, any Designated Company, the Board, the Administrator, or any other person, on the other hand.</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30.</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color w:val="000000"/>
        </w:rPr>
        <w:t>“</w:t>
      </w:r>
      <w:r>
        <w:rPr>
          <w:rFonts w:ascii="Times New Roman" w:hAnsi="Times New Roman"/>
          <w:b/>
          <w:i/>
          <w:color w:val="000000"/>
          <w:sz w:val="24"/>
        </w:rPr>
        <w:t>Acquisition Price</w:t>
      </w:r>
      <w:r>
        <w:rPr>
          <w:color w:val="000000"/>
        </w:rPr>
        <w:t xml:space="preserve">” </w:t>
      </w:r>
      <w:r>
        <w:rPr>
          <w:rFonts w:ascii="Times New Roman" w:hAnsi="Times New Roman"/>
          <w:color w:val="000000"/>
          <w:sz w:val="24"/>
        </w:rPr>
        <w:t>means the cash payment for each share surrendered in a Corporate Transaction.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color w:val="000000"/>
        </w:rPr>
        <w:t>“</w:t>
      </w:r>
      <w:r>
        <w:rPr>
          <w:rFonts w:ascii="Times New Roman" w:hAnsi="Times New Roman"/>
          <w:b/>
          <w:i/>
          <w:color w:val="000000"/>
          <w:sz w:val="24"/>
        </w:rPr>
        <w:t>Administrator</w:t>
      </w:r>
      <w:r>
        <w:rPr>
          <w:color w:val="000000"/>
        </w:rPr>
        <w:t xml:space="preserve">” </w:t>
      </w:r>
      <w:r>
        <w:rPr>
          <w:rFonts w:ascii="Times New Roman" w:hAnsi="Times New Roman"/>
          <w:color w:val="000000"/>
          <w:sz w:val="24"/>
        </w:rPr>
        <w:t xml:space="preserve">means the Board or the Committee (or a delegate appointed in accordance with </w:t>
      </w:r>
      <w:r>
        <w:rPr>
          <w:rFonts w:ascii="Times New Roman" w:hAnsi="Times New Roman"/>
          <w:color w:val="000000"/>
          <w:sz w:val="24"/>
          <w:u w:val="single"/>
        </w:rPr>
        <w:t>Section 1</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color w:val="000000"/>
        </w:rPr>
        <w:t>“</w:t>
      </w:r>
      <w:r>
        <w:rPr>
          <w:rFonts w:ascii="Times New Roman" w:hAnsi="Times New Roman"/>
          <w:b/>
          <w:i/>
          <w:color w:val="000000"/>
          <w:sz w:val="24"/>
        </w:rPr>
        <w:t>Affiliate</w:t>
      </w:r>
      <w:r>
        <w:rPr>
          <w:color w:val="000000"/>
        </w:rPr>
        <w:t xml:space="preserve">” </w:t>
      </w:r>
      <w:r>
        <w:rPr>
          <w:rFonts w:ascii="Times New Roman" w:hAnsi="Times New Roman"/>
          <w:color w:val="000000"/>
          <w:sz w:val="24"/>
        </w:rPr>
        <w:t>means any entity that, directly or indirectly through one or more intermediaries, controls, is controlled by or is under the common control with,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color w:val="000000"/>
        </w:rPr>
        <w:t>“</w:t>
      </w:r>
      <w:r>
        <w:rPr>
          <w:rFonts w:ascii="Times New Roman" w:hAnsi="Times New Roman"/>
          <w:b/>
          <w:i/>
          <w:color w:val="000000"/>
          <w:sz w:val="24"/>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color w:val="000000"/>
        </w:rPr>
        <w:t>“</w:t>
      </w:r>
      <w:r>
        <w:rPr>
          <w:rFonts w:ascii="Times New Roman" w:hAnsi="Times New Roman"/>
          <w:b/>
          <w:i/>
          <w:color w:val="000000"/>
          <w:sz w:val="24"/>
        </w:rPr>
        <w:t>Code</w:t>
      </w:r>
      <w:r>
        <w:rPr>
          <w:color w:val="000000"/>
        </w:rPr>
        <w:t xml:space="preserve">” </w:t>
      </w:r>
      <w:r>
        <w:rPr>
          <w:rFonts w:ascii="Times New Roman" w:hAnsi="Times New Roman"/>
          <w:color w:val="000000"/>
          <w:sz w:val="24"/>
        </w:rPr>
        <w:t>means the Internal Revenue Code of 1986, as amended from time to time, or any successor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color w:val="000000"/>
        </w:rPr>
        <w:t>“</w:t>
      </w:r>
      <w:r>
        <w:rPr>
          <w:rFonts w:ascii="Times New Roman" w:hAnsi="Times New Roman"/>
          <w:b/>
          <w:i/>
          <w:color w:val="000000"/>
          <w:sz w:val="24"/>
        </w:rPr>
        <w:t>Committee</w:t>
      </w:r>
      <w:r>
        <w:rPr>
          <w:color w:val="000000"/>
        </w:rPr>
        <w:t xml:space="preserve">” </w:t>
      </w:r>
      <w:r>
        <w:rPr>
          <w:rFonts w:ascii="Times New Roman" w:hAnsi="Times New Roman"/>
          <w:color w:val="000000"/>
          <w:sz w:val="24"/>
        </w:rPr>
        <w:t xml:space="preserve">means the Compensation Committee of the Board (or any other committee or subcommittee of the Board that the Board may appoint to administer the Plan). Subject to the discretion of the Board, the Committee shall be composed entirely of individuals who meet the qualifications of (i) a “non-employee director” within the meaning of Rule 16b-3 and (ii) any other qualifications required by the applicable exchange on which the Common Stock is traded. If at any time or to any extent the Board shall not administer the Plan, then the functions of the Administrator specified in the Plan shall be exercised by the Committee (except as such functions may be delegated pursuant to </w:t>
      </w:r>
      <w:r>
        <w:rPr>
          <w:rFonts w:ascii="Times New Roman" w:hAnsi="Times New Roman"/>
          <w:color w:val="000000"/>
          <w:sz w:val="24"/>
          <w:u w:val="single"/>
        </w:rPr>
        <w:t>Section 1</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color w:val="000000"/>
        </w:rPr>
        <w:t>“</w:t>
      </w:r>
      <w:r>
        <w:rPr>
          <w:rFonts w:ascii="Times New Roman" w:hAnsi="Times New Roman"/>
          <w:b/>
          <w:i/>
          <w:color w:val="000000"/>
          <w:sz w:val="24"/>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color w:val="000000"/>
        </w:rPr>
        <w:t>“</w:t>
      </w:r>
      <w:r>
        <w:rPr>
          <w:rFonts w:ascii="Times New Roman" w:hAnsi="Times New Roman"/>
          <w:b/>
          <w:i/>
          <w:color w:val="000000"/>
          <w:sz w:val="24"/>
        </w:rPr>
        <w:t>Company</w:t>
      </w:r>
      <w:r>
        <w:rPr>
          <w:color w:val="000000"/>
        </w:rPr>
        <w:t xml:space="preserve">” </w:t>
      </w:r>
      <w:r>
        <w:rPr>
          <w:rFonts w:ascii="Times New Roman" w:hAnsi="Times New Roman"/>
          <w:color w:val="000000"/>
          <w:sz w:val="24"/>
        </w:rPr>
        <w:t>means Odyssey Therapeutics, Inc., a Delaware corporation (or any successor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color w:val="000000"/>
        </w:rPr>
        <w:t>“</w:t>
      </w:r>
      <w:r>
        <w:rPr>
          <w:rFonts w:ascii="Times New Roman" w:hAnsi="Times New Roman"/>
          <w:b/>
          <w:i/>
          <w:color w:val="000000"/>
          <w:sz w:val="24"/>
        </w:rPr>
        <w:t>Compensation</w:t>
      </w:r>
      <w:r>
        <w:rPr>
          <w:color w:val="000000"/>
        </w:rPr>
        <w:t xml:space="preserve">” </w:t>
      </w:r>
      <w:r>
        <w:rPr>
          <w:rFonts w:ascii="Times New Roman" w:hAnsi="Times New Roman"/>
          <w:color w:val="000000"/>
          <w:sz w:val="24"/>
        </w:rPr>
        <w:t>means the amount of base pay, prior to reductions (such as pursuant to Sections 125, 132(f) or 401(k) of the Code), but excluding overtime, commissions, incentive or bonus awards, allowances and reimbursements for expenses such as relocation allowances or travel expenses, income or gains related to Company stock options or other share-based awards, and similar items. The Administrator shall have the discretion to determine the application of this definition to Participants outside the United States.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pPr>
      <w:r>
        <w:rPr>
          <w:color w:val="000000"/>
        </w:rPr>
        <w:t>“</w:t>
      </w:r>
      <w:r>
        <w:rPr>
          <w:rFonts w:ascii="Times New Roman" w:hAnsi="Times New Roman"/>
          <w:b/>
          <w:i/>
          <w:color w:val="000000"/>
          <w:sz w:val="24"/>
        </w:rPr>
        <w:t>Corporate Transaction</w:t>
      </w:r>
      <w:r>
        <w:rPr>
          <w:color w:val="000000"/>
        </w:rPr>
        <w:t xml:space="preserve">” </w:t>
      </w:r>
      <w:r>
        <w:rPr>
          <w:rFonts w:ascii="Times New Roman" w:hAnsi="Times New Roman"/>
          <w:color w:val="000000"/>
          <w:sz w:val="24"/>
        </w:rPr>
        <w:t>means any of the following: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transaction or series of related transactions in which any person (within the meaning of section 13(d)(3) or 14(d)(2) of the Exchange Act), other than any person who prior to such transaction or series of related transactions owns more than a majority of the Company’s Common Stock, becomes the beneficial owner (within the meaning of Rule 13d-3 promulgated under the Exchange Act) of more than 50% of the combined voting power of the then outstanding voting securities of the Company; unless the stockholders of the Company immediately before such transaction or series of related transactions own, directly or indirectly, a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majority of the combined voting power of the outstanding voting securities of the corporation or other entity resulting from such transaction or series of related transactions;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consolidation or merger of the Company with or into another entity or a similar transaction involving the Company, unless the stockholders of the Company immediately before such consolidation, merger, or other transaction own, directly or indirectly, a majority of the combined voting power of the outstanding voting securities of the corporation or other entity resulting from such consolidation or merger;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rPr>
        <w:t>individuals who are members of the Board on the date the Plan is approved by the Board (the “</w:t>
      </w:r>
      <w:r>
        <w:rPr>
          <w:rFonts w:ascii="Times New Roman" w:hAnsi="Times New Roman"/>
          <w:b/>
          <w:i/>
          <w:color w:val="000000"/>
          <w:sz w:val="24"/>
        </w:rPr>
        <w:t>Incumbent Board</w:t>
      </w:r>
      <w:r>
        <w:rPr>
          <w:color w:val="000000"/>
        </w:rPr>
        <w:t>”</w:t>
      </w:r>
      <w:r>
        <w:rPr>
          <w:rFonts w:ascii="Times New Roman" w:hAnsi="Times New Roman"/>
          <w:color w:val="000000"/>
          <w:sz w:val="24"/>
        </w:rPr>
        <w:t xml:space="preserve">) ceasing for any reason to constitute at least a majority of the members of the Board;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the appointment or election (or nomination for election) of any new Board member was approved or recommended by a majority vote of the members of the Incumbent Board then still in office, such new member shall, for purposes of the Plan, be considered as a member of the Incumbent Board;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sale, lease, exclusive license, or other disposition of all or substantially all, as determined by the Board, of the consolidated assets of the Company, other than to an entity of which the stockholders of the Company immediately before such sale, lease, exclusive license, or other disposition own, directly or indirectly, a majority of the combined voting power of the outstanding voting securities in substantially the same proportions as their ownership of the outstanding voting securities of the Company immediately prior to such sale, lease, license, or other disposition;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liquidation, dissolution, or winding up of the Company.</w:t>
      </w:r>
    </w:p>
    <w:p>
      <w:pPr>
        <w:pStyle w:val="Heading2"/>
        <w:bidi w:val="0"/>
        <w:spacing w:before="240" w:after="283"/>
        <w:jc w:val="both"/>
        <w:rPr>
          <w:rFonts w:ascii="Times New Roman" w:hAnsi="Times New Roman"/>
          <w:b w:val="false"/>
          <w:color w:val="000000"/>
          <w:sz w:val="24"/>
        </w:rPr>
      </w:pPr>
      <w:r>
        <w:rPr>
          <w:rFonts w:ascii="Times New Roman" w:hAnsi="Times New Roman"/>
          <w:b w:val="false"/>
          <w:color w:val="000000"/>
          <w:sz w:val="24"/>
        </w:rPr>
        <w:t>For the avoidance of doubt, a transaction will not constitute a Corporate Transaction if its sole purpose is to: (x) change the jurisdiction of the Company’s incorporation, or (y) create a holding company that will be owned in substantially the same proportions by the persons who held the Company’s securities immediately before such transaction.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pPr>
      <w:r>
        <w:rPr>
          <w:color w:val="000000"/>
        </w:rPr>
        <w:t>“</w:t>
      </w:r>
      <w:r>
        <w:rPr>
          <w:rFonts w:ascii="Times New Roman" w:hAnsi="Times New Roman"/>
          <w:b/>
          <w:i/>
          <w:color w:val="000000"/>
          <w:sz w:val="24"/>
        </w:rPr>
        <w:t>Designated Company</w:t>
      </w:r>
      <w:r>
        <w:rPr>
          <w:color w:val="000000"/>
        </w:rPr>
        <w:t xml:space="preserve">” </w:t>
      </w:r>
      <w:r>
        <w:rPr>
          <w:rFonts w:ascii="Times New Roman" w:hAnsi="Times New Roman"/>
          <w:color w:val="000000"/>
          <w:sz w:val="24"/>
        </w:rPr>
        <w:t xml:space="preserve">means any present or future Subsidiary or Affiliate that has been designated by the Administrator to participate in the Plan to the extent consistent with Section 423 of the Code. The Administrator may so designate any Subsidiary or Affiliate, or revoke any such designation, at any time and from time to time, either before or after the Plan is approved by the stockholders. The Administrator may also determine which Subsidiaries, Affiliates or Eligible Employees may be excluded from participation in the Plan, to the extent consistent with Section 423 of the Code.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pPr>
      <w:r>
        <w:rPr>
          <w:color w:val="000000"/>
        </w:rPr>
        <w:t>“</w:t>
      </w:r>
      <w:r>
        <w:rPr>
          <w:rFonts w:ascii="Times New Roman" w:hAnsi="Times New Roman"/>
          <w:b/>
          <w:i/>
          <w:color w:val="000000"/>
          <w:sz w:val="24"/>
        </w:rPr>
        <w:t>Effective Date</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21</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pPr>
      <w:r>
        <w:rPr>
          <w:color w:val="000000"/>
        </w:rPr>
        <w:t>“</w:t>
      </w:r>
      <w:r>
        <w:rPr>
          <w:rFonts w:ascii="Times New Roman" w:hAnsi="Times New Roman"/>
          <w:b/>
          <w:i/>
          <w:color w:val="000000"/>
          <w:sz w:val="24"/>
        </w:rPr>
        <w:t>Eligible Employee</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3</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pPr>
      <w:r>
        <w:rPr>
          <w:color w:val="000000"/>
        </w:rPr>
        <w:t>“</w:t>
      </w:r>
      <w:r>
        <w:rPr>
          <w:rFonts w:ascii="Times New Roman" w:hAnsi="Times New Roman"/>
          <w:b/>
          <w:i/>
          <w:color w:val="000000"/>
          <w:sz w:val="24"/>
        </w:rPr>
        <w:t>ESPP Request Form</w:t>
      </w:r>
      <w:r>
        <w:rPr>
          <w:color w:val="000000"/>
        </w:rPr>
        <w:t xml:space="preserve">” </w:t>
      </w:r>
      <w:r>
        <w:rPr>
          <w:rFonts w:ascii="Times New Roman" w:hAnsi="Times New Roman"/>
          <w:color w:val="000000"/>
          <w:sz w:val="24"/>
        </w:rPr>
        <w:t>means an agreement, which may be electronic, pursuant to which an Eligible Employee may elect to enroll in the Plan, to authorize a new level of payroll deductions, or to stop payroll deductions and withdraw from an Offering.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40" w:after="283"/>
        <w:jc w:val="both"/>
        <w:rPr/>
      </w:pPr>
      <w:r>
        <w:rPr>
          <w:color w:val="000000"/>
        </w:rPr>
        <w:t>“</w:t>
      </w:r>
      <w:r>
        <w:rPr>
          <w:rFonts w:ascii="Times New Roman" w:hAnsi="Times New Roman"/>
          <w:b/>
          <w:i/>
          <w:color w:val="000000"/>
          <w:sz w:val="24"/>
        </w:rPr>
        <w:t>Exchange Act</w:t>
      </w:r>
      <w:r>
        <w:rPr>
          <w:color w:val="000000"/>
        </w:rPr>
        <w:t xml:space="preserve">” </w:t>
      </w:r>
      <w:r>
        <w:rPr>
          <w:rFonts w:ascii="Times New Roman" w:hAnsi="Times New Roman"/>
          <w:color w:val="000000"/>
          <w:sz w:val="24"/>
        </w:rPr>
        <w:t>means the Securities Exchange Act of 1934, as amended.</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w:t>
      </w:r>
    </w:p>
    <w:p>
      <w:pPr>
        <w:pStyle w:val="TextBody"/>
        <w:bidi w:val="0"/>
        <w:spacing w:before="240" w:after="283"/>
        <w:jc w:val="both"/>
        <w:rPr/>
      </w:pPr>
      <w:r>
        <w:rPr>
          <w:color w:val="000000"/>
        </w:rPr>
        <w:t>“</w:t>
      </w:r>
      <w:r>
        <w:rPr>
          <w:rFonts w:ascii="Times New Roman" w:hAnsi="Times New Roman"/>
          <w:b/>
          <w:i/>
          <w:color w:val="000000"/>
          <w:sz w:val="24"/>
        </w:rPr>
        <w:t>Exercise Date</w:t>
      </w:r>
      <w:r>
        <w:rPr>
          <w:color w:val="000000"/>
        </w:rPr>
        <w:t xml:space="preserve">” </w:t>
      </w:r>
      <w:r>
        <w:rPr>
          <w:rFonts w:ascii="Times New Roman" w:hAnsi="Times New Roman"/>
          <w:color w:val="000000"/>
          <w:sz w:val="24"/>
        </w:rPr>
        <w:t>means the last day of a Purchase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(q)</w:t>
      </w:r>
    </w:p>
    <w:p>
      <w:pPr>
        <w:pStyle w:val="TextBody"/>
        <w:bidi w:val="0"/>
        <w:spacing w:before="240" w:after="283"/>
        <w:jc w:val="both"/>
        <w:rPr/>
      </w:pPr>
      <w:r>
        <w:rPr>
          <w:color w:val="000000"/>
        </w:rPr>
        <w:t>“</w:t>
      </w:r>
      <w:r>
        <w:rPr>
          <w:rFonts w:ascii="Times New Roman" w:hAnsi="Times New Roman"/>
          <w:b/>
          <w:i/>
          <w:color w:val="000000"/>
          <w:sz w:val="24"/>
        </w:rPr>
        <w:t>Expiration Date</w:t>
      </w:r>
      <w:r>
        <w:rPr>
          <w:color w:val="000000"/>
        </w:rPr>
        <w:t xml:space="preserve">” </w:t>
      </w:r>
      <w:r>
        <w:rPr>
          <w:rFonts w:ascii="Times New Roman" w:hAnsi="Times New Roman"/>
          <w:color w:val="000000"/>
          <w:sz w:val="24"/>
        </w:rPr>
        <w:t>has the meaning set forth in Section 22.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w:t>
      </w:r>
    </w:p>
    <w:p>
      <w:pPr>
        <w:pStyle w:val="TextBody"/>
        <w:bidi w:val="0"/>
        <w:spacing w:before="240" w:after="283"/>
        <w:jc w:val="both"/>
        <w:rPr/>
      </w:pPr>
      <w:r>
        <w:rPr>
          <w:color w:val="000000"/>
        </w:rPr>
        <w:t>“</w:t>
      </w:r>
      <w:r>
        <w:rPr>
          <w:rFonts w:ascii="Times New Roman" w:hAnsi="Times New Roman"/>
          <w:b/>
          <w:i/>
          <w:color w:val="000000"/>
          <w:sz w:val="24"/>
        </w:rPr>
        <w:t>Fair Market Value</w:t>
      </w:r>
      <w:r>
        <w:rPr>
          <w:color w:val="000000"/>
        </w:rPr>
        <w:t xml:space="preserve">” </w:t>
      </w:r>
      <w:r>
        <w:rPr>
          <w:rFonts w:ascii="Times New Roman" w:hAnsi="Times New Roman"/>
          <w:color w:val="000000"/>
          <w:sz w:val="24"/>
        </w:rPr>
        <w:t>on any given date means the fair market value of the Common Stock determined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Common Stock is listed on one or more established stock exchanges or national market systems, including The Nasdaq Global Select Market, The Nasdaq Global Market or The Nasdaq Capital Market of The Nasdaq Stock Market LLC,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fair market value determined by the Administrator in good faith using any measure of value that the Administrator determines to be appropriate a manner consistent with the valuation principles under section 423 of the Code.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w:t>
      </w:r>
    </w:p>
    <w:p>
      <w:pPr>
        <w:pStyle w:val="TextBody"/>
        <w:bidi w:val="0"/>
        <w:spacing w:before="240" w:after="283"/>
        <w:jc w:val="both"/>
        <w:rPr/>
      </w:pPr>
      <w:r>
        <w:rPr>
          <w:color w:val="000000"/>
        </w:rPr>
        <w:t>“</w:t>
      </w:r>
      <w:r>
        <w:rPr>
          <w:rFonts w:ascii="Times New Roman" w:hAnsi="Times New Roman"/>
          <w:b/>
          <w:i/>
          <w:color w:val="000000"/>
          <w:sz w:val="24"/>
        </w:rPr>
        <w:t>Offering</w:t>
      </w:r>
      <w:r>
        <w:rPr>
          <w:color w:val="000000"/>
        </w:rPr>
        <w:t xml:space="preserve">” </w:t>
      </w:r>
      <w:r>
        <w:rPr>
          <w:rFonts w:ascii="Times New Roman" w:hAnsi="Times New Roman"/>
          <w:color w:val="000000"/>
          <w:sz w:val="24"/>
        </w:rPr>
        <w:t xml:space="preserve">means an offering to Eligible Employees to purchase Common Stock under the Plan. Unless otherwise determined by the Administrator, each Offering under the Plan in which Eligible Employees of one or more Designated Companies may participate may be deemed a separate offering for purposes of Section 423 of the Code, even if the dates of the applicable Offering are identical, and the provisions of the Plan will separately apply to each Offering. The terms of separate Offerings need not be identical,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all Eligible Employees granted an Option in a particular Offering will have the same rights and privileges, except as otherwise may be permitted by Code Section 423 (or as otherwise provided under the terms of any applicable sub-plan).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w:t>
      </w:r>
    </w:p>
    <w:p>
      <w:pPr>
        <w:pStyle w:val="TextBody"/>
        <w:bidi w:val="0"/>
        <w:spacing w:before="240" w:after="283"/>
        <w:jc w:val="both"/>
        <w:rPr/>
      </w:pPr>
      <w:r>
        <w:rPr>
          <w:color w:val="000000"/>
        </w:rPr>
        <w:t>“</w:t>
      </w:r>
      <w:r>
        <w:rPr>
          <w:rFonts w:ascii="Times New Roman" w:hAnsi="Times New Roman"/>
          <w:b/>
          <w:i/>
          <w:color w:val="000000"/>
          <w:sz w:val="24"/>
        </w:rPr>
        <w:t>Offering Date</w:t>
      </w:r>
      <w:r>
        <w:rPr>
          <w:color w:val="000000"/>
        </w:rPr>
        <w:t xml:space="preserve">” </w:t>
      </w:r>
      <w:r>
        <w:rPr>
          <w:rFonts w:ascii="Times New Roman" w:hAnsi="Times New Roman"/>
          <w:color w:val="000000"/>
          <w:sz w:val="24"/>
        </w:rPr>
        <w:t>means the first day of an Offering.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w:t>
      </w:r>
    </w:p>
    <w:p>
      <w:pPr>
        <w:pStyle w:val="TextBody"/>
        <w:bidi w:val="0"/>
        <w:spacing w:before="240" w:after="283"/>
        <w:jc w:val="both"/>
        <w:rPr/>
      </w:pPr>
      <w:r>
        <w:rPr>
          <w:color w:val="000000"/>
        </w:rPr>
        <w:t>“</w:t>
      </w:r>
      <w:r>
        <w:rPr>
          <w:rFonts w:ascii="Times New Roman" w:hAnsi="Times New Roman"/>
          <w:b/>
          <w:i/>
          <w:color w:val="000000"/>
          <w:sz w:val="24"/>
        </w:rPr>
        <w:t>Option</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8</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pPr>
      <w:r>
        <w:rPr>
          <w:color w:val="000000"/>
        </w:rPr>
        <w:t>“</w:t>
      </w:r>
      <w:r>
        <w:rPr>
          <w:rFonts w:ascii="Times New Roman" w:hAnsi="Times New Roman"/>
          <w:b/>
          <w:i/>
          <w:color w:val="000000"/>
          <w:sz w:val="24"/>
        </w:rPr>
        <w:t>Option Price</w:t>
      </w:r>
      <w:r>
        <w:rPr>
          <w:color w:val="00000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8</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w:t>
      </w:r>
    </w:p>
    <w:p>
      <w:pPr>
        <w:pStyle w:val="TextBody"/>
        <w:bidi w:val="0"/>
        <w:spacing w:before="240" w:after="283"/>
        <w:jc w:val="both"/>
        <w:rPr/>
      </w:pPr>
      <w:r>
        <w:rPr>
          <w:color w:val="000000"/>
        </w:rPr>
        <w:t>“</w:t>
      </w:r>
      <w:r>
        <w:rPr>
          <w:rFonts w:ascii="Times New Roman" w:hAnsi="Times New Roman"/>
          <w:b/>
          <w:i/>
          <w:color w:val="000000"/>
          <w:sz w:val="24"/>
        </w:rPr>
        <w:t>Parent</w:t>
      </w:r>
      <w:r>
        <w:rPr>
          <w:color w:val="000000"/>
        </w:rPr>
        <w:t xml:space="preserve">” </w:t>
      </w:r>
      <w:r>
        <w:rPr>
          <w:rFonts w:ascii="Times New Roman" w:hAnsi="Times New Roman"/>
          <w:color w:val="000000"/>
          <w:sz w:val="24"/>
        </w:rPr>
        <w:t>means a “parent corporation” with respect to the Company, as defined in Section 424(e) of the Code.</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w:t>
      </w:r>
    </w:p>
    <w:p>
      <w:pPr>
        <w:pStyle w:val="TextBody"/>
        <w:bidi w:val="0"/>
        <w:spacing w:before="240" w:after="283"/>
        <w:jc w:val="both"/>
        <w:rPr/>
      </w:pPr>
      <w:r>
        <w:rPr>
          <w:color w:val="000000"/>
        </w:rPr>
        <w:t>“</w:t>
      </w:r>
      <w:r>
        <w:rPr>
          <w:rFonts w:ascii="Times New Roman" w:hAnsi="Times New Roman"/>
          <w:b/>
          <w:i/>
          <w:color w:val="000000"/>
          <w:sz w:val="24"/>
        </w:rPr>
        <w:t>Participant</w:t>
      </w:r>
      <w:r>
        <w:rPr>
          <w:color w:val="000000"/>
        </w:rPr>
        <w:t xml:space="preserve">” </w:t>
      </w:r>
      <w:r>
        <w:rPr>
          <w:rFonts w:ascii="Times New Roman" w:hAnsi="Times New Roman"/>
          <w:color w:val="000000"/>
          <w:sz w:val="24"/>
        </w:rPr>
        <w:t xml:space="preserve">means an individual who is eligible as determined in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 xml:space="preserve">and who has complied with the provisions of </w:t>
      </w:r>
      <w:r>
        <w:rPr>
          <w:rFonts w:ascii="Times New Roman" w:hAnsi="Times New Roman"/>
          <w:color w:val="000000"/>
          <w:sz w:val="24"/>
          <w:u w:val="single"/>
        </w:rPr>
        <w:t>Section 4</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w:t>
      </w:r>
    </w:p>
    <w:p>
      <w:pPr>
        <w:pStyle w:val="TextBody"/>
        <w:bidi w:val="0"/>
        <w:spacing w:before="240" w:after="283"/>
        <w:jc w:val="both"/>
        <w:rPr/>
      </w:pPr>
      <w:r>
        <w:rPr>
          <w:color w:val="000000"/>
        </w:rPr>
        <w:t>“</w:t>
      </w:r>
      <w:r>
        <w:rPr>
          <w:rFonts w:ascii="Times New Roman" w:hAnsi="Times New Roman"/>
          <w:b/>
          <w:i/>
          <w:color w:val="000000"/>
          <w:sz w:val="24"/>
        </w:rPr>
        <w:t>Plan</w:t>
      </w:r>
      <w:r>
        <w:rPr>
          <w:color w:val="000000"/>
        </w:rPr>
        <w:t xml:space="preserve">” </w:t>
      </w:r>
      <w:r>
        <w:rPr>
          <w:rFonts w:ascii="Times New Roman" w:hAnsi="Times New Roman"/>
          <w:color w:val="000000"/>
          <w:sz w:val="24"/>
        </w:rPr>
        <w:t>means the Odyssey Therapeutics, Inc. 2026 Employee Stock Purchase Plan, as may be amended or restated from time to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(z)</w:t>
      </w:r>
    </w:p>
    <w:p>
      <w:pPr>
        <w:pStyle w:val="TextBody"/>
        <w:bidi w:val="0"/>
        <w:spacing w:before="240" w:after="283"/>
        <w:jc w:val="both"/>
        <w:rPr/>
      </w:pPr>
      <w:r>
        <w:rPr>
          <w:color w:val="000000"/>
        </w:rPr>
        <w:t>“</w:t>
      </w:r>
      <w:r>
        <w:rPr>
          <w:rFonts w:ascii="Times New Roman" w:hAnsi="Times New Roman"/>
          <w:b/>
          <w:i/>
          <w:color w:val="000000"/>
          <w:sz w:val="24"/>
        </w:rPr>
        <w:t>Public Trading Date</w:t>
      </w:r>
      <w:r>
        <w:rPr>
          <w:color w:val="000000"/>
        </w:rPr>
        <w:t xml:space="preserve">” </w:t>
      </w:r>
      <w:r>
        <w:rPr>
          <w:rFonts w:ascii="Times New Roman" w:hAnsi="Times New Roman"/>
          <w:color w:val="000000"/>
          <w:sz w:val="24"/>
        </w:rPr>
        <w:t xml:space="preserve">means the first date upon which the Common Stock is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Treasury Regulation Section 1.162-27(c)(1).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(aa)</w:t>
      </w:r>
    </w:p>
    <w:p>
      <w:pPr>
        <w:pStyle w:val="TextBody"/>
        <w:bidi w:val="0"/>
        <w:spacing w:before="240" w:after="283"/>
        <w:jc w:val="both"/>
        <w:rPr/>
      </w:pPr>
      <w:r>
        <w:rPr>
          <w:color w:val="000000"/>
        </w:rPr>
        <w:t>“</w:t>
      </w:r>
      <w:r>
        <w:rPr>
          <w:rFonts w:ascii="Times New Roman" w:hAnsi="Times New Roman"/>
          <w:b/>
          <w:i/>
          <w:color w:val="000000"/>
          <w:sz w:val="24"/>
        </w:rPr>
        <w:t>Purchase Period</w:t>
      </w:r>
      <w:r>
        <w:rPr>
          <w:color w:val="000000"/>
        </w:rPr>
        <w:t xml:space="preserve">” </w:t>
      </w:r>
      <w:r>
        <w:rPr>
          <w:rFonts w:ascii="Times New Roman" w:hAnsi="Times New Roman"/>
          <w:color w:val="000000"/>
          <w:sz w:val="24"/>
        </w:rPr>
        <w:t>means the period of time specified within an Offering, generally beginning on the Offering Date or on the first Trading Day following the Offering Date and ending on the Exercise Date or the last Trading Day prior to the Exercise Date. An Offering may consist of one or more Purchase Periods.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(bb)</w:t>
      </w:r>
    </w:p>
    <w:p>
      <w:pPr>
        <w:pStyle w:val="TextBody"/>
        <w:bidi w:val="0"/>
        <w:spacing w:before="240" w:after="283"/>
        <w:jc w:val="both"/>
        <w:rPr/>
      </w:pPr>
      <w:r>
        <w:rPr>
          <w:color w:val="000000"/>
        </w:rPr>
        <w:t>“</w:t>
      </w:r>
      <w:r>
        <w:rPr>
          <w:rFonts w:ascii="Times New Roman" w:hAnsi="Times New Roman"/>
          <w:b/>
          <w:i/>
          <w:color w:val="000000"/>
          <w:sz w:val="24"/>
        </w:rPr>
        <w:t>SEC</w:t>
      </w:r>
      <w:r>
        <w:rPr>
          <w:color w:val="000000"/>
        </w:rPr>
        <w:t xml:space="preserve">” </w:t>
      </w:r>
      <w:r>
        <w:rPr>
          <w:rFonts w:ascii="Times New Roman" w:hAnsi="Times New Roman"/>
          <w:color w:val="000000"/>
          <w:sz w:val="24"/>
        </w:rPr>
        <w:t>means the United States Securities and Exchange Commission.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(cc)</w:t>
      </w:r>
    </w:p>
    <w:p>
      <w:pPr>
        <w:pStyle w:val="TextBody"/>
        <w:bidi w:val="0"/>
        <w:spacing w:before="240" w:after="283"/>
        <w:jc w:val="both"/>
        <w:rPr/>
      </w:pPr>
      <w:r>
        <w:rPr>
          <w:color w:val="000000"/>
        </w:rPr>
        <w:t>“</w:t>
      </w:r>
      <w:r>
        <w:rPr>
          <w:rFonts w:ascii="Times New Roman" w:hAnsi="Times New Roman"/>
          <w:b/>
          <w:i/>
          <w:color w:val="000000"/>
          <w:sz w:val="24"/>
        </w:rPr>
        <w:t>Securities Act</w:t>
      </w:r>
      <w:r>
        <w:rPr>
          <w:color w:val="000000"/>
        </w:rPr>
        <w:t xml:space="preserve">” </w:t>
      </w:r>
      <w:r>
        <w:rPr>
          <w:rFonts w:ascii="Times New Roman" w:hAnsi="Times New Roman"/>
          <w:color w:val="000000"/>
          <w:sz w:val="24"/>
        </w:rPr>
        <w:t>means the Securities Act of 1933, as amended.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(dd)</w:t>
      </w:r>
    </w:p>
    <w:p>
      <w:pPr>
        <w:pStyle w:val="TextBody"/>
        <w:bidi w:val="0"/>
        <w:spacing w:before="240" w:after="283"/>
        <w:jc w:val="both"/>
        <w:rPr/>
      </w:pPr>
      <w:r>
        <w:rPr>
          <w:color w:val="000000"/>
        </w:rPr>
        <w:t>“</w:t>
      </w:r>
      <w:r>
        <w:rPr>
          <w:rFonts w:ascii="Times New Roman" w:hAnsi="Times New Roman"/>
          <w:b/>
          <w:i/>
          <w:color w:val="000000"/>
          <w:sz w:val="24"/>
        </w:rPr>
        <w:t>Subsidiary</w:t>
      </w:r>
      <w:r>
        <w:rPr>
          <w:color w:val="000000"/>
        </w:rPr>
        <w:t xml:space="preserve">” </w:t>
      </w:r>
      <w:r>
        <w:rPr>
          <w:rFonts w:ascii="Times New Roman" w:hAnsi="Times New Roman"/>
          <w:color w:val="000000"/>
          <w:sz w:val="24"/>
        </w:rPr>
        <w:t>means a “subsidiary corporation” with respect to the Company, as defined in Section 424(f) of the Code.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(ee)</w:t>
      </w:r>
    </w:p>
    <w:p>
      <w:pPr>
        <w:pStyle w:val="TextBody"/>
        <w:bidi w:val="0"/>
        <w:spacing w:before="240" w:after="283"/>
        <w:jc w:val="both"/>
        <w:rPr/>
      </w:pPr>
      <w:r>
        <w:rPr>
          <w:color w:val="000000"/>
        </w:rPr>
        <w:t>“</w:t>
      </w:r>
      <w:r>
        <w:rPr>
          <w:rFonts w:ascii="Times New Roman" w:hAnsi="Times New Roman"/>
          <w:b/>
          <w:i/>
          <w:color w:val="000000"/>
          <w:sz w:val="24"/>
        </w:rPr>
        <w:t>Trading Day</w:t>
      </w:r>
      <w:r>
        <w:rPr>
          <w:color w:val="000000"/>
        </w:rPr>
        <w:t xml:space="preserve">” </w:t>
      </w:r>
      <w:r>
        <w:rPr>
          <w:rFonts w:ascii="Times New Roman" w:hAnsi="Times New Roman"/>
          <w:color w:val="000000"/>
          <w:sz w:val="24"/>
        </w:rPr>
        <w:t>means any day on which the exchange(s) or market(s) on which shares of Common Stock are listed, including but not limited to The Nasdaq Global Select Market, The Nasdaq Global Market, The Nasdaq Capital Market of The Nasdaq Stock Market LLC and the New York Stock Exchange, is open for trading.</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6" w:name="odtx-ex10_5.htm"/>
      <w:bookmarkStart w:id="47" w:name="ksodtxex10_5"/>
      <w:bookmarkEnd w:id="46"/>
      <w:bookmarkEnd w:id="47"/>
      <w:r>
        <w:rPr>
          <w:rFonts w:ascii="Times New Roman" w:hAnsi="Times New Roman"/>
          <w:b/>
          <w:color w:val="000000"/>
          <w:sz w:val="24"/>
        </w:rPr>
        <w:t>Exhibit 10.5</w:t>
      </w:r>
      <w:r>
        <w:br w:type="page"/>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EXECUTIVE EMPLOYMENT AGREEMENT</w:t>
      </w:r>
    </w:p>
    <w:p>
      <w:pPr>
        <w:pStyle w:val="TextBody"/>
        <w:bidi w:val="0"/>
        <w:jc w:val="both"/>
        <w:rPr>
          <w:rFonts w:ascii="Times New Roman" w:hAnsi="Times New Roman"/>
          <w:sz w:val="20"/>
        </w:rPr>
      </w:pPr>
      <w:r>
        <w:rPr>
          <w:rFonts w:ascii="Times New Roman" w:hAnsi="Times New Roman"/>
          <w:color w:val="000000"/>
          <w:sz w:val="24"/>
        </w:rPr>
        <w:t>This Executive Employment Agreement (this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made by and between Odyssey Therapeutics,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together with any parent company, any and all direct or indirect subsidiaries of the Company, and their affiliates, in each case, existing now or in the future, “</w:t>
      </w:r>
      <w:r>
        <w:rPr>
          <w:rFonts w:ascii="Times New Roman" w:hAnsi="Times New Roman"/>
          <w:b/>
          <w:color w:val="000000"/>
          <w:sz w:val="24"/>
        </w:rPr>
        <w:t>Odyssey</w:t>
      </w:r>
      <w:r>
        <w:rPr>
          <w:rFonts w:ascii="Times New Roman" w:hAnsi="Times New Roman"/>
          <w:color w:val="000000"/>
          <w:sz w:val="20"/>
        </w:rPr>
        <w:t>”</w:t>
      </w:r>
      <w:r>
        <w:rPr>
          <w:rFonts w:ascii="Times New Roman" w:hAnsi="Times New Roman"/>
          <w:color w:val="000000"/>
          <w:sz w:val="24"/>
        </w:rPr>
        <w:t>), and Gary D. Glick (the “</w:t>
      </w:r>
      <w:r>
        <w:rPr>
          <w:rFonts w:ascii="Times New Roman" w:hAnsi="Times New Roman"/>
          <w:b/>
          <w:color w:val="000000"/>
          <w:sz w:val="24"/>
        </w:rPr>
        <w:t>Executive</w:t>
      </w:r>
      <w:r>
        <w:rPr>
          <w:rFonts w:ascii="Times New Roman" w:hAnsi="Times New Roman"/>
          <w:color w:val="000000"/>
          <w:sz w:val="20"/>
        </w:rPr>
        <w:t>”</w:t>
      </w:r>
      <w:r>
        <w:rPr>
          <w:rFonts w:ascii="Times New Roman" w:hAnsi="Times New Roman"/>
          <w:color w:val="000000"/>
          <w:sz w:val="24"/>
        </w:rPr>
        <w:t>), and shall become effective as of, and conditional upon, the day prior to the Public Trading Date (as defined below) (such date,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WHEREAS, the Company and the Executive are parties to an Executive Employment Agreement, dated January 1, 2025 (the “</w:t>
      </w:r>
      <w:r>
        <w:rPr>
          <w:rFonts w:ascii="Times New Roman" w:hAnsi="Times New Roman"/>
          <w:b/>
          <w:color w:val="000000"/>
          <w:sz w:val="24"/>
        </w:rPr>
        <w:t>Prior Agreement</w:t>
      </w:r>
      <w:r>
        <w:rPr>
          <w:rFonts w:ascii="Times New Roman" w:hAnsi="Times New Roman"/>
          <w:color w:val="000000"/>
          <w:sz w:val="20"/>
        </w:rPr>
        <w:t>”</w:t>
      </w:r>
      <w:r>
        <w:rPr>
          <w:rFonts w:ascii="Times New Roman" w:hAnsi="Times New Roman"/>
          <w:color w:val="000000"/>
          <w:sz w:val="24"/>
        </w:rPr>
        <w:t>), and a Confidentiality and Assignment of Inventions Agreement, dated August 30, 2021 (as amended, including pursuant to this Agreement, the “</w:t>
      </w:r>
      <w:r>
        <w:rPr>
          <w:rFonts w:ascii="Times New Roman" w:hAnsi="Times New Roman"/>
          <w:b/>
          <w:color w:val="000000"/>
          <w:sz w:val="24"/>
        </w:rPr>
        <w:t>Restrictive Covenant Agreement</w:t>
      </w:r>
      <w:r>
        <w:rPr>
          <w:rFonts w:ascii="Times New Roman" w:hAnsi="Times New Roman"/>
          <w:color w:val="000000"/>
          <w:sz w:val="20"/>
        </w:rPr>
        <w:t>”</w:t>
      </w:r>
      <w:r>
        <w:rPr>
          <w:rFonts w:ascii="Times New Roman" w:hAnsi="Times New Roman"/>
          <w:color w:val="000000"/>
          <w:sz w:val="24"/>
        </w:rPr>
        <w:t>); and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WHEREAS, the Company and the Executive desire to enter into this Agreement to supersede the Prior Agreement and set forth certain terms and conditions of the Executive’s continued employment, effective as of the Effective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Restrictive Covenant Agreement shall remain in effect, subject to the amendment set forth in Section 9(d) and Section 9(e).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the mutual covenants and agreements herein contained and other good and valuable consideration, the receipt and sufficiency of which is hereby acknowledged, the parties agree as follows: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 </w:t>
      </w:r>
      <w:r>
        <w:rPr>
          <w:rFonts w:ascii="Times New Roman" w:hAnsi="Times New Roman"/>
          <w:b w:val="false"/>
          <w:color w:val="000000"/>
          <w:sz w:val="24"/>
          <w:u w:val="single"/>
        </w:rPr>
        <w:t>Employment and Position</w:t>
      </w:r>
      <w:r>
        <w:rPr>
          <w:rFonts w:ascii="Times New Roman" w:hAnsi="Times New Roman"/>
          <w:b w:val="false"/>
          <w:color w:val="000000"/>
          <w:sz w:val="24"/>
        </w:rPr>
        <w:t>. The Executive’s employment with the Company will be “at will,” meaning that the Executive’s employment may be terminated by the Company or the Executive at any time and for any reason subject to the terms of this Agreement. The Executive shall serve as the President and Chief Executive Officer, reporting to the Board of Directors of Odyssey (the “</w:t>
      </w:r>
      <w:r>
        <w:rPr>
          <w:rFonts w:ascii="Times New Roman" w:hAnsi="Times New Roman"/>
          <w:color w:val="000000"/>
          <w:sz w:val="24"/>
        </w:rPr>
        <w:t>Board</w:t>
      </w:r>
      <w:r>
        <w:rPr>
          <w:rFonts w:ascii="Times New Roman" w:hAnsi="Times New Roman"/>
          <w:color w:val="000000"/>
          <w:sz w:val="20"/>
        </w:rPr>
        <w:t>”</w:t>
      </w:r>
      <w:r>
        <w:rPr>
          <w:rFonts w:ascii="Times New Roman" w:hAnsi="Times New Roman"/>
          <w:b w:val="false"/>
          <w:color w:val="000000"/>
          <w:sz w:val="24"/>
        </w:rPr>
        <w:t>). In addition, the Executive shall serve on the Board as long as the Executive remains the Chief Executive Officer of Odyssey, subject to any requisite shareholder approval. The Executive shall devote the Executive’s full working time and efforts to the business and affairs of Odyssey. Notwithstanding the foregoing, (i) subject to prior approval of the Board, the Executive may serve on the boards of directors of (a) one public company and (b) non-public companies, provided that any such outside board of directors service does not create a conflict of interest with Odyssey, and (ii) the Executive may manage his personal investments and engage in religious, charitable or other community activities, in each case to the extent that such activities in clauses (i) and (ii) do not create a conflict of interest or interfere, individually or in the aggregate, with the Executive’s performance of the Executive’s duties to Odyssey or otherwise result in a violation of this Agreement, the Restrictive Covenant Agreement or any policy of Odyssey.</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2. </w:t>
      </w:r>
      <w:r>
        <w:rPr>
          <w:rFonts w:ascii="Times New Roman" w:hAnsi="Times New Roman"/>
          <w:b w:val="false"/>
          <w:color w:val="000000"/>
          <w:sz w:val="24"/>
          <w:u w:val="single"/>
        </w:rPr>
        <w:t>Compensation and Related Matters</w:t>
      </w:r>
      <w:r>
        <w:rPr>
          <w:rFonts w:ascii="Times New Roman" w:hAnsi="Times New Roman"/>
          <w:b w:val="false"/>
          <w:color w:val="000000"/>
          <w:sz w:val="24"/>
        </w:rPr>
        <w:t>.</w:t>
      </w:r>
      <w:r>
        <w:rPr>
          <w:rFonts w:ascii="Times New Roman" w:hAnsi="Times New Roman"/>
          <w:color w:val="000000"/>
          <w:sz w:val="20"/>
        </w:rPr>
        <w:t xml:space="preserve"> </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Base Salary</w:t>
      </w:r>
      <w:r>
        <w:rPr>
          <w:rFonts w:ascii="Times New Roman" w:hAnsi="Times New Roman"/>
          <w:b w:val="false"/>
          <w:color w:val="000000"/>
          <w:sz w:val="24"/>
        </w:rPr>
        <w:t>. The Executive’s initial base salary rate shall be $709,000 per annum, subject to periodic review and adjustment by the Board, or the compensation committee thereof, in its sole discretion. The Executive’s base salary in effect at any given time is referred to herein as “</w:t>
      </w:r>
      <w:r>
        <w:rPr>
          <w:rFonts w:ascii="Times New Roman" w:hAnsi="Times New Roman"/>
          <w:color w:val="000000"/>
          <w:sz w:val="24"/>
        </w:rPr>
        <w:t>Base Salary</w:t>
      </w:r>
      <w:r>
        <w:rPr>
          <w:rFonts w:ascii="Times New Roman" w:hAnsi="Times New Roman"/>
          <w:b w:val="false"/>
          <w:color w:val="000000"/>
          <w:sz w:val="24"/>
        </w:rPr>
        <w:t>.” The Base Salary shall be payable in a manner that is consistent with the Company’s usual payroll practices.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Annual Bonus</w:t>
      </w:r>
      <w:r>
        <w:rPr>
          <w:rFonts w:ascii="Times New Roman" w:hAnsi="Times New Roman"/>
          <w:b w:val="false"/>
          <w:color w:val="000000"/>
          <w:sz w:val="24"/>
        </w:rPr>
        <w:t>. The Executive shall be eligible to receive an annual cash bonus (an “</w:t>
      </w:r>
      <w:r>
        <w:rPr>
          <w:rFonts w:ascii="Times New Roman" w:hAnsi="Times New Roman"/>
          <w:color w:val="000000"/>
          <w:sz w:val="24"/>
        </w:rPr>
        <w:t>Annual Bonus</w:t>
      </w:r>
      <w:r>
        <w:rPr>
          <w:rFonts w:ascii="Times New Roman" w:hAnsi="Times New Roman"/>
          <w:color w:val="000000"/>
          <w:sz w:val="20"/>
        </w:rPr>
        <w:t>”</w:t>
      </w:r>
      <w:r>
        <w:rPr>
          <w:rFonts w:ascii="Times New Roman" w:hAnsi="Times New Roman"/>
          <w:b w:val="false"/>
          <w:color w:val="000000"/>
          <w:sz w:val="24"/>
        </w:rPr>
        <w:t>) in accordance with Odyssey’s annual bonus plan, policy or program as in effect from time to time. The Executive’s target Annual Bonus amount shall be 55% (as such percentage may be increased from time to time) of Base Salary subject to the achievement of corporate goals and individual goals, if any. For the avoidance of doubt, if the Executive’s target percentage and/or Base Salary increase during the year, the target Annual Bonus will be the weighted average of the target for that year. The actual amount of any Annual Bonus will be determined by the Board, or the compensation committee thereof, in its sole discretion. Any Annual Bonus shall be paid to the Executive no later than March 15 of the year following the year in which it is earned, and, except as set forth below, as otherwise provided in any applicable annual bonus plan or policy or as otherwise determined by the Board, the Executive must be employed on the payment date to receive any Annual Bonus.</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Expenses</w:t>
      </w:r>
      <w:r>
        <w:rPr>
          <w:rFonts w:ascii="Times New Roman" w:hAnsi="Times New Roman"/>
          <w:b w:val="false"/>
          <w:color w:val="000000"/>
          <w:sz w:val="24"/>
        </w:rPr>
        <w:t>. The Executive shall be entitled to reimbursement for all travel and other reasonable expenses incurred by the Executive in performing services hereunder, in accordance with the policies and procedures then in effect and established by Odyssey.</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Other Benefits</w:t>
      </w:r>
      <w:r>
        <w:rPr>
          <w:rFonts w:ascii="Times New Roman" w:hAnsi="Times New Roman"/>
          <w:b w:val="false"/>
          <w:color w:val="000000"/>
          <w:sz w:val="24"/>
        </w:rPr>
        <w:t>. The Executive shall be eligible to participate in or receive benefits under the Company’s employee benefit plans in effect from time to time on substantially the same basis as other senior management employees (excepting any legally required or jurisdiction-specific variations), subject to the terms and conditions of such plans. The Company reserves the right to amend or terminate its plans at any time.</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(e) </w:t>
      </w:r>
      <w:r>
        <w:rPr>
          <w:rFonts w:ascii="Times New Roman" w:hAnsi="Times New Roman"/>
          <w:b w:val="false"/>
          <w:color w:val="000000"/>
          <w:sz w:val="24"/>
          <w:u w:val="single"/>
        </w:rPr>
        <w:t>Paid Time Off</w:t>
      </w:r>
      <w:r>
        <w:rPr>
          <w:rFonts w:ascii="Times New Roman" w:hAnsi="Times New Roman"/>
          <w:b w:val="false"/>
          <w:color w:val="000000"/>
          <w:sz w:val="24"/>
        </w:rPr>
        <w:t>. The Executive shall be entitled to paid vacation in accordance with the Company’s vacation policy as in effect from time to time and to all paid holidays given by the Company to its executives.</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(f) </w:t>
      </w:r>
      <w:r>
        <w:rPr>
          <w:rFonts w:ascii="Times New Roman" w:hAnsi="Times New Roman"/>
          <w:b w:val="false"/>
          <w:color w:val="000000"/>
          <w:sz w:val="24"/>
          <w:u w:val="single"/>
        </w:rPr>
        <w:t>Equity Plan</w:t>
      </w:r>
      <w:r>
        <w:rPr>
          <w:rFonts w:ascii="Times New Roman" w:hAnsi="Times New Roman"/>
          <w:b w:val="false"/>
          <w:color w:val="000000"/>
          <w:sz w:val="24"/>
        </w:rPr>
        <w:t>. The Executive shall be eligible to participate in Odyssey’s equity incentive plan, subject to approval by the Board, the terms of the plan document, and the Executive entering into any award agreements. Any awards shall be subject to vesting and other conditions required by the applicable plan document or award agreement and/or as determined by the Board in its sole discretion. Except as provided for in Section 4(b)(iv) and 4(c)(ii), nothing in this Agreement shall amend the terms of any equity incentive awards the Executives holds as of the Effective Date or any stock restriction agreement with Odyssey that Executive is party to as of the Effective Date.</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3. </w:t>
      </w:r>
      <w:r>
        <w:rPr>
          <w:rFonts w:ascii="Times New Roman" w:hAnsi="Times New Roman"/>
          <w:b w:val="false"/>
          <w:color w:val="000000"/>
          <w:sz w:val="24"/>
          <w:u w:val="single"/>
        </w:rPr>
        <w:t>Termination</w:t>
      </w:r>
      <w:r>
        <w:rPr>
          <w:rFonts w:ascii="Times New Roman" w:hAnsi="Times New Roman"/>
          <w:b w:val="false"/>
          <w:color w:val="000000"/>
          <w:sz w:val="24"/>
        </w:rPr>
        <w:t>. The period commencing on the Effective Date and ending on the applicable Date of Termination (as defined below) shall be referred to herein as the “</w:t>
      </w:r>
      <w:r>
        <w:rPr>
          <w:rFonts w:ascii="Times New Roman" w:hAnsi="Times New Roman"/>
          <w:color w:val="000000"/>
          <w:sz w:val="24"/>
        </w:rPr>
        <w:t>Term</w:t>
      </w:r>
      <w:r>
        <w:rPr>
          <w:rFonts w:ascii="Times New Roman" w:hAnsi="Times New Roman"/>
          <w:b w:val="false"/>
          <w:color w:val="000000"/>
          <w:sz w:val="24"/>
        </w:rPr>
        <w:t>.” During the Term, the Executive’s employment hereunder may be terminated without any breach of this Agreement under the following circumstances:</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Death</w:t>
      </w:r>
      <w:r>
        <w:rPr>
          <w:rFonts w:ascii="Times New Roman" w:hAnsi="Times New Roman"/>
          <w:b w:val="false"/>
          <w:color w:val="000000"/>
          <w:sz w:val="24"/>
        </w:rPr>
        <w:t>. The Executive’s employment hereunder shall automatically terminate upon the Executive’s death.</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Disability</w:t>
      </w:r>
      <w:r>
        <w:rPr>
          <w:rFonts w:ascii="Times New Roman" w:hAnsi="Times New Roman"/>
          <w:b w:val="false"/>
          <w:color w:val="000000"/>
          <w:sz w:val="24"/>
        </w:rPr>
        <w:t>. The Company may terminate the Executive’s employment due to the Executive’s Disability (as defined below).</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Termination by Company for Cause</w:t>
      </w:r>
      <w:r>
        <w:rPr>
          <w:rFonts w:ascii="Times New Roman" w:hAnsi="Times New Roman"/>
          <w:b w:val="false"/>
          <w:color w:val="000000"/>
          <w:sz w:val="24"/>
        </w:rPr>
        <w:t>. The Company may terminate the Executive’s employment hereunder for Cause (as defined below).</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Termination Without Cause</w:t>
      </w:r>
      <w:r>
        <w:rPr>
          <w:rFonts w:ascii="Times New Roman" w:hAnsi="Times New Roman"/>
          <w:b w:val="false"/>
          <w:color w:val="000000"/>
          <w:sz w:val="24"/>
        </w:rPr>
        <w:t>. The Company may terminate the Executive’s employment hereunder at any time without Cause. Any termination by the Company of the Executive’s employment under this Agreement that does not constitute a termination for Cause under Section 3(c) and does not result from the death or Disability of the Executive under Section 3(a) or 3(b) shall be deemed a termination without Cause.</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(e) </w:t>
      </w:r>
      <w:r>
        <w:rPr>
          <w:rFonts w:ascii="Times New Roman" w:hAnsi="Times New Roman"/>
          <w:b w:val="false"/>
          <w:color w:val="000000"/>
          <w:sz w:val="24"/>
          <w:u w:val="single"/>
        </w:rPr>
        <w:t>Resignation by the Executive</w:t>
      </w:r>
      <w:r>
        <w:rPr>
          <w:rFonts w:ascii="Times New Roman" w:hAnsi="Times New Roman"/>
          <w:b w:val="false"/>
          <w:color w:val="000000"/>
          <w:sz w:val="24"/>
        </w:rPr>
        <w:t>. The Executive may resign the Executive’s employment hereunder at any time for any reason, including for Good Reason (as defined below).</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(f) </w:t>
      </w:r>
      <w:r>
        <w:rPr>
          <w:rFonts w:ascii="Times New Roman" w:hAnsi="Times New Roman"/>
          <w:b w:val="false"/>
          <w:color w:val="000000"/>
          <w:sz w:val="24"/>
          <w:u w:val="single"/>
        </w:rPr>
        <w:t>Notice of Termination</w:t>
      </w:r>
      <w:r>
        <w:rPr>
          <w:rFonts w:ascii="Times New Roman" w:hAnsi="Times New Roman"/>
          <w:b w:val="false"/>
          <w:color w:val="000000"/>
          <w:sz w:val="24"/>
        </w:rPr>
        <w:t>. Except for termination as specified in Section 3(a), any termination of the Executive’s employment by the Company or any such resignation by the Executive shall be communicated by written Notice of Termination to the other party hereto. For purposes of this Agreement, a “</w:t>
      </w:r>
      <w:r>
        <w:rPr>
          <w:rFonts w:ascii="Times New Roman" w:hAnsi="Times New Roman"/>
          <w:color w:val="000000"/>
          <w:sz w:val="24"/>
        </w:rPr>
        <w:t>Notice of Termination</w:t>
      </w:r>
      <w:r>
        <w:rPr>
          <w:rFonts w:ascii="Times New Roman" w:hAnsi="Times New Roman"/>
          <w:color w:val="000000"/>
          <w:sz w:val="20"/>
        </w:rPr>
        <w:t xml:space="preserve">” </w:t>
      </w:r>
      <w:r>
        <w:rPr>
          <w:rFonts w:ascii="Times New Roman" w:hAnsi="Times New Roman"/>
          <w:b w:val="false"/>
          <w:color w:val="000000"/>
          <w:sz w:val="24"/>
        </w:rPr>
        <w:t>shall mean a notice that shall indicate the specific termination provision in this Agreement being relied upon.</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(g) </w:t>
      </w:r>
      <w:r>
        <w:rPr>
          <w:rFonts w:ascii="Times New Roman" w:hAnsi="Times New Roman"/>
          <w:b w:val="false"/>
          <w:color w:val="000000"/>
          <w:sz w:val="24"/>
          <w:u w:val="single"/>
        </w:rPr>
        <w:t>Date of Termination</w:t>
      </w:r>
      <w:r>
        <w:rPr>
          <w:rFonts w:ascii="Times New Roman" w:hAnsi="Times New Roman"/>
          <w:b w:val="false"/>
          <w:color w:val="000000"/>
          <w:sz w:val="24"/>
        </w:rPr>
        <w:t>. “</w:t>
      </w:r>
      <w:r>
        <w:rPr>
          <w:rFonts w:ascii="Times New Roman" w:hAnsi="Times New Roman"/>
          <w:color w:val="000000"/>
          <w:sz w:val="24"/>
        </w:rPr>
        <w:t>Date of Termination</w:t>
      </w:r>
      <w:r>
        <w:rPr>
          <w:rFonts w:ascii="Times New Roman" w:hAnsi="Times New Roman"/>
          <w:color w:val="000000"/>
          <w:sz w:val="20"/>
        </w:rPr>
        <w:t xml:space="preserve">” </w:t>
      </w:r>
      <w:r>
        <w:rPr>
          <w:rFonts w:ascii="Times New Roman" w:hAnsi="Times New Roman"/>
          <w:b w:val="false"/>
          <w:color w:val="000000"/>
          <w:sz w:val="24"/>
        </w:rPr>
        <w:t xml:space="preserve">shall mean: (i) if the Executive’s employment is terminated by the Executive’s death, the date of death; (ii) if the Executive’s employment is terminated on account of Disability under Section 3(b) or by the Company for Cause under Section 3(c) or without Cause under Section 3(d), the date on which Notice of Termination is given unless another date is specified by the Company; (iii) if the Executive resigns from employment under Section 3(e) other than for Good Reason, thirty (30) days after the date on which the Notice of Termination is given; and (v) if the Executive resigns from employment under Section 3(e) for Good Reason, sixty (60) days after the date on which a Notice of Termination is given,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 xml:space="preserve">that the grounds for Good Reason have not been cured, as described in Section 5(c), and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further</w:t>
      </w:r>
      <w:r>
        <w:rPr>
          <w:rFonts w:ascii="Times New Roman" w:hAnsi="Times New Roman"/>
          <w:b w:val="false"/>
          <w:color w:val="000000"/>
          <w:sz w:val="24"/>
        </w:rPr>
        <w:t>, that the Executive may withdraw a Notice of Termination prior to such sixtieth (60</w:t>
      </w:r>
      <w:r>
        <w:rPr>
          <w:rFonts w:ascii="Times New Roman" w:hAnsi="Times New Roman"/>
          <w:b w:val="false"/>
          <w:color w:val="000000"/>
          <w:sz w:val="16"/>
        </w:rPr>
        <w:t>th</w:t>
      </w:r>
      <w:r>
        <w:rPr>
          <w:rFonts w:ascii="Times New Roman" w:hAnsi="Times New Roman"/>
          <w:b w:val="false"/>
          <w:color w:val="000000"/>
          <w:sz w:val="24"/>
        </w:rPr>
        <w:t>) date. Notwithstanding the foregoing, if the Executive gives a Notice of Termination to the Company other than for Good Reason, the Company may unilaterally accelerate the Date of Termination and pay the Executive’s salary for the remainder of the notice period, and such acceleration shall not result in a termination by the Company for purposes of this Agreement.</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(h) </w:t>
      </w:r>
      <w:r>
        <w:rPr>
          <w:rFonts w:ascii="Times New Roman" w:hAnsi="Times New Roman"/>
          <w:b w:val="false"/>
          <w:color w:val="000000"/>
          <w:sz w:val="24"/>
          <w:u w:val="single"/>
        </w:rPr>
        <w:t>Resignations</w:t>
      </w:r>
      <w:r>
        <w:rPr>
          <w:rFonts w:ascii="Times New Roman" w:hAnsi="Times New Roman"/>
          <w:b w:val="false"/>
          <w:color w:val="000000"/>
          <w:sz w:val="24"/>
        </w:rPr>
        <w:t>. To the extent applicable, the Executive shall be deemed to have resigned from all officer positions that the Executive holds with the Company upon the termination of the Executive’s employment for any reason, as well as all officer and board member positions that the Executive holds with any subsidiary of the Company. The Executive shall execute any documents in reasonable form as may be reasonably requested by the Company or any such subsidiary to confirm or effectuate any such resignations.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4. </w:t>
      </w:r>
      <w:r>
        <w:rPr>
          <w:rFonts w:ascii="Times New Roman" w:hAnsi="Times New Roman"/>
          <w:b w:val="false"/>
          <w:color w:val="000000"/>
          <w:sz w:val="24"/>
          <w:u w:val="single"/>
        </w:rPr>
        <w:t>Compensation Upon Termination</w:t>
      </w:r>
      <w:r>
        <w:rPr>
          <w:rFonts w:ascii="Times New Roman" w:hAnsi="Times New Roman"/>
          <w:b w:val="false"/>
          <w:color w:val="000000"/>
          <w:sz w:val="24"/>
        </w:rPr>
        <w:t>.</w:t>
      </w:r>
      <w:r>
        <w:rPr>
          <w:rFonts w:ascii="Times New Roman" w:hAnsi="Times New Roman"/>
          <w:color w:val="000000"/>
          <w:sz w:val="20"/>
        </w:rPr>
        <w:t xml:space="preserve"> </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(a) </w:t>
      </w:r>
      <w:r>
        <w:rPr>
          <w:rFonts w:ascii="Times New Roman" w:hAnsi="Times New Roman"/>
          <w:b w:val="false"/>
          <w:color w:val="000000"/>
          <w:sz w:val="24"/>
          <w:u w:val="single"/>
        </w:rPr>
        <w:t>Termination Generally</w:t>
      </w:r>
      <w:r>
        <w:rPr>
          <w:rFonts w:ascii="Times New Roman" w:hAnsi="Times New Roman"/>
          <w:b w:val="false"/>
          <w:color w:val="000000"/>
          <w:sz w:val="24"/>
        </w:rPr>
        <w:t xml:space="preserve">. If the Executive’s employment with the Company is terminated for any reason, the Company shall pay or provide to the Executive (or to the Executive’s authorized representative or estate) (i) any Base Salary earned through the Date of Termination, unpaid expense reimbursements (subject to, and in accordance with, Section 2(c) of this Agreement) and accrued and unused vacation, if any, through the Date of Termination; (ii) if the Executive’s employment terminates following the end of a calendar year and before Annual Bonuses for such prior calendar year are paid, any unpaid Annual Bonus in respect of such prior calendar year, which Annual Bonus shall be calculated in the same manner that is used to calculate bonuses for the Company’s other employees, paid as soon as practicable after the Date of Termination but no later than March 15th of the year of termination;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no such Annual Bonus will be paid if the termination was by the Company for Cause or occurred at a time that Cause existed; and (iii) any vested benefits the Executive may have under any employee benefit plan or program of the Company through the Date of Termination, which vested benefits shall be paid and/or provided in accordance with the terms of such employee benefit plans and programs.</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(b) </w:t>
      </w:r>
      <w:r>
        <w:rPr>
          <w:rFonts w:ascii="Times New Roman" w:hAnsi="Times New Roman"/>
          <w:b w:val="false"/>
          <w:color w:val="000000"/>
          <w:sz w:val="24"/>
          <w:u w:val="single"/>
        </w:rPr>
        <w:t>Additional Compensation Upon Termination by the Company Without Cause or by the Executive for Good Reason</w:t>
      </w:r>
      <w:r>
        <w:rPr>
          <w:rFonts w:ascii="Times New Roman" w:hAnsi="Times New Roman"/>
          <w:b w:val="false"/>
          <w:color w:val="000000"/>
          <w:sz w:val="24"/>
        </w:rPr>
        <w:t>. If the Company terminates Executive’s employment without Cause or the Executive resigns for Good Reason, then, subject to (x) the Executive signing, not revoking and complying with a separation agreement containing, among other provisions, a general release of claims in favor of the Company and related persons and entities, in a form and manner reasonably satisfactory to the Company (the “</w:t>
      </w:r>
      <w:r>
        <w:rPr>
          <w:rFonts w:ascii="Times New Roman" w:hAnsi="Times New Roman"/>
          <w:color w:val="000000"/>
          <w:sz w:val="24"/>
        </w:rPr>
        <w:t>Separation Agreement and Release</w:t>
      </w:r>
      <w:r>
        <w:rPr>
          <w:rFonts w:ascii="Times New Roman" w:hAnsi="Times New Roman"/>
          <w:color w:val="000000"/>
          <w:sz w:val="20"/>
        </w:rPr>
        <w:t>”</w:t>
      </w:r>
      <w:r>
        <w:rPr>
          <w:rFonts w:ascii="Times New Roman" w:hAnsi="Times New Roman"/>
          <w:b w:val="false"/>
          <w:color w:val="000000"/>
          <w:sz w:val="24"/>
        </w:rPr>
        <w:t>) and the Separation Agreement and Release becoming irrevocable, all within sixty (60) days after the Date of Termination (or such shorter period as set forth in the Separation Agreement and Release) and (y) if such termination is by the Company without Cause, the Executive agreeing to extend the Non-Competition Period (as defined in the Restrictive Covenant Agreement) until the 12-month anniversary of the Date of Termination and such agreement becoming irrevocable, all within sixty (60) days after the Date of Termination (or such shorter period as set forth in the Separation Agreement and Release)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that the Executive shall have had seven (7) business days to revoke such agreement):</w:t>
      </w:r>
    </w:p>
    <w:p>
      <w:pPr>
        <w:pStyle w:val="TextBody"/>
        <w:bidi w:val="0"/>
        <w:spacing w:before="240" w:after="283"/>
        <w:jc w:val="both"/>
        <w:rPr>
          <w:rFonts w:ascii="Times New Roman" w:hAnsi="Times New Roman"/>
          <w:sz w:val="20"/>
        </w:rPr>
      </w:pPr>
      <w:r>
        <w:rPr>
          <w:rFonts w:ascii="Times New Roman" w:hAnsi="Times New Roman"/>
          <w:color w:val="000000"/>
          <w:sz w:val="24"/>
        </w:rPr>
        <w:t>(i) the Company will continue to pay the Executive’s Base Salary for twelve (12) months following the Date of Termination (such period, the “</w:t>
      </w:r>
      <w:r>
        <w:rPr>
          <w:rFonts w:ascii="Times New Roman" w:hAnsi="Times New Roman"/>
          <w:b/>
          <w:color w:val="000000"/>
          <w:sz w:val="24"/>
        </w:rPr>
        <w:t>Severance Period</w:t>
      </w:r>
      <w:r>
        <w:rPr>
          <w:rFonts w:ascii="Times New Roman" w:hAnsi="Times New Roman"/>
          <w:color w:val="000000"/>
          <w:sz w:val="20"/>
        </w:rPr>
        <w:t>”</w:t>
      </w:r>
      <w:r>
        <w:rPr>
          <w:rFonts w:ascii="Times New Roman" w:hAnsi="Times New Roman"/>
          <w:color w:val="000000"/>
          <w:sz w:val="24"/>
        </w:rPr>
        <w:t>), in accordance with the Company’s normal payroll practices;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the Company will pay a pro-rated portion (based on the number of days prior to the Date of Termination in the calendar year divided by 365) of the Executive’s target Annual Bonus in respect of the calendar year in which the Date of Termination occurs, with such amount payable in a lump sum no later than the 70th day after the Date of Termination;</w:t>
      </w:r>
    </w:p>
    <w:p>
      <w:pPr>
        <w:pStyle w:val="TextBody"/>
        <w:bidi w:val="0"/>
        <w:spacing w:before="240" w:after="283"/>
        <w:jc w:val="both"/>
        <w:rPr>
          <w:rFonts w:ascii="Times New Roman" w:hAnsi="Times New Roman"/>
          <w:sz w:val="20"/>
        </w:rPr>
      </w:pPr>
      <w:r>
        <w:rPr>
          <w:rFonts w:ascii="Times New Roman" w:hAnsi="Times New Roman"/>
          <w:color w:val="000000"/>
          <w:sz w:val="24"/>
        </w:rPr>
        <w:t>(iii) if the Executive was participating in the Company’s group health, dental and/or vision plans immediately prior to the Date of Termination and elects COBRA health continuation, then the Company shall pay the full amount of any monthly COBRA premiums for the Executive and the Executive’s eligible dependents until the earliest of the following: (A) the end of the Severance Period; (B) the Executive’s eligibility for group health coverage through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other employment; or (C) the end of the Executive’s eligibility under COBRA for continuation coverage for health care. Notwithstanding the foregoing, if the Company determines at any time that its payments pursuant to this paragraph or the benefits under the Company’s health plan may be taxable income to the Executive, or such payments may otherwise result in a violation of applicable nondiscrimination requirements, it may convert such payments to payroll payments directly to the Executive on the Company’s regular payroll dates, which shall be subject to tax-related deductions and withholdings; and</w:t>
      </w:r>
    </w:p>
    <w:p>
      <w:pPr>
        <w:pStyle w:val="TextBody"/>
        <w:bidi w:val="0"/>
        <w:spacing w:before="240" w:after="283"/>
        <w:jc w:val="both"/>
        <w:rPr>
          <w:rFonts w:ascii="Times New Roman" w:hAnsi="Times New Roman"/>
          <w:sz w:val="20"/>
        </w:rPr>
      </w:pPr>
      <w:r>
        <w:rPr>
          <w:rFonts w:ascii="Times New Roman" w:hAnsi="Times New Roman"/>
          <w:color w:val="000000"/>
          <w:sz w:val="24"/>
        </w:rPr>
        <w:t>(iv) any shares of the Company’s capital stock and any equity incentive awards held by the Executive that have not vested shall vest as of the Date of Termination, with any time- or service-based vesting conditions deemed to be satisfied and (unless otherwise specified in the award agreement) any performance-based vesting conditions deemed to be satisfied at their target achievement levels (the payments and benefits described in Sections 4(b)(i) through 4(b)(iv), collectively, the “</w:t>
      </w:r>
      <w:r>
        <w:rPr>
          <w:rFonts w:ascii="Times New Roman" w:hAnsi="Times New Roman"/>
          <w:b/>
          <w:color w:val="000000"/>
          <w:sz w:val="24"/>
        </w:rPr>
        <w:t>Severance Benefits</w:t>
      </w:r>
      <w:r>
        <w:rPr>
          <w:rFonts w:ascii="Times New Roman" w:hAnsi="Times New Roman"/>
          <w:color w:val="000000"/>
          <w:sz w:val="20"/>
        </w:rPr>
        <w:t>”</w:t>
      </w:r>
      <w:r>
        <w:rPr>
          <w:rFonts w:ascii="Times New Roman" w:hAnsi="Times New Roman"/>
          <w:color w:val="000000"/>
          <w:sz w:val="24"/>
        </w:rPr>
        <w:t>).</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(c) </w:t>
      </w:r>
      <w:r>
        <w:rPr>
          <w:rFonts w:ascii="Times New Roman" w:hAnsi="Times New Roman"/>
          <w:b w:val="false"/>
          <w:color w:val="000000"/>
          <w:sz w:val="24"/>
          <w:u w:val="single"/>
        </w:rPr>
        <w:t>Additional Compensation Upon Termination on Account of Death or Disability</w:t>
      </w:r>
      <w:r>
        <w:rPr>
          <w:rFonts w:ascii="Times New Roman" w:hAnsi="Times New Roman"/>
          <w:b w:val="false"/>
          <w:color w:val="000000"/>
          <w:sz w:val="24"/>
        </w:rPr>
        <w:t>. If the Executive’s employment is terminated on account of death or Disability, fifty percent (50%) of (i) any shares of the Company’s capital stock and (ii) any equity incentive awards held by the Executive, in each case that have not vested, shall vest as of the Date of Termination. For purposes of determining the vesting of shares or equity incentive awards subject to performance-based vesting conditions, target achievement shall be considered one hundred percent (100%) vesting, unless otherwise specified in the award agreement.</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(d) </w:t>
      </w:r>
      <w:r>
        <w:rPr>
          <w:rFonts w:ascii="Times New Roman" w:hAnsi="Times New Roman"/>
          <w:b w:val="false"/>
          <w:color w:val="000000"/>
          <w:sz w:val="24"/>
          <w:u w:val="single"/>
        </w:rPr>
        <w:t>Compensation During the Non-Competition Period</w:t>
      </w:r>
      <w:r>
        <w:rPr>
          <w:rFonts w:ascii="Times New Roman" w:hAnsi="Times New Roman"/>
          <w:b w:val="false"/>
          <w:color w:val="000000"/>
          <w:sz w:val="24"/>
        </w:rPr>
        <w:t>. If (i) the Executive is subject to the restrictions set forth in Section 4.A of the Restrictive Covenant Agreement following the Date of Termination and (ii) is not receiving the Severance Benefits, the Company will make the Total Payment (as defined below), divided into four (4) equal portions (each, an “</w:t>
      </w:r>
      <w:r>
        <w:rPr>
          <w:rFonts w:ascii="Times New Roman" w:hAnsi="Times New Roman"/>
          <w:color w:val="000000"/>
          <w:sz w:val="24"/>
        </w:rPr>
        <w:t>Individual Payment</w:t>
      </w:r>
      <w:r>
        <w:rPr>
          <w:rFonts w:ascii="Times New Roman" w:hAnsi="Times New Roman"/>
          <w:color w:val="000000"/>
          <w:sz w:val="20"/>
        </w:rPr>
        <w:t>”</w:t>
      </w:r>
      <w:r>
        <w:rPr>
          <w:rFonts w:ascii="Times New Roman" w:hAnsi="Times New Roman"/>
          <w:b w:val="false"/>
          <w:color w:val="000000"/>
          <w:sz w:val="24"/>
        </w:rPr>
        <w:t>), to the Executive in exchange for compliance by the Executive with the restrictions set forth in Section 4.A of the Restrictive Covenant Agreement during the twelve (12)-month period following the Date of Termination (the “</w:t>
      </w:r>
      <w:r>
        <w:rPr>
          <w:rFonts w:ascii="Times New Roman" w:hAnsi="Times New Roman"/>
          <w:color w:val="000000"/>
          <w:sz w:val="24"/>
        </w:rPr>
        <w:t>Restricted Period</w:t>
      </w:r>
      <w:r>
        <w:rPr>
          <w:rFonts w:ascii="Times New Roman" w:hAnsi="Times New Roman"/>
          <w:color w:val="000000"/>
          <w:sz w:val="20"/>
        </w:rPr>
        <w:t>”</w:t>
      </w:r>
      <w:r>
        <w:rPr>
          <w:rFonts w:ascii="Times New Roman" w:hAnsi="Times New Roman"/>
          <w:b w:val="false"/>
          <w:color w:val="000000"/>
          <w:sz w:val="24"/>
        </w:rPr>
        <w:t>), with each Individual Payment to be made on the payroll date that immediately follows the date that is ninety (90), one hundred eighty (180), two hundred seventy (270) and three hundred sixty (360) days from the Date of Termination. “</w:t>
      </w:r>
      <w:r>
        <w:rPr>
          <w:rFonts w:ascii="Times New Roman" w:hAnsi="Times New Roman"/>
          <w:color w:val="000000"/>
          <w:sz w:val="24"/>
        </w:rPr>
        <w:t>Total Payment</w:t>
      </w:r>
      <w:r>
        <w:rPr>
          <w:rFonts w:ascii="Times New Roman" w:hAnsi="Times New Roman"/>
          <w:color w:val="000000"/>
          <w:sz w:val="20"/>
        </w:rPr>
        <w:t xml:space="preserve">” </w:t>
      </w:r>
      <w:r>
        <w:rPr>
          <w:rFonts w:ascii="Times New Roman" w:hAnsi="Times New Roman"/>
          <w:b w:val="false"/>
          <w:color w:val="000000"/>
          <w:sz w:val="24"/>
        </w:rPr>
        <w:t>means an amount equal to twelve (12) months of the Base Salary as of the Date of Termination. The Company shall have no obligation to make any Individual Payments if within ten (10) business days after the Termination Date (or, if later, the expiration of period in which the Executive may sign or revoke the Separation Agreement and Release), the Company provides a waiver of its right to enforce Section 4.A of the Restrictive Covenant Agreement.</w:t>
      </w:r>
    </w:p>
    <w:p>
      <w:pPr>
        <w:pStyle w:val="Heading2"/>
        <w:bidi w:val="0"/>
        <w:spacing w:before="240" w:after="283"/>
        <w:jc w:val="both"/>
        <w:rPr>
          <w:rFonts w:ascii="Times New Roman" w:hAnsi="Times New Roman"/>
          <w:b w:val="false"/>
          <w:color w:val="000000"/>
          <w:sz w:val="24"/>
        </w:rPr>
      </w:pPr>
      <w:r>
        <w:rPr>
          <w:rFonts w:ascii="Times New Roman" w:hAnsi="Times New Roman"/>
          <w:b w:val="false"/>
          <w:color w:val="000000"/>
          <w:sz w:val="24"/>
        </w:rPr>
        <w:t>(e) If the Executive breaches the Restrictive Covenant Agreement, or any other obligations hereunder, following the Date of Termination, then, without limitation of any rights of the Company, the Company’s obligation to provide the Severance Benefits or the Total Payment shall terminate.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5. </w:t>
      </w:r>
      <w:r>
        <w:rPr>
          <w:rFonts w:ascii="Times New Roman" w:hAnsi="Times New Roman"/>
          <w:b w:val="false"/>
          <w:color w:val="000000"/>
          <w:sz w:val="24"/>
          <w:u w:val="single"/>
        </w:rPr>
        <w:t>Certain Definitions</w:t>
      </w:r>
      <w:r>
        <w:rPr>
          <w:rFonts w:ascii="Times New Roman" w:hAnsi="Times New Roman"/>
          <w:b w:val="false"/>
          <w:color w:val="000000"/>
          <w:sz w:val="24"/>
        </w:rPr>
        <w:t>. As used in this Agreement:</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(a) “</w:t>
      </w:r>
      <w:r>
        <w:rPr>
          <w:rFonts w:ascii="Times New Roman" w:hAnsi="Times New Roman"/>
          <w:color w:val="000000"/>
          <w:sz w:val="24"/>
        </w:rPr>
        <w:t>Cause</w:t>
      </w:r>
      <w:r>
        <w:rPr>
          <w:rFonts w:ascii="Times New Roman" w:hAnsi="Times New Roman"/>
          <w:color w:val="000000"/>
          <w:sz w:val="20"/>
        </w:rPr>
        <w:t xml:space="preserve">” </w:t>
      </w:r>
      <w:r>
        <w:rPr>
          <w:rFonts w:ascii="Times New Roman" w:hAnsi="Times New Roman"/>
          <w:b w:val="false"/>
          <w:color w:val="000000"/>
          <w:sz w:val="24"/>
        </w:rPr>
        <w:t xml:space="preserve">means any of the following, based on a reasonable good faith determination by the Board: (i) the Executive’s willful and intentional continued failure to substantially perform the Executive’s assigned duties or responsibilities as directed or assigned by the Board, other than as a result of Executive’s Disability, or breach of the Executive’s responsibilities or obligations under this Agreement after written notice thereof describing in reasonable detail the Executive’s failure to perform such duties or responsibilities, and in either case, the Executive having had sixty (60) days to remedy the Executive’s failure to perform or breach of responsibilities,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 xml:space="preserve">that, for avoidance of doubt, failure to meet Company-based performance conditions shall not constitute Cause and the Company may not establish Cause based on the assertion that a particular failure is not capable of being cured; (ii) the Executive engaging in any act of dishonesty, fraud or misrepresentation that would reasonably be expected to result in material economic injury or material reputational harm to Odyssey if the Executive were retained in the Executive’s position; (iii) the Executive misappropriating funds, proprietary materials or information or other material property belonging to Odyssey other than the occasional, customary and </w:t>
      </w:r>
      <w:r>
        <w:rPr>
          <w:rFonts w:ascii="Times New Roman" w:hAnsi="Times New Roman"/>
          <w:b w:val="false"/>
          <w:i/>
          <w:color w:val="000000"/>
          <w:sz w:val="24"/>
        </w:rPr>
        <w:t xml:space="preserve">de minimis </w:t>
      </w:r>
      <w:r>
        <w:rPr>
          <w:rFonts w:ascii="Times New Roman" w:hAnsi="Times New Roman"/>
          <w:b w:val="false"/>
          <w:color w:val="000000"/>
          <w:sz w:val="24"/>
        </w:rPr>
        <w:t>use of Odyssey property for personal purposes; (iv) the Executive’s violation of a federal or state law or regulation if such violation can reasonably be expected to have an adverse effect on the Executive’s ability to perform his assigned duties or responsibilities to Odyssey or on Odyssey’s business or reputation; (v) the Executive being convicted of, or entering a plea of nolo contendere to, a felony or a misdemeanor involving moral turpitude; (vi) the Executive’s material breach of any contractual confidentiality, non-competition, non-solicitation or invention assignment obligations to the Company; (vii) failure by the Executive to cooperate with a bona fide internal investigation or an investigation by regulatory or law enforcement authorities, after being instructed by the Company to cooperate, or the willful destruction or failure to preserve documents or other materials known to the Executive (or that the Executive should have been known) to be relevant to such investigation or the willful inducement of others to fail to cooperate or to produce documents or other materials in connection with such investigation; or (viii) the Executive’s material violation of Odyssey’s written policies against discrimination or harassment, which violation is not cured (if curable) within ten (10) days after written notice to the Executive is provided by the Company.</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(b) “</w:t>
      </w:r>
      <w:r>
        <w:rPr>
          <w:rFonts w:ascii="Times New Roman" w:hAnsi="Times New Roman"/>
          <w:color w:val="000000"/>
          <w:sz w:val="24"/>
        </w:rPr>
        <w:t>Disability</w:t>
      </w:r>
      <w:r>
        <w:rPr>
          <w:rFonts w:ascii="Times New Roman" w:hAnsi="Times New Roman"/>
          <w:color w:val="000000"/>
          <w:sz w:val="20"/>
        </w:rPr>
        <w:t xml:space="preserve">” </w:t>
      </w:r>
      <w:r>
        <w:rPr>
          <w:rFonts w:ascii="Times New Roman" w:hAnsi="Times New Roman"/>
          <w:b w:val="false"/>
          <w:color w:val="000000"/>
          <w:sz w:val="24"/>
        </w:rPr>
        <w:t>means the inability of the Executive to engage in any substantial gainful activity by reason of any medically determinable physical or mental impairment that can be expected to result in death or can be expected to last for a continuous period of not less than 12 months as provided in Sections 22(e)(3) and 409A(a)(2)(c)(i) of the Code.</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(c) “</w:t>
      </w:r>
      <w:r>
        <w:rPr>
          <w:rFonts w:ascii="Times New Roman" w:hAnsi="Times New Roman"/>
          <w:color w:val="000000"/>
          <w:sz w:val="24"/>
        </w:rPr>
        <w:t>Good Reason</w:t>
      </w:r>
      <w:r>
        <w:rPr>
          <w:rFonts w:ascii="Times New Roman" w:hAnsi="Times New Roman"/>
          <w:color w:val="000000"/>
          <w:sz w:val="20"/>
        </w:rPr>
        <w:t xml:space="preserve">” </w:t>
      </w:r>
      <w:r>
        <w:rPr>
          <w:rFonts w:ascii="Times New Roman" w:hAnsi="Times New Roman"/>
          <w:b w:val="false"/>
          <w:color w:val="000000"/>
          <w:sz w:val="24"/>
        </w:rPr>
        <w:t xml:space="preserve">means, the occurrence of any of the following events without the Executive’s prior express written consent: (i) the material reduction of the Base Salary, other than reductions in salary applicable to all employees or to all executives of not more than fifteen percent (15%), that is based on the Company’s financial needs; (ii) a change in the Executive’s position or responsibilities with the Company that materially reduces the Executive’s level of authorities, responsibilities, or duties, including that the Executive is asked to report to any person or group other than the full Board; (iii) a relocation of the Executive’s principal place of employment by more than thirty (30) miles,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required travel for business needs will not give rise to Good Reason under this prong (iii), or (iv) a material breach by the Company of this Agreement. Notwithstanding the foregoing, Good Reason shall not be deemed to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both"/>
        <w:rPr>
          <w:rFonts w:ascii="Times New Roman" w:hAnsi="Times New Roman"/>
          <w:b w:val="false"/>
          <w:color w:val="000000"/>
          <w:sz w:val="24"/>
        </w:rPr>
      </w:pPr>
      <w:r>
        <w:rPr>
          <w:rFonts w:ascii="Times New Roman" w:hAnsi="Times New Roman"/>
          <w:b w:val="false"/>
          <w:color w:val="000000"/>
          <w:sz w:val="24"/>
        </w:rPr>
        <w:t>exist unless (x) (A) the Executive gives the Company written notice within sixty (60) days after the Executive first has knowledge of the occurrence of the event which the Executive believes constitutes the basis for Good Reason, (B) the Company fails to cure such event within thirty (30) days after receipt of such notice, and (C) the Executive terminates his employment within thirty (30) days after the end of the period specified in clause (B), and (y) the Company has no right to terminate the Executive’s employment for Cause. The Executive shall not have Good Reason on account of being relieved of the Executive’s duties if the Executive is placed on a paid leave not to exceed sixty (60) days, during which compensation and benefits are provided, so that the Board may investigate, in good faith, whether a Cause event has occurred.</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(d) “</w:t>
      </w:r>
      <w:r>
        <w:rPr>
          <w:rFonts w:ascii="Times New Roman" w:hAnsi="Times New Roman"/>
          <w:color w:val="000000"/>
          <w:sz w:val="24"/>
        </w:rPr>
        <w:t>Public Trading Date</w:t>
      </w:r>
      <w:r>
        <w:rPr>
          <w:rFonts w:ascii="Times New Roman" w:hAnsi="Times New Roman"/>
          <w:color w:val="000000"/>
          <w:sz w:val="20"/>
        </w:rPr>
        <w:t xml:space="preserve">” </w:t>
      </w:r>
      <w:r>
        <w:rPr>
          <w:rFonts w:ascii="Times New Roman" w:hAnsi="Times New Roman"/>
          <w:b w:val="false"/>
          <w:color w:val="000000"/>
          <w:sz w:val="24"/>
        </w:rPr>
        <w:t>means the first date upon which the common stock of the Company is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Treasury Regulation Section 1.162-27(c)(1).</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6. </w:t>
      </w:r>
      <w:r>
        <w:rPr>
          <w:rFonts w:ascii="Times New Roman" w:hAnsi="Times New Roman"/>
          <w:b w:val="false"/>
          <w:color w:val="000000"/>
          <w:sz w:val="24"/>
          <w:u w:val="single"/>
        </w:rPr>
        <w:t>Section 409A</w:t>
      </w:r>
      <w:r>
        <w:rPr>
          <w:rFonts w:ascii="Times New Roman" w:hAnsi="Times New Roman"/>
          <w:b w:val="false"/>
          <w:color w:val="000000"/>
          <w:sz w:val="24"/>
        </w:rPr>
        <w:t>.</w:t>
      </w:r>
      <w:r>
        <w:rPr>
          <w:rFonts w:ascii="Times New Roman" w:hAnsi="Times New Roman"/>
          <w:color w:val="000000"/>
          <w:sz w:val="20"/>
        </w:rPr>
        <w:t xml:space="preserve"> </w:t>
      </w:r>
    </w:p>
    <w:p>
      <w:pPr>
        <w:pStyle w:val="Heading2"/>
        <w:bidi w:val="0"/>
        <w:spacing w:before="240" w:after="283"/>
        <w:jc w:val="both"/>
        <w:rPr>
          <w:rFonts w:ascii="Times New Roman" w:hAnsi="Times New Roman"/>
          <w:b w:val="false"/>
          <w:color w:val="000000"/>
          <w:sz w:val="24"/>
        </w:rPr>
      </w:pPr>
      <w:r>
        <w:rPr>
          <w:rFonts w:ascii="Times New Roman" w:hAnsi="Times New Roman"/>
          <w:b w:val="false"/>
          <w:color w:val="000000"/>
          <w:sz w:val="24"/>
        </w:rPr>
        <w:t>(a) Notwithstanding anything in this Agreement to the contrary,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twenty percent (20%)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pStyle w:val="Heading2"/>
        <w:bidi w:val="0"/>
        <w:spacing w:before="240" w:after="283"/>
        <w:jc w:val="both"/>
        <w:rPr>
          <w:rFonts w:ascii="Times New Roman" w:hAnsi="Times New Roman"/>
          <w:b w:val="false"/>
          <w:color w:val="000000"/>
          <w:sz w:val="24"/>
        </w:rPr>
      </w:pPr>
      <w:r>
        <w:rPr>
          <w:rFonts w:ascii="Times New Roman" w:hAnsi="Times New Roman"/>
          <w:b w:val="false"/>
          <w:color w:val="000000"/>
          <w:sz w:val="24"/>
        </w:rPr>
        <w:t>(b) 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This right to reimbursement or in-kind benefits is not subject to liquidation or exchange for another benefit.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both"/>
        <w:rPr>
          <w:rFonts w:ascii="Times New Roman" w:hAnsi="Times New Roman"/>
          <w:b w:val="false"/>
          <w:color w:val="000000"/>
          <w:sz w:val="24"/>
        </w:rPr>
      </w:pPr>
      <w:r>
        <w:rPr>
          <w:rFonts w:ascii="Times New Roman" w:hAnsi="Times New Roman"/>
          <w:b w:val="false"/>
          <w:color w:val="000000"/>
          <w:sz w:val="24"/>
        </w:rPr>
        <w:t>(c) 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pStyle w:val="Heading2"/>
        <w:bidi w:val="0"/>
        <w:spacing w:before="240" w:after="283"/>
        <w:jc w:val="both"/>
        <w:rPr>
          <w:rFonts w:ascii="Times New Roman" w:hAnsi="Times New Roman"/>
          <w:b w:val="false"/>
          <w:color w:val="000000"/>
          <w:sz w:val="24"/>
        </w:rPr>
      </w:pPr>
      <w:r>
        <w:rPr>
          <w:rFonts w:ascii="Times New Roman" w:hAnsi="Times New Roman"/>
          <w:b w:val="false"/>
          <w:color w:val="000000"/>
          <w:sz w:val="24"/>
        </w:rPr>
        <w:t>(d) Any payments that are subject to the Separation Agreement and Release requirement and are scheduled to be paid prior to the date the Separation Agreement and Release becomes effective shall be paid in a lump sum, without interest, with the first scheduled payment following the effectiveness of the Separation Agreement and Release and, if any such amounts are subject to Section 409A of the Code and the period during which the Executive has discretion to sign or revoke the Separation Agreement and Release straddles two calendar years, such amounts will be paid without interest in the second calendar year.</w:t>
      </w:r>
    </w:p>
    <w:p>
      <w:pPr>
        <w:pStyle w:val="Heading2"/>
        <w:bidi w:val="0"/>
        <w:spacing w:before="240" w:after="283"/>
        <w:jc w:val="both"/>
        <w:rPr>
          <w:rFonts w:ascii="Times New Roman" w:hAnsi="Times New Roman"/>
          <w:b w:val="false"/>
          <w:color w:val="000000"/>
          <w:sz w:val="24"/>
        </w:rPr>
      </w:pPr>
      <w:r>
        <w:rPr>
          <w:rFonts w:ascii="Times New Roman" w:hAnsi="Times New Roman"/>
          <w:b w:val="false"/>
          <w:color w:val="000000"/>
          <w:sz w:val="24"/>
        </w:rPr>
        <w:t>(e) 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are exempt from the application of Section 409A of the Code, or to the extent not exempt,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Heading2"/>
        <w:bidi w:val="0"/>
        <w:spacing w:before="240" w:after="283"/>
        <w:jc w:val="both"/>
        <w:rPr>
          <w:rFonts w:ascii="Times New Roman" w:hAnsi="Times New Roman"/>
          <w:b w:val="false"/>
          <w:color w:val="000000"/>
          <w:sz w:val="24"/>
        </w:rPr>
      </w:pPr>
      <w:r>
        <w:rPr>
          <w:rFonts w:ascii="Times New Roman" w:hAnsi="Times New Roman"/>
          <w:b w:val="false"/>
          <w:color w:val="000000"/>
          <w:sz w:val="24"/>
        </w:rPr>
        <w:t>(f) 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 409A.</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7. </w:t>
      </w:r>
      <w:r>
        <w:rPr>
          <w:rFonts w:ascii="Times New Roman" w:hAnsi="Times New Roman"/>
          <w:b w:val="false"/>
          <w:color w:val="000000"/>
          <w:sz w:val="24"/>
          <w:u w:val="single"/>
        </w:rPr>
        <w:t>Parachute Payments</w:t>
      </w:r>
      <w:r>
        <w:rPr>
          <w:rFonts w:ascii="Times New Roman" w:hAnsi="Times New Roman"/>
          <w:b w:val="false"/>
          <w:color w:val="000000"/>
          <w:sz w:val="24"/>
        </w:rPr>
        <w:t>. In the event that the severance and other benefits provided for in this Agreement or otherwise payable to the Executive (i) constitute “parachute payments” within the meaning of Section 280G of the Code and (ii) but for this Section 7, would be subject to the excise tax imposed by Section 4999 of the Code, then, the Executive’s severance and other benefits under this Agreement shall be either (x) delivered in full, or (y) delivered as to such lesser extent that would result in no portion of such severance and other benefits being subject to excise tax under Section 4999 of the Code, whichever of the foregoing amounts, taking into account the applicable federal, state and local income taxes and the excise tax imposed by Section 4999, results in the receipt by the Executive on an after-tax basis, of the greatest amount of benefits under this Agreement, notwithstanding that all or some portion of such benefits may be taxable under Section 4999 of the Code. In the event the Executive’s severance and other benefits are delivered to a lesser extent pursuant to the foregoing clause (y), such severance and other benefits shall be reduced in the following order, in each case, in reverse chronological order beginning with the severance and other benefits that are to be paid the further in time from consummation of the transaction that is subject to Section 280G of the Code, unless otherwise agreed to by the Executive and the Company: (A) cash payments; (B) equity-based payments and acceleration; and (C) non-cash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forms of benefits. Unless the Company and the Executive otherwise agree in writing, any determination required under this Section 7 shall be made in writing by an accounting firm selected by the Company (the “</w:t>
      </w:r>
      <w:r>
        <w:rPr>
          <w:rFonts w:ascii="Times New Roman" w:hAnsi="Times New Roman"/>
          <w:color w:val="000000"/>
          <w:sz w:val="24"/>
        </w:rPr>
        <w:t>Accountant</w:t>
      </w:r>
      <w:r>
        <w:rPr>
          <w:rFonts w:ascii="Times New Roman" w:hAnsi="Times New Roman"/>
          <w:color w:val="000000"/>
          <w:sz w:val="20"/>
        </w:rPr>
        <w:t>”</w:t>
      </w:r>
      <w:r>
        <w:rPr>
          <w:rFonts w:ascii="Times New Roman" w:hAnsi="Times New Roman"/>
          <w:b w:val="false"/>
          <w:color w:val="000000"/>
          <w:sz w:val="24"/>
        </w:rPr>
        <w:t>), whose determination shall be conclusive and binding upon the Executive and the Company for all purposes. For purposes of making the calculations required by this Section 7, the Accountant may make reasonable assumptions and approximations concerning applicable taxes and may rely on reasonable, good faith interpretations concerning the application of Sections 280G and 4999 of the Code. The Company and the Executive will furnish to the Accountant such information and documents as the Accountant may reasonably request in order to make a determination under this Section 7. The Company shall bear all costs the Accountant may reasonably incur in connection with any calculations contemplated by this Section 7.</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8. </w:t>
      </w:r>
      <w:r>
        <w:rPr>
          <w:rFonts w:ascii="Times New Roman" w:hAnsi="Times New Roman"/>
          <w:b w:val="false"/>
          <w:color w:val="000000"/>
          <w:sz w:val="24"/>
          <w:u w:val="single"/>
        </w:rPr>
        <w:t>Indemnification and Insurance</w:t>
      </w:r>
      <w:r>
        <w:rPr>
          <w:rFonts w:ascii="Times New Roman" w:hAnsi="Times New Roman"/>
          <w:b w:val="false"/>
          <w:color w:val="000000"/>
          <w:sz w:val="24"/>
        </w:rPr>
        <w:t>. The Executive shall be indemnified by the Company to the extent provided under the Company’s charter and by-laws for losses resulting from the Executive’s good faith performance of the Executive’s duties and obligations to the Company. The Company shall cover the Executive under director’s and officer’s liability insurance during the Term and, while potential liability exists, after the Term, in the same amount and to the same extent as the Company covers its other officers and directors. The Company and the Executive hereby agree to execute the Company’s standard indemnification agreement for senior executives. For the avoidance of doubt, the Executive’s right to indemnification by the Company and coverage under any applicable directors’ and officers’ liability or other third-party insurance policy as provided herein shall continue following any termination of employment.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9. </w:t>
      </w:r>
      <w:r>
        <w:rPr>
          <w:rFonts w:ascii="Times New Roman" w:hAnsi="Times New Roman"/>
          <w:b w:val="false"/>
          <w:color w:val="000000"/>
          <w:sz w:val="24"/>
          <w:u w:val="single"/>
        </w:rPr>
        <w:t>Restrictive Covenants</w:t>
      </w:r>
      <w:r>
        <w:rPr>
          <w:rFonts w:ascii="Times New Roman" w:hAnsi="Times New Roman"/>
          <w:b w:val="false"/>
          <w:color w:val="000000"/>
          <w:sz w:val="24"/>
        </w:rPr>
        <w:t>.</w:t>
      </w:r>
      <w:r>
        <w:rPr>
          <w:rFonts w:ascii="Times New Roman" w:hAnsi="Times New Roman"/>
          <w:color w:val="000000"/>
          <w:sz w:val="20"/>
        </w:rPr>
        <w:t xml:space="preserve"> </w:t>
      </w:r>
    </w:p>
    <w:p>
      <w:pPr>
        <w:pStyle w:val="Heading2"/>
        <w:bidi w:val="0"/>
        <w:spacing w:before="240" w:after="283"/>
        <w:jc w:val="both"/>
        <w:rPr>
          <w:rFonts w:ascii="Times New Roman" w:hAnsi="Times New Roman"/>
          <w:b w:val="false"/>
          <w:color w:val="000000"/>
          <w:sz w:val="24"/>
        </w:rPr>
      </w:pPr>
      <w:r>
        <w:rPr>
          <w:rFonts w:ascii="Times New Roman" w:hAnsi="Times New Roman"/>
          <w:b w:val="false"/>
          <w:color w:val="000000"/>
          <w:sz w:val="24"/>
        </w:rPr>
        <w:t>(a) The terms of the Restrictive Covenant Agreement shall continue to be in full force and effect, as amended pursuant to Section 9(d) and Section 9(e) of the Prior Agreement (as repeated in Section 9(d) and Section 9(e) below), except (i) as provided in Section 9(g) with respect to protective disclosures and (ii) the provisions of Section 10 shall apply to disputes under the Restrictive Covenant Agreement.</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(b) During the term of this Agreement and at all times thereafter, the Executive agrees not to make, or cause any other person to make, any negative comments about, or make any other communication that disparages, or has the effect of disparaging, the Company or its affiliates, subsidiaries, agents, shareholders, members or advisors (or any of its or their respective employees, officers or directors, it being understood that communication made in the Executive’s good faith performance of the Executive’s duties hereunder shall not be deemed disparaging for purposes of this Agreement). The Company agrees to instruct the Board and the Company’s officers designated as such for purposes of Section 16 of the Securities Exchange Act of 1934, as amended, by the Board (the “</w:t>
      </w:r>
      <w:r>
        <w:rPr>
          <w:rFonts w:ascii="Times New Roman" w:hAnsi="Times New Roman"/>
          <w:color w:val="000000"/>
          <w:sz w:val="24"/>
        </w:rPr>
        <w:t>Section 16 Officers</w:t>
      </w:r>
      <w:r>
        <w:rPr>
          <w:rFonts w:ascii="Times New Roman" w:hAnsi="Times New Roman"/>
          <w:color w:val="000000"/>
          <w:sz w:val="20"/>
        </w:rPr>
        <w:t>”</w:t>
      </w:r>
      <w:r>
        <w:rPr>
          <w:rFonts w:ascii="Times New Roman" w:hAnsi="Times New Roman"/>
          <w:b w:val="false"/>
          <w:color w:val="000000"/>
          <w:sz w:val="24"/>
        </w:rPr>
        <w:t>) not to make negative comments about the Executive or otherwise disparage the Executive in any manner that is likely to be harmful to the Executive’s business reputation. During the term of this Agreement, this provision applies only to statements made by Executive, the Board, or the Section 16 officers to individuals, groups, or entities outside the Company.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(c) During the Term and for twelve (12) months following the Date of Termination, the Executive shall not interfere with, damage, or attempt to interfere with any relationship between Odyssey and a Business Contact. As used in this Agreement, “</w:t>
      </w:r>
      <w:r>
        <w:rPr>
          <w:rFonts w:ascii="Times New Roman" w:hAnsi="Times New Roman"/>
          <w:color w:val="000000"/>
          <w:sz w:val="24"/>
        </w:rPr>
        <w:t>Business Contact</w:t>
      </w:r>
      <w:r>
        <w:rPr>
          <w:rFonts w:ascii="Times New Roman" w:hAnsi="Times New Roman"/>
          <w:color w:val="000000"/>
          <w:sz w:val="20"/>
        </w:rPr>
        <w:t xml:space="preserve">” </w:t>
      </w:r>
      <w:r>
        <w:rPr>
          <w:rFonts w:ascii="Times New Roman" w:hAnsi="Times New Roman"/>
          <w:b w:val="false"/>
          <w:color w:val="000000"/>
          <w:sz w:val="24"/>
        </w:rPr>
        <w:t>shall mean any (i) client, customer or supplier of Odyssey at any time during the period of the Executive’s relationship with the Company; or (ii) prospective client, customer or supplier of Odyssey identified during the period of the Executive’s relationship with the Company.</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(d) Section 2.A.3 of the Restrictive Covenant Agreement is hereby amended and restated as follows: “‘</w:t>
      </w:r>
      <w:r>
        <w:rPr>
          <w:rFonts w:ascii="Times New Roman" w:hAnsi="Times New Roman"/>
          <w:color w:val="000000"/>
          <w:sz w:val="24"/>
        </w:rPr>
        <w:t>Group’s Field</w:t>
      </w:r>
      <w:r>
        <w:rPr>
          <w:rFonts w:ascii="Times New Roman" w:hAnsi="Times New Roman"/>
          <w:color w:val="000000"/>
          <w:sz w:val="20"/>
        </w:rPr>
        <w:t xml:space="preserve">’ </w:t>
      </w:r>
      <w:r>
        <w:rPr>
          <w:rFonts w:ascii="Times New Roman" w:hAnsi="Times New Roman"/>
          <w:b w:val="false"/>
          <w:color w:val="000000"/>
          <w:sz w:val="24"/>
        </w:rPr>
        <w:t>means drug discovery, research and development, manufacturing, production, marketing, distribution, sale or other commercialization of any product with respect to (i) molecular targets for which the Group is actively expending research funds or engaged in laboratory work with respect to therapeutics or potential therapeutics intended to modulate such molecular targets, or (ii) any disease in which the Group has demonstrated clinical proof of concept; for purposes of the portion of the Non-Competition Period that applies following Employee’s termination of employment, the Group’s Field will be determined as of the date of termination.”</w:t>
      </w:r>
    </w:p>
    <w:p>
      <w:pPr>
        <w:pStyle w:val="Heading2"/>
        <w:bidi w:val="0"/>
        <w:spacing w:before="240" w:after="283"/>
        <w:jc w:val="both"/>
        <w:rPr>
          <w:rFonts w:ascii="Times New Roman" w:hAnsi="Times New Roman"/>
          <w:b w:val="false"/>
          <w:color w:val="000000"/>
          <w:sz w:val="24"/>
        </w:rPr>
      </w:pPr>
      <w:r>
        <w:rPr>
          <w:rFonts w:ascii="Times New Roman" w:hAnsi="Times New Roman"/>
          <w:b w:val="false"/>
          <w:color w:val="000000"/>
          <w:sz w:val="24"/>
        </w:rPr>
        <w:t>(e) If the Executives violates any of the terms of any restrictive covenant obligation set forth in Section 4.B or 4.C of the Restrictive Covenant Agreement or in Section 9(c) of this Agreement, the duration of the obligation at issue will be extended by a period equal to the period that begins on the first date of such violation and ends on the first date on which the Executive ceases to be in violation of such obligation.</w:t>
      </w:r>
    </w:p>
    <w:p>
      <w:pPr>
        <w:pStyle w:val="Heading2"/>
        <w:bidi w:val="0"/>
        <w:spacing w:before="240" w:after="283"/>
        <w:jc w:val="both"/>
        <w:rPr>
          <w:rFonts w:ascii="Times New Roman" w:hAnsi="Times New Roman"/>
          <w:b w:val="false"/>
          <w:color w:val="000000"/>
          <w:sz w:val="24"/>
        </w:rPr>
      </w:pPr>
      <w:r>
        <w:rPr>
          <w:rFonts w:ascii="Times New Roman" w:hAnsi="Times New Roman"/>
          <w:b w:val="false"/>
          <w:color w:val="000000"/>
          <w:sz w:val="24"/>
        </w:rPr>
        <w:t>(f) Nothing set forth herein or in the Restrictive Covenant Agreement shall be interpreted to prohibit the Executive, the Company, the Section 16 Officers or members of the Board from (i) making truthful statements when required by law, subpoena or court order and/or from responding to any inquiry by any regulatory or investigatory organization, (ii) reporting possible violations of law to a governmental agency or entity (including, but not limited to the Securities and Exchange Commission, the National Labor Relations Board or the Equal Employment Opportunity Commission) or require authorization or notification of such reports, or (iii) making other disclosures that are protected under the whistleblower or other provisions of federal, state, or local law or regulation. Further, and notwithstanding Section 9(b), nothing in this Agreement shall prohibit the Company or any Section 16 Officer or member of the Board from making disclosures that are consistent with applicable reporting requirements or fiduciary duties or otherwise in good faith.</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(g) </w:t>
      </w:r>
      <w:r>
        <w:rPr>
          <w:rFonts w:ascii="Times New Roman" w:hAnsi="Times New Roman"/>
          <w:b w:val="false"/>
          <w:color w:val="000000"/>
          <w:sz w:val="24"/>
          <w:u w:val="single"/>
        </w:rPr>
        <w:t>Protective Disclosures</w:t>
      </w:r>
      <w:r>
        <w:rPr>
          <w:rFonts w:ascii="Times New Roman" w:hAnsi="Times New Roman"/>
          <w:b w:val="false"/>
          <w:color w:val="000000"/>
          <w:sz w:val="24"/>
        </w:rPr>
        <w:t>. Nothing set forth herein or in the Restrictive Covenant Agreement shall be interpreted to prohibit the Executive from (i) making truthful statements when required by law, subpoena or court order and/or from responding to any inquiry by any regulatory or investigatory organization, (ii) reporting possible violations of law to a governmental agency or entity (including, but not limited to the Securities and Exchange Commission, the National Labor Relations Board or the Equal Employment Opportunity Commission) or require authorization or notification of such reports, or (iii) making other disclosures that are protected under the whistleblower or other provisions of federal, state, or local law or regulation.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240" w:after="283"/>
        <w:jc w:val="both"/>
        <w:rPr>
          <w:rFonts w:ascii="Times New Roman" w:hAnsi="Times New Roman"/>
          <w:sz w:val="20"/>
        </w:rPr>
      </w:pPr>
      <w:r>
        <w:rPr>
          <w:rFonts w:ascii="Times New Roman" w:hAnsi="Times New Roman"/>
          <w:b w:val="false"/>
          <w:color w:val="000000"/>
          <w:sz w:val="24"/>
        </w:rPr>
        <w:t xml:space="preserve">(h) </w:t>
      </w:r>
      <w:r>
        <w:rPr>
          <w:rFonts w:ascii="Times New Roman" w:hAnsi="Times New Roman"/>
          <w:b w:val="false"/>
          <w:color w:val="000000"/>
          <w:sz w:val="24"/>
          <w:u w:val="single"/>
        </w:rPr>
        <w:t>Litigation and Regulatory Cooperation</w:t>
      </w:r>
      <w:r>
        <w:rPr>
          <w:rFonts w:ascii="Times New Roman" w:hAnsi="Times New Roman"/>
          <w:b w:val="false"/>
          <w:color w:val="000000"/>
          <w:sz w:val="24"/>
        </w:rPr>
        <w:t>. During and after the Executive’s employment, the Executive shall reasonably cooperate with the Company in the defense or prosecution of any claims or actions now in existence or that may be brought in the future against or on behalf of Odyssey that relate to events or occurrences that transpired while the Executive was employed by Odyssey. The Executive’s cooperation in connection with such claims or actions shall include, but not be limited to, being available to meet with counsel to prepare for discovery or trial and to act as a witness on behalf of Odyssey at mutually convenient times. During and after the Executive’s employment, the Executive also shall reasonably cooperate with the Company in connection with any investigation or review of any federal, state or local regulatory authority that relates to events or occurrences that transpired while the Executive was employed by Odyssey. The Company shall reimburse the Executive for any reasonable out-of-pocket expenses incurred in connection with the Executive’s performance of obligations pursuant to this Section 9(h).</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10. </w:t>
      </w:r>
      <w:r>
        <w:rPr>
          <w:rFonts w:ascii="Times New Roman" w:hAnsi="Times New Roman"/>
          <w:b w:val="false"/>
          <w:color w:val="000000"/>
          <w:sz w:val="24"/>
          <w:u w:val="single"/>
        </w:rPr>
        <w:t>Arbitration of Disputes</w:t>
      </w:r>
      <w:r>
        <w:rPr>
          <w:rFonts w:ascii="Times New Roman" w:hAnsi="Times New Roman"/>
          <w:b w:val="false"/>
          <w:color w:val="000000"/>
          <w:sz w:val="24"/>
        </w:rPr>
        <w:t>. Any controversy or claim arising out of or relating to this Agreement, the Restrictive Covenant Agreement or otherwise arising out of the Executive’s employment or the termination of that employment (including, without limitation, any claims of unlawful employment discrimination whether based on age or otherwise) shall, to the fullest extent permitted by law, shall be resolved solely and exclusively by confidential binding arbitration with the Boston, Massachusetts branch of JAMS (“</w:t>
      </w:r>
      <w:r>
        <w:rPr>
          <w:rFonts w:ascii="Times New Roman" w:hAnsi="Times New Roman"/>
          <w:color w:val="000000"/>
          <w:sz w:val="24"/>
        </w:rPr>
        <w:t>JAMS</w:t>
      </w:r>
      <w:r>
        <w:rPr>
          <w:rFonts w:ascii="Times New Roman" w:hAnsi="Times New Roman"/>
          <w:color w:val="000000"/>
          <w:sz w:val="20"/>
        </w:rPr>
        <w:t>”</w:t>
      </w:r>
      <w:r>
        <w:rPr>
          <w:rFonts w:ascii="Times New Roman" w:hAnsi="Times New Roman"/>
          <w:b w:val="false"/>
          <w:color w:val="000000"/>
          <w:sz w:val="24"/>
        </w:rPr>
        <w:t>), to be governed by JAMS’ Employment Arbitration Rules and Procedures (or successor rules) applicable at the time of the commencement of the arbitration (the “</w:t>
      </w:r>
      <w:r>
        <w:rPr>
          <w:rFonts w:ascii="Times New Roman" w:hAnsi="Times New Roman"/>
          <w:color w:val="000000"/>
          <w:sz w:val="24"/>
        </w:rPr>
        <w:t>JAMS Rules</w:t>
      </w:r>
      <w:r>
        <w:rPr>
          <w:rFonts w:ascii="Times New Roman" w:hAnsi="Times New Roman"/>
          <w:color w:val="000000"/>
          <w:sz w:val="20"/>
        </w:rPr>
        <w:t>”</w:t>
      </w:r>
      <w:r>
        <w:rPr>
          <w:rFonts w:ascii="Times New Roman" w:hAnsi="Times New Roman"/>
          <w:b w:val="false"/>
          <w:color w:val="000000"/>
          <w:sz w:val="24"/>
        </w:rPr>
        <w:t>) and heard before one arbitrator. The Executive and the Company shall attempt to mutually select the arbitrator. In the event the Executive and the Company are unable to mutually agree, the arbitrator shall be selected by the procedures prescribed by the JAMS Rules. The Executive shall be required to pay an arbitration fee to initiate any arbitration equal to what the Executive would be charged as a first appearance fee in court. The Company shall advance the remaining fees and costs of the arbitrator and shall pay such fees and costs of the arbitration if the Company initiates the arbitration. However, to the extent permissible under the law, and following the arbitrator’s ruling on the matter, the arbitrator may rule that the arbitrator’s fees and costs be distributed in an alternative manner. Each of the Executive and the Company shall bear its own attorneys’ fees, expert witness fees and other costs incurred in connection with any arbitration. If, however, any party prevails on a claim that affords the prevailing party attorneys’ fees (including pursuant to this Agreement), the arbitrator may award attorneys’ fees to the prevailing party to the extent permitted by law. Notwithstanding the foregoing, nothing in this Agreement shall limit the ability of the Company to seek and obtain equitable relief in accordance with the Restrictive Covenant Agreement.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11. </w:t>
      </w:r>
      <w:r>
        <w:rPr>
          <w:rFonts w:ascii="Times New Roman" w:hAnsi="Times New Roman"/>
          <w:b w:val="false"/>
          <w:color w:val="000000"/>
          <w:sz w:val="24"/>
          <w:u w:val="single"/>
        </w:rPr>
        <w:t>Consent to Jurisdiction</w:t>
      </w:r>
      <w:r>
        <w:rPr>
          <w:rFonts w:ascii="Times New Roman" w:hAnsi="Times New Roman"/>
          <w:b w:val="false"/>
          <w:color w:val="000000"/>
          <w:sz w:val="24"/>
        </w:rPr>
        <w:t>. To the extent that any court action is permitted consistent with this Agreement, the parties hereby consent to the jurisdiction of the state and federal courts located in Suffolk County,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12. </w:t>
      </w:r>
      <w:r>
        <w:rPr>
          <w:rFonts w:ascii="Times New Roman" w:hAnsi="Times New Roman"/>
          <w:b w:val="false"/>
          <w:color w:val="000000"/>
          <w:sz w:val="24"/>
          <w:u w:val="single"/>
        </w:rPr>
        <w:t>Integration</w:t>
      </w:r>
      <w:r>
        <w:rPr>
          <w:rFonts w:ascii="Times New Roman" w:hAnsi="Times New Roman"/>
          <w:b w:val="false"/>
          <w:color w:val="000000"/>
          <w:sz w:val="24"/>
        </w:rPr>
        <w:t xml:space="preserve">. This Agreement constitutes the entire agreement between the parties with respect to the subject matter hereof and supersedes in all respects all prior agreements between the parties concerning the subject matter hereof, including without limitation the Prior Agreement (together with any exhibits thereto other than the Restrictive Covenant Agreement), </w:t>
      </w:r>
      <w:r>
        <w:rPr>
          <w:rFonts w:ascii="Times New Roman" w:hAnsi="Times New Roman"/>
          <w:b w:val="false"/>
          <w:color w:val="000000"/>
          <w:sz w:val="24"/>
          <w:u w:val="single"/>
        </w:rPr>
        <w:t>provided</w:t>
      </w:r>
      <w:r>
        <w:rPr>
          <w:rFonts w:ascii="Times New Roman" w:hAnsi="Times New Roman"/>
          <w:color w:val="000000"/>
          <w:sz w:val="20"/>
        </w:rPr>
        <w:t xml:space="preserve"> </w:t>
      </w:r>
      <w:r>
        <w:rPr>
          <w:rFonts w:ascii="Times New Roman" w:hAnsi="Times New Roman"/>
          <w:b w:val="false"/>
          <w:color w:val="000000"/>
          <w:sz w:val="24"/>
        </w:rPr>
        <w:t>that the Restrictive Covenant Agreement shall not be superseded by this Agreement and the Executive acknowledges and agrees that such agreement remains in full force and effect other than as specified in Section 9(a).</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13. </w:t>
      </w:r>
      <w:r>
        <w:rPr>
          <w:rFonts w:ascii="Times New Roman" w:hAnsi="Times New Roman"/>
          <w:b w:val="false"/>
          <w:color w:val="000000"/>
          <w:sz w:val="24"/>
          <w:u w:val="single"/>
        </w:rPr>
        <w:t>Withholding</w:t>
      </w:r>
      <w:r>
        <w:rPr>
          <w:rFonts w:ascii="Times New Roman" w:hAnsi="Times New Roman"/>
          <w:b w:val="false"/>
          <w:color w:val="000000"/>
          <w:sz w:val="24"/>
        </w:rPr>
        <w:t>. All payments made by the Company to the Executive under this Agreement shall be net of any tax or other amounts required to be withheld by the Company under applicable law.</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14. </w:t>
      </w:r>
      <w:r>
        <w:rPr>
          <w:rFonts w:ascii="Times New Roman" w:hAnsi="Times New Roman"/>
          <w:b w:val="false"/>
          <w:color w:val="000000"/>
          <w:sz w:val="24"/>
          <w:u w:val="single"/>
        </w:rPr>
        <w:t>Enforceability</w:t>
      </w:r>
      <w:r>
        <w:rPr>
          <w:rFonts w:ascii="Times New Roman" w:hAnsi="Times New Roman"/>
          <w:b w:val="false"/>
          <w:color w:val="000000"/>
          <w:sz w:val="24"/>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15. </w:t>
      </w:r>
      <w:r>
        <w:rPr>
          <w:rFonts w:ascii="Times New Roman" w:hAnsi="Times New Roman"/>
          <w:b w:val="false"/>
          <w:color w:val="000000"/>
          <w:sz w:val="24"/>
          <w:u w:val="single"/>
        </w:rPr>
        <w:t>Survival</w:t>
      </w:r>
      <w:r>
        <w:rPr>
          <w:rFonts w:ascii="Times New Roman" w:hAnsi="Times New Roman"/>
          <w:b w:val="false"/>
          <w:color w:val="000000"/>
          <w:sz w:val="24"/>
        </w:rPr>
        <w:t>. The provisions of this Agreement shall survive the termination of this Agreement and/or the termination of the Executive’s employment to the extent necessary to effectuate the terms contained herein.</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16. </w:t>
      </w:r>
      <w:r>
        <w:rPr>
          <w:rFonts w:ascii="Times New Roman" w:hAnsi="Times New Roman"/>
          <w:b w:val="false"/>
          <w:color w:val="000000"/>
          <w:sz w:val="24"/>
          <w:u w:val="single"/>
        </w:rPr>
        <w:t>Waiver</w:t>
      </w:r>
      <w:r>
        <w:rPr>
          <w:rFonts w:ascii="Times New Roman" w:hAnsi="Times New Roman"/>
          <w:b w:val="false"/>
          <w:color w:val="000000"/>
          <w:sz w:val="24"/>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17. </w:t>
      </w:r>
      <w:r>
        <w:rPr>
          <w:rFonts w:ascii="Times New Roman" w:hAnsi="Times New Roman"/>
          <w:b w:val="false"/>
          <w:color w:val="000000"/>
          <w:sz w:val="24"/>
          <w:u w:val="single"/>
        </w:rPr>
        <w:t>Notices</w:t>
      </w:r>
      <w:r>
        <w:rPr>
          <w:rFonts w:ascii="Times New Roman" w:hAnsi="Times New Roman"/>
          <w:b w:val="false"/>
          <w:color w:val="000000"/>
          <w:sz w:val="24"/>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the Parent’s main offices, attention of the Chief Executive Officer.</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18. </w:t>
      </w:r>
      <w:r>
        <w:rPr>
          <w:rFonts w:ascii="Times New Roman" w:hAnsi="Times New Roman"/>
          <w:b w:val="false"/>
          <w:color w:val="000000"/>
          <w:sz w:val="24"/>
          <w:u w:val="single"/>
        </w:rPr>
        <w:t>Amendment</w:t>
      </w:r>
      <w:r>
        <w:rPr>
          <w:rFonts w:ascii="Times New Roman" w:hAnsi="Times New Roman"/>
          <w:b w:val="false"/>
          <w:color w:val="000000"/>
          <w:sz w:val="24"/>
        </w:rPr>
        <w:t>. This Agreement may be amended or modified only by a written instrument signed by the Executive and by a duly authorized representative of the Company (other than the Executive).</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19. </w:t>
      </w:r>
      <w:r>
        <w:rPr>
          <w:rFonts w:ascii="Times New Roman" w:hAnsi="Times New Roman"/>
          <w:b w:val="false"/>
          <w:color w:val="000000"/>
          <w:sz w:val="24"/>
          <w:u w:val="single"/>
        </w:rPr>
        <w:t>Other Plans and Agreements</w:t>
      </w:r>
      <w:r>
        <w:rPr>
          <w:rFonts w:ascii="Times New Roman" w:hAnsi="Times New Roman"/>
          <w:b w:val="false"/>
          <w:color w:val="000000"/>
          <w:sz w:val="24"/>
        </w:rPr>
        <w:t>. The Executive shall have no rights to any severance benefits under any Company severance pay plan, offer letter or otherwise (but shall have the rights set forth in Section 4 above). If the Executive is party to an agreement with the Company providing for payments or benefits under such agreement and this Agreement, the terms of this Agreement shall govern, and the Executive may receive payment under this Agreement only and not both.</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20. </w:t>
      </w:r>
      <w:r>
        <w:rPr>
          <w:rFonts w:ascii="Times New Roman" w:hAnsi="Times New Roman"/>
          <w:b w:val="false"/>
          <w:color w:val="000000"/>
          <w:sz w:val="24"/>
          <w:u w:val="single"/>
        </w:rPr>
        <w:t>Governing Law</w:t>
      </w:r>
      <w:r>
        <w:rPr>
          <w:rFonts w:ascii="Times New Roman" w:hAnsi="Times New Roman"/>
          <w:b w:val="false"/>
          <w:color w:val="000000"/>
          <w:sz w:val="24"/>
        </w:rPr>
        <w:t>. This is Agreement shall be construed under and be governed in all respects by the laws of Massachusetts, without giving effect to conflict of laws principles that would refer construction to the laws of another jurisdiction. With respect to any disputes concerning federal law, such disputes shall be determined in accordance with the law as it would be interpreted and applied by the United States Court of Appeals for the First Circuit.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21. </w:t>
      </w:r>
      <w:r>
        <w:rPr>
          <w:rFonts w:ascii="Times New Roman" w:hAnsi="Times New Roman"/>
          <w:b w:val="false"/>
          <w:color w:val="000000"/>
          <w:sz w:val="24"/>
          <w:u w:val="single"/>
        </w:rPr>
        <w:t>Assignment</w:t>
      </w:r>
      <w:r>
        <w:rPr>
          <w:rFonts w:ascii="Times New Roman" w:hAnsi="Times New Roman"/>
          <w:b w:val="false"/>
          <w:color w:val="000000"/>
          <w:sz w:val="24"/>
        </w:rPr>
        <w:t xml:space="preserve">. Neither the Executive nor the Company may make any assignment of this Agreement or any interest in it, by operation of law or otherwise, without the prior written consent of the other;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that the Company may assign its rights and obligations under this Agreement (including the Restrictive Covenant Agreement) without the Executive’s consent to any affiliate or to any person or entity with whom the Company shall hereafter effect a reorganization, consolidate with, or merge into or to whom it transfers all or substantially all of its capital stock, properties or assets. This Agreement shall inure to the benefit of and be binding upon the Executive and the Company, and each of the Executive’s and the Company’s respective successors, executors, administrators, heirs and permitted assigns.</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22. </w:t>
      </w:r>
      <w:r>
        <w:rPr>
          <w:rFonts w:ascii="Times New Roman" w:hAnsi="Times New Roman"/>
          <w:b w:val="false"/>
          <w:color w:val="000000"/>
          <w:sz w:val="24"/>
          <w:u w:val="single"/>
        </w:rPr>
        <w:t>Counterparts</w:t>
      </w:r>
      <w:r>
        <w:rPr>
          <w:rFonts w:ascii="Times New Roman" w:hAnsi="Times New Roman"/>
          <w:b w:val="false"/>
          <w:color w:val="000000"/>
          <w:sz w:val="24"/>
        </w:rPr>
        <w:t>. This Agreement may be executed in any number of counterparts, each of which when so executed and delivered shall be taken to be an original; but such counterparts shall together constitute one and the same document.</w:t>
      </w:r>
    </w:p>
    <w:p>
      <w:pPr>
        <w:pStyle w:val="Heading1"/>
        <w:bidi w:val="0"/>
        <w:spacing w:before="240" w:after="283"/>
        <w:jc w:val="both"/>
        <w:rPr>
          <w:rFonts w:ascii="Times New Roman" w:hAnsi="Times New Roman"/>
          <w:sz w:val="20"/>
        </w:rPr>
      </w:pPr>
      <w:r>
        <w:rPr>
          <w:rFonts w:ascii="Times New Roman" w:hAnsi="Times New Roman"/>
          <w:b w:val="false"/>
          <w:color w:val="000000"/>
          <w:sz w:val="24"/>
        </w:rPr>
        <w:t xml:space="preserve">23. </w:t>
      </w:r>
      <w:r>
        <w:rPr>
          <w:rFonts w:ascii="Times New Roman" w:hAnsi="Times New Roman"/>
          <w:b w:val="false"/>
          <w:color w:val="000000"/>
          <w:sz w:val="24"/>
          <w:u w:val="single"/>
        </w:rPr>
        <w:t>Legal Counsel</w:t>
      </w:r>
      <w:r>
        <w:rPr>
          <w:rFonts w:ascii="Times New Roman" w:hAnsi="Times New Roman"/>
          <w:b w:val="false"/>
          <w:color w:val="000000"/>
          <w:sz w:val="24"/>
        </w:rPr>
        <w:t>. By signing below, the Executive acknowledges that the Executive</w:t>
      </w:r>
      <w:r>
        <w:rPr>
          <w:rFonts w:ascii="Times New Roman" w:hAnsi="Times New Roman"/>
          <w:color w:val="000000"/>
          <w:sz w:val="20"/>
          <w:u w:val="single"/>
        </w:rPr>
        <w:t xml:space="preserve"> </w:t>
      </w:r>
      <w:r>
        <w:rPr>
          <w:rFonts w:ascii="Times New Roman" w:hAnsi="Times New Roman"/>
          <w:b w:val="false"/>
          <w:color w:val="000000"/>
          <w:sz w:val="24"/>
        </w:rPr>
        <w:t>has been advised by the Company to seek independent legal counsel with respect to this Agreement and that the Executive has had the opportunity to seek the advice of independent legal counsel prior to signing this Agreement. By signing below, the Executive represents that the Executive has read and understands all of the terms and provisions of this Agreement. This Agreement shall not be construed against any party hereof by reason of the drafting or preparation hereof.</w:t>
      </w:r>
    </w:p>
    <w:p>
      <w:pPr>
        <w:pStyle w:val="TextBody"/>
        <w:bidi w:val="0"/>
        <w:spacing w:before="240" w:after="283"/>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4"/>
        </w:rPr>
        <w:t>IN WITNESS WHEREOF, the parties have executed this Agreement as of the last date listed below to be effective as of the Effective Date.</w:t>
      </w:r>
      <w:r>
        <w:rPr>
          <w:rFonts w:ascii="Times New Roman" w:hAnsi="Times New Roman"/>
          <w:color w:val="000000"/>
          <w:sz w:val="20"/>
        </w:rPr>
        <w:t xml:space="preserve"> </w:t>
      </w:r>
    </w:p>
    <w:p>
      <w:pPr>
        <w:pStyle w:val="TextBody"/>
        <w:bidi w:val="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4"/>
              </w:rPr>
            </w:pPr>
            <w:r>
              <w:rPr>
                <w:rFonts w:ascii="Times New Roman" w:hAnsi="Times New Roman"/>
                <w:caps/>
                <w:color w:val="000000"/>
                <w:sz w:val="24"/>
              </w:rPr>
              <w:t>ODYSSEY THERAPEUTICS, INC.</w:t>
            </w:r>
          </w:p>
        </w:tc>
      </w:tr>
      <w:tr>
        <w:trPr/>
        <w:tc>
          <w:tcPr>
            <w:tcW w:w="3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Jeffrey M. Leiden</w:t>
            </w:r>
          </w:p>
        </w:tc>
      </w:tr>
      <w:tr>
        <w:trPr/>
        <w:tc>
          <w:tcPr>
            <w:tcW w:w="3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Jeffrey M. Leiden</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Chairman, Board of Directors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4/28/2026</w:t>
            </w:r>
          </w:p>
        </w:tc>
      </w:tr>
    </w:tbl>
    <w:p>
      <w:pPr>
        <w:pStyle w:val="TextBody"/>
        <w:bidi w:val="0"/>
        <w:jc w:val="left"/>
        <w:rPr/>
      </w:pPr>
      <w:r>
        <w:rPr/>
        <w:t> </w:t>
      </w:r>
    </w:p>
    <w:p>
      <w:pPr>
        <w:pStyle w:val="TextBody"/>
        <w:bidi w:val="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283"/>
              <w:jc w:val="left"/>
              <w:rPr>
                <w:sz w:val="4"/>
                <w:szCs w:val="4"/>
              </w:rPr>
            </w:pPr>
            <w:r>
              <w:rPr>
                <w:sz w:val="4"/>
                <w:szCs w:val="4"/>
              </w:rPr>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EXECUTIVE</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Gary D. Glick</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Gary D. Glick</w:t>
            </w:r>
          </w:p>
        </w:tc>
      </w:tr>
      <w:tr>
        <w:trPr/>
        <w:tc>
          <w:tcPr>
            <w:tcW w:w="1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4/28/2026</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8" w:name="odtx-ex10_6.htm"/>
      <w:bookmarkStart w:id="49" w:name="ksodtxex10_6"/>
      <w:bookmarkEnd w:id="48"/>
      <w:bookmarkEnd w:id="49"/>
      <w:r>
        <w:rPr>
          <w:rFonts w:ascii="Times New Roman" w:hAnsi="Times New Roman"/>
          <w:b/>
          <w:color w:val="000000"/>
          <w:sz w:val="24"/>
        </w:rPr>
        <w:t>Exhibit 10.6</w:t>
      </w:r>
      <w:r>
        <w:br w:type="page"/>
      </w:r>
    </w:p>
    <w:p>
      <w:pPr>
        <w:pStyle w:val="TextBody"/>
        <w:bidi w:val="0"/>
        <w:spacing w:before="240" w:after="283"/>
        <w:jc w:val="right"/>
        <w:rPr>
          <w:rFonts w:ascii="Times New Roman" w:hAnsi="Times New Roman"/>
          <w:b/>
          <w:i/>
          <w:color w:val="000000"/>
          <w:sz w:val="24"/>
        </w:rPr>
      </w:pPr>
      <w:r>
        <w:rPr>
          <w:rFonts w:ascii="Times New Roman" w:hAnsi="Times New Roman"/>
          <w:b/>
          <w:i/>
          <w:color w:val="000000"/>
          <w:sz w:val="24"/>
        </w:rPr>
        <w:t>Final Form</w:t>
      </w:r>
    </w:p>
    <w:p>
      <w:pPr>
        <w:pStyle w:val="TextBody"/>
        <w:bidi w:val="0"/>
        <w:jc w:val="center"/>
        <w:rPr>
          <w:rFonts w:ascii="Times New Roman" w:hAnsi="Times New Roman"/>
          <w:b/>
          <w:caps/>
          <w:color w:val="000000"/>
          <w:sz w:val="24"/>
        </w:rPr>
      </w:pPr>
      <w:r>
        <w:rPr>
          <w:rFonts w:ascii="Times New Roman" w:hAnsi="Times New Roman"/>
          <w:b/>
          <w:caps/>
          <w:color w:val="000000"/>
          <w:sz w:val="24"/>
        </w:rPr>
        <w:t>FORM OF EXECUTIVE EMPLOYMENT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 Executive Employment Agreement (this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made by and between Odyssey Therapeutics,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together with any parent company, any and all direct or indirect subsidiaries of the Company, and their affiliates, in each case, existing now or in the future, “</w:t>
      </w:r>
      <w:r>
        <w:rPr>
          <w:rFonts w:ascii="Times New Roman" w:hAnsi="Times New Roman"/>
          <w:b/>
          <w:color w:val="000000"/>
          <w:sz w:val="24"/>
        </w:rPr>
        <w:t>Odyssey</w:t>
      </w:r>
      <w:r>
        <w:rPr>
          <w:rFonts w:ascii="Times New Roman" w:hAnsi="Times New Roman"/>
          <w:color w:val="000000"/>
          <w:sz w:val="20"/>
        </w:rPr>
        <w:t>”</w:t>
      </w:r>
      <w:r>
        <w:rPr>
          <w:rFonts w:ascii="Times New Roman" w:hAnsi="Times New Roman"/>
          <w:color w:val="000000"/>
          <w:sz w:val="24"/>
        </w:rPr>
        <w:t>), and [●] (the “</w:t>
      </w:r>
      <w:r>
        <w:rPr>
          <w:rFonts w:ascii="Times New Roman" w:hAnsi="Times New Roman"/>
          <w:b/>
          <w:color w:val="000000"/>
          <w:sz w:val="24"/>
        </w:rPr>
        <w:t>Executive</w:t>
      </w:r>
      <w:r>
        <w:rPr>
          <w:rFonts w:ascii="Times New Roman" w:hAnsi="Times New Roman"/>
          <w:color w:val="000000"/>
          <w:sz w:val="20"/>
        </w:rPr>
        <w:t>”</w:t>
      </w:r>
      <w:r>
        <w:rPr>
          <w:rFonts w:ascii="Times New Roman" w:hAnsi="Times New Roman"/>
          <w:color w:val="000000"/>
          <w:sz w:val="24"/>
        </w:rPr>
        <w:t>), and shall become effective as of, and conditional upon, the day prior to the Public Trading Date (as defined below) (such date,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WHEREAS, the Company and the Executive are parties to a letter agreement, dated [●], 20[●] (the “</w:t>
      </w:r>
      <w:r>
        <w:rPr>
          <w:rFonts w:ascii="Times New Roman" w:hAnsi="Times New Roman"/>
          <w:b/>
          <w:color w:val="000000"/>
          <w:sz w:val="24"/>
        </w:rPr>
        <w:t>Letter Agreement</w:t>
      </w:r>
      <w:r>
        <w:rPr>
          <w:rFonts w:ascii="Times New Roman" w:hAnsi="Times New Roman"/>
          <w:color w:val="000000"/>
          <w:sz w:val="20"/>
        </w:rPr>
        <w:t>”</w:t>
      </w:r>
      <w:r>
        <w:rPr>
          <w:rFonts w:ascii="Times New Roman" w:hAnsi="Times New Roman"/>
          <w:color w:val="000000"/>
          <w:sz w:val="24"/>
        </w:rPr>
        <w:t>), and a Confidentiality and Assignment of Inventions Agreement, dated [●], 20[●] (the “</w:t>
      </w:r>
      <w:r>
        <w:rPr>
          <w:rFonts w:ascii="Times New Roman" w:hAnsi="Times New Roman"/>
          <w:b/>
          <w:color w:val="000000"/>
          <w:sz w:val="24"/>
        </w:rPr>
        <w:t>Restrictive Covenant Agreement</w:t>
      </w:r>
      <w:r>
        <w:rPr>
          <w:rFonts w:ascii="Times New Roman" w:hAnsi="Times New Roman"/>
          <w:color w:val="000000"/>
          <w:sz w:val="20"/>
        </w:rPr>
        <w:t>”</w:t>
      </w:r>
      <w:r>
        <w:rPr>
          <w:rFonts w:ascii="Times New Roman" w:hAnsi="Times New Roman"/>
          <w:color w:val="000000"/>
          <w:sz w:val="24"/>
        </w:rPr>
        <w:t>); and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WHEREAS, the Company and the Executive desire to enter into this Agreement to supersede the Letter Agreement and set forth certain terms and conditions of the Executive’s continued employment, effective as of the Effective Date,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Restrictive Covenant Agreement shall remain in effect.</w:t>
      </w:r>
    </w:p>
    <w:p>
      <w:pPr>
        <w:pStyle w:val="TextBody"/>
        <w:bidi w:val="0"/>
        <w:spacing w:before="240" w:after="283"/>
        <w:jc w:val="both"/>
        <w:rPr>
          <w:rFonts w:ascii="Times New Roman" w:hAnsi="Times New Roman"/>
          <w:sz w:val="20"/>
        </w:rPr>
      </w:pPr>
      <w:r>
        <w:rPr>
          <w:rFonts w:ascii="Times New Roman" w:hAnsi="Times New Roman"/>
          <w:color w:val="000000"/>
          <w:sz w:val="24"/>
        </w:rPr>
        <w:t>NOW, THEREFORE,</w:t>
      </w:r>
      <w:r>
        <w:rPr>
          <w:rFonts w:ascii="Times New Roman" w:hAnsi="Times New Roman"/>
          <w:color w:val="000000"/>
          <w:sz w:val="20"/>
        </w:rPr>
        <w:t xml:space="preserve"> </w:t>
      </w:r>
      <w:r>
        <w:rPr>
          <w:rFonts w:ascii="Times New Roman" w:hAnsi="Times New Roman"/>
          <w:color w:val="000000"/>
          <w:sz w:val="24"/>
        </w:rPr>
        <w:t>in consideration of the mutual covenants and agreements herein contained and other good and valuable consideration, the receipt and sufficiency of which is hereby acknowledged, the parties agree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Employment and Position</w:t>
      </w:r>
      <w:r>
        <w:rPr>
          <w:rFonts w:ascii="Times New Roman" w:hAnsi="Times New Roman"/>
          <w:color w:val="000000"/>
          <w:sz w:val="24"/>
        </w:rPr>
        <w:t>. The Executive’s employment with the Company will be “at will,” meaning that the Executive’s employment may be terminated by the Company or the Executive at any time and for any reason subject to the terms of this Agreement. The Executive shall initially serve as the Company’s [●], reporting to Odyssey’s Chief Executive Officer. The Executive shall devote the Executive’s full working time and efforts to the business and affairs of Odyssey. Notwithstanding the foregoing, (i) [subject to prior written approval of Odyssey’s Chief Executive Officer,]</w:t>
      </w:r>
      <w:r>
        <w:rPr>
          <w:color w:val="000000"/>
        </w:rPr>
        <w:t xml:space="preserve"> </w:t>
      </w:r>
      <w:r>
        <w:rPr>
          <w:rFonts w:ascii="Times New Roman" w:hAnsi="Times New Roman"/>
          <w:color w:val="000000"/>
          <w:sz w:val="24"/>
        </w:rPr>
        <w:t>the Executive may serve on the board of directors of [one other company][●],</w:t>
      </w:r>
      <w:r>
        <w:rPr>
          <w:color w:val="000000"/>
        </w:rPr>
        <w:t xml:space="preserv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such service does not create a conflict of interest with Odyssey, and (ii) the Executive may engage in religious, charitable or other community activities, in each case to the extent that such activities in clauses (i) and (ii) do not create a conflict of interest or interfere, individually or in the aggregate, with the Executive’s performance of the Executive’s duties to Odyssey or otherwise result in a violation of this Agreement, the Restrictive Covenant Agreement or any policy of Odyssey. [The Executive may continue to work remotely, subject to Odyssey’s remote working arrangements, as in effect from time to time.]</w:t>
      </w:r>
      <w:r>
        <w:rPr>
          <w:rFonts w:ascii="Times New Roman" w:hAnsi="Times New Roman"/>
          <w:color w:val="000000"/>
          <w:sz w:val="16"/>
        </w:rPr>
        <w:t>1</w:t>
      </w:r>
      <w:r>
        <w:rPr>
          <w:rFonts w:ascii="Times New Roman" w:hAnsi="Times New Roman"/>
          <w:color w:val="000000"/>
          <w:sz w:val="24"/>
        </w:rPr>
        <w:t>[The Executive shall be required to attend meetings in-person at such other location(s) within the continental United States, as determined by the Company’s Chief Executive Officer, no less than five (5) business days per calendar month, with travel expenses to be eligible for reimbursement in accordance with the Company’s policies, as in effect from time to time.]</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Note to Draft: For Executives with an approved remote work arrangement.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Compensation and Related Matters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Base Salary</w:t>
      </w:r>
      <w:r>
        <w:rPr>
          <w:rFonts w:ascii="Times New Roman" w:hAnsi="Times New Roman"/>
          <w:color w:val="000000"/>
          <w:sz w:val="24"/>
        </w:rPr>
        <w:t xml:space="preserve">. The Executive’s initial base salary rate shall be $[●] per annum, subject to periodic review and adjustment by the Board, or the compensation committee thereof, in its sole discretion. The Executive’s base salary in effect at any given time is referred to herein as “Base Salary.” The Base Salary shall be payable in a manner that is consistent with the Company’s usual payroll practices.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Annual Bonus</w:t>
      </w:r>
      <w:r>
        <w:rPr>
          <w:rFonts w:ascii="Times New Roman" w:hAnsi="Times New Roman"/>
          <w:color w:val="000000"/>
          <w:sz w:val="24"/>
        </w:rPr>
        <w:t>. The Executive shall be eligible to receive an annual cash bonus (an “Annual Bonus”) in accordance with Odyssey’s annual bonus plan, policy or program as in effect from time to time. The Executive’s target Annual Bonus amount shall be [●]% (as such percentage may be increased from time to time) of Base Salary subject to the achievement of corporate goals and individual goals, if any. For the avoidance of doubt, if the Executive’s target percentage and/or Base Salary increase during the year, the target Annual Bonus will be the weighted average of the target for that year. The actual amount of any Annual Bonus will be determined by the Board, or the compensation committee thereof, in its sole discretion. Any Annual Bonus shall be paid to the Executive no later than March 15 of the year following the year in which it is earned, and, except as set forth below, as otherwise provided in any applicable annual bonus plan or policy or as otherwise determined by the Company, the Executive must be employed on the payment date to receive any Annual Bonus. [If this Agreement is entered into in connection with the commencement of the Executive’s employment with Odyssey, the Executive’s Annual Bonus, if any, for such year shall be prorated based on the date on which the Executive commenced employment with Odyssey.]</w:t>
      </w:r>
      <w:r>
        <w:rPr>
          <w:rFonts w:ascii="Times New Roman" w:hAnsi="Times New Roman"/>
          <w:color w:val="000000"/>
          <w:sz w:val="16"/>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Expenses</w:t>
      </w:r>
      <w:r>
        <w:rPr>
          <w:rFonts w:ascii="Times New Roman" w:hAnsi="Times New Roman"/>
          <w:color w:val="000000"/>
          <w:sz w:val="24"/>
        </w:rPr>
        <w:t xml:space="preserve">. The Executive shall be entitled to reimbursement for all travel and other reasonable expenses incurred by the Executive in performing services hereunder, in accordance with the policies and procedures then in effect and established by Odyssey.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Other Benefits</w:t>
      </w:r>
      <w:r>
        <w:rPr>
          <w:rFonts w:ascii="Times New Roman" w:hAnsi="Times New Roman"/>
          <w:color w:val="000000"/>
          <w:sz w:val="24"/>
        </w:rPr>
        <w:t>. The Executive shall be eligible to participate in or receive benefits under the Company’s employee benefit plans in effect from time to time on substantially the same basis as other senior management employees (excepting any legally required or jurisdiction-specific variations), subject to the terms and conditions of such plans. The Company reserves the right to amend or terminate its plans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Paid Time Off</w:t>
      </w:r>
      <w:r>
        <w:rPr>
          <w:rFonts w:ascii="Times New Roman" w:hAnsi="Times New Roman"/>
          <w:color w:val="000000"/>
          <w:sz w:val="24"/>
        </w:rPr>
        <w:t xml:space="preserve">. The Executive shall be entitled to paid vacation in accordance with the Company’s vacation policy as in effect from time to time and to all paid holidays given by the Company to its executives.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Note to Draft: For new hires.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Equity Plan</w:t>
      </w:r>
      <w:r>
        <w:rPr>
          <w:rFonts w:ascii="Times New Roman" w:hAnsi="Times New Roman"/>
          <w:color w:val="000000"/>
          <w:sz w:val="24"/>
        </w:rPr>
        <w:t>. The Executive shall be eligible to participate in Odyssey’s equity incentive plan, subject to approval by the Board, the terms of the plan document, and the Executive entering into any award agreements. Any awards shall be subject to vesting and other conditions required by the applicable plan document or award agreement and/or as determined by the Board in its sole discretion. Except as provided for in Section 4(b)(iii), nothing in this Agreement shall amend the terms of any equity incentive awards the Executives holds as of the Effective Date.</w:t>
      </w:r>
      <w:r>
        <w:rPr>
          <w:color w:val="000000"/>
        </w:rPr>
        <w:t xml:space="preserve"> </w:t>
      </w:r>
      <w:r>
        <w:rPr>
          <w:rFonts w:ascii="Times New Roman" w:hAnsi="Times New Roman"/>
          <w:color w:val="000000"/>
          <w:sz w:val="24"/>
        </w:rPr>
        <w:t>[Upon the closing of a transaction that the Executive leads involving the out-license or partnering of Company intellectual property or other Company assets whereby the Company receives an unrestricted upfront payment no less than $[●] (such closing, the “Applicable Closing”), the Executive will be granted an option to purchase [●] shares of common stock of the Company (subject to adjustment to reflect any stock splits, reverse splits, or similar changes after the date this Agreement is signed and prior to grant) (such option, the “Deal Equity Award”). Any Deal Equity Award will be granted at the first Board meeting following the Applicable Closing and will vest in [●], subject to the Executive’s continuous service from the grant date through the applicable vesting date. For the avoidance of doubt, the Executive must be employed by the Company on the grant date to receive the Deal Equity Award. Any Deal Equity Award will be subject to the terms and conditions of the applicable equity incentive plan document and the applicable award agreement.]</w:t>
      </w:r>
      <w:r>
        <w:rPr>
          <w:rFonts w:ascii="Times New Roman" w:hAnsi="Times New Roman"/>
          <w:color w:val="000000"/>
          <w:sz w:val="16"/>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Termination</w:t>
      </w:r>
      <w:r>
        <w:rPr>
          <w:rFonts w:ascii="Times New Roman" w:hAnsi="Times New Roman"/>
          <w:color w:val="000000"/>
          <w:sz w:val="24"/>
        </w:rPr>
        <w:t>. The period commencing on the Effective Date and ending on the applicable Date of Termination (as defined below) shall be referred to herein as the “Term.” During the Term, the Executive’s employment hereunder may be terminated without any breach of this Agreement under the following circumstances: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Death</w:t>
      </w:r>
      <w:r>
        <w:rPr>
          <w:rFonts w:ascii="Times New Roman" w:hAnsi="Times New Roman"/>
          <w:color w:val="000000"/>
          <w:sz w:val="24"/>
        </w:rPr>
        <w:t>. The Executive’s employment hereunder shall automatically terminate upon the Executive’s death.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Disability</w:t>
      </w:r>
      <w:r>
        <w:rPr>
          <w:rFonts w:ascii="Times New Roman" w:hAnsi="Times New Roman"/>
          <w:color w:val="000000"/>
          <w:sz w:val="24"/>
        </w:rPr>
        <w:t xml:space="preserve">. The Company may terminate the Executive’s employment due to the Executive’s Disability (as defined below).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Termination by Company for Cause</w:t>
      </w:r>
      <w:r>
        <w:rPr>
          <w:rFonts w:ascii="Times New Roman" w:hAnsi="Times New Roman"/>
          <w:color w:val="000000"/>
          <w:sz w:val="24"/>
        </w:rPr>
        <w:t xml:space="preserve">. The Company may terminate the Executive’s employment hereunder for Cause (as defined below).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Termination Without Cause</w:t>
      </w:r>
      <w:r>
        <w:rPr>
          <w:rFonts w:ascii="Times New Roman" w:hAnsi="Times New Roman"/>
          <w:color w:val="000000"/>
          <w:sz w:val="24"/>
        </w:rPr>
        <w:t>. The Company may terminate the Executive’s employment hereunder at any time without Cause. Any termination by the Company of the Executive’s employment under this Agreement that does not constitute a termination for Cause under Section 3(c) and does not result from the death or Disability of the Executive under Section 3(a) or 3(b) shall be deemed a termination without Cause.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Resignation by the Executive</w:t>
      </w:r>
      <w:r>
        <w:rPr>
          <w:rFonts w:ascii="Times New Roman" w:hAnsi="Times New Roman"/>
          <w:color w:val="000000"/>
          <w:sz w:val="24"/>
        </w:rPr>
        <w:t xml:space="preserve">. The Executive may resign the Executive’s employment hereunder at any time for any reason, including for Good Reason (as defined below).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Notice of Termination</w:t>
      </w:r>
      <w:r>
        <w:rPr>
          <w:rFonts w:ascii="Times New Roman" w:hAnsi="Times New Roman"/>
          <w:color w:val="000000"/>
          <w:sz w:val="24"/>
        </w:rPr>
        <w:t xml:space="preserve">. Except for termination as specified in Section 3(a), any termination of the Executive’s employment by the Company or any such resignation by the Executive shall be communicated by written Notice of Termination to the other party hereto. For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w:t>
      </w:r>
      <w:r>
        <w:rPr>
          <w:rFonts w:ascii="Times New Roman" w:hAnsi="Times New Roman"/>
          <w:b/>
          <w:color w:val="000000"/>
          <w:sz w:val="20"/>
        </w:rPr>
        <w:t>Note to Draft</w:t>
      </w:r>
      <w:r>
        <w:rPr>
          <w:rFonts w:ascii="Times New Roman" w:hAnsi="Times New Roman"/>
          <w:color w:val="000000"/>
          <w:sz w:val="20"/>
        </w:rPr>
        <w:t xml:space="preserve">: For Senior Vice President, Strategy and Business Development.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purposes of this Agreement, a “Notice of Termination” shall mean a notice that shall indicate the specific termination provision in this Agreement being relied upon.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Date of Termination</w:t>
      </w:r>
      <w:r>
        <w:rPr>
          <w:rFonts w:ascii="Times New Roman" w:hAnsi="Times New Roman"/>
          <w:color w:val="000000"/>
          <w:sz w:val="24"/>
        </w:rPr>
        <w:t xml:space="preserve">. “Date of Termination” shall mean: (i) if the Executive’s employment is terminated by the Executive’s death, the date of death; (ii) if the Executive’s employment is terminated on account of Disability under Section 3(b) or by the Company for Cause under Section 3(c) or without Cause under Section 3(d), the date on which Notice of Termination is given unless another date is specified by the Company; (iii) if the Executive resigns from employment under Section 3(e) other than for Good Reason, thirty (30) days after the date on which the Notice of Termination is given; and (v) if the Executive resigns from employment under Section 3(e) for Good Reason, sixty (60) days after the date on which a Notice of Termination is given,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grounds for Good Reason have not been cured, as described in Section 5(e), and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the Executive may withdraw a Notice of Termination prior to such sixtieth (60</w:t>
      </w:r>
      <w:r>
        <w:rPr>
          <w:rFonts w:ascii="Times New Roman" w:hAnsi="Times New Roman"/>
          <w:color w:val="000000"/>
          <w:sz w:val="16"/>
        </w:rPr>
        <w:t>th</w:t>
      </w:r>
      <w:r>
        <w:rPr>
          <w:rFonts w:ascii="Times New Roman" w:hAnsi="Times New Roman"/>
          <w:color w:val="000000"/>
          <w:sz w:val="24"/>
        </w:rPr>
        <w:t>) date. Notwithstanding the foregoing, if the Executive gives a Notice of Termination to the Company other than for Good Reason, the Company may unilaterally accelerate the Date of Termination and pay the Executive’s salary for the remainder of the notice period, and such acceleration shall not result in a termination by the Company for purposes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u w:val="single"/>
        </w:rPr>
        <w:t>Resignations</w:t>
      </w:r>
      <w:r>
        <w:rPr>
          <w:rFonts w:ascii="Times New Roman" w:hAnsi="Times New Roman"/>
          <w:color w:val="000000"/>
          <w:sz w:val="24"/>
        </w:rPr>
        <w:t xml:space="preserve">. To the extent applicable, the Executive shall be deemed to have resigned from all officer and board member positions that the Executive holds with Odyssey upon the termination of the Executive’s employment for any reason. The Executive shall execute any documents in reasonable form as may be reasonably requested by the Company to confirm or effectuate any such resignations.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Compensation Upon Termination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Termination Generally</w:t>
      </w:r>
      <w:r>
        <w:rPr>
          <w:rFonts w:ascii="Times New Roman" w:hAnsi="Times New Roman"/>
          <w:color w:val="000000"/>
          <w:sz w:val="24"/>
        </w:rPr>
        <w:t xml:space="preserve">. If the Executive’s employment with the Company is terminated for any reason, the Company shall pay or provide to the Executive (or to the Executive’s authorized representative or estate) (i) any Base Salary earned through the Date of Termination, unpaid expense reimbursements (subject to, and in accordance with, Section 2(c) of this Agreement) and accrued and unused vacation, if any, through the Date of Termination; (ii) if the Executive’s employment terminates following the end of a calendar year and before Annual Bonuses for such prior calendar year are paid, any unpaid Annual Bonus in respect of such prior calendar year, which Annual Bonus shall be calculated in the same manner that is used to calculate bonuses for the Company’s other employees, paid as soon as practicable after the Date of Termination but no later than March 15th of the year of termination; provided, however, that no such Annual Bonus will be paid if the termination was by the Company for Cause or occurred at a time that Cause existed; and (iii) any vested benefits the Executive may have under any employee benefit plan or program of the Company through the Date of Termination, which vested benefits shall be paid and/or provided in accordance with the terms of such employee benefit plans and programs.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Additional Compensation upon Termination by the Company without Cause or by the Executive for Good Reason</w:t>
      </w:r>
      <w:r>
        <w:rPr>
          <w:rFonts w:ascii="Times New Roman" w:hAnsi="Times New Roman"/>
          <w:color w:val="000000"/>
          <w:sz w:val="24"/>
        </w:rPr>
        <w:t xml:space="preserve">. If the Company terminates Executive’s employment without Cause or the Executive resigns for Good Reason, then, subject to [(x)] the Executive signing, not revoking and complying with a separation agreement containing, among other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provisions, a general release of claims in favor of the Company and related persons and entities, in a form and manner reasonably satisfactory to the Company (the “Separation Agreement and Release”) and the Separation Agreement and Release becoming irrevocable, all within sixty (60) days after the Date of Termination (or such shorter period as set forth in the Separation Agreement and Release) [and (y) if such termination is by the Company without Cause, the Executive agreeing to extend the Non-Compete Period (as defined in the Restrictive Covenant Agreement) until the 12-month anniversary of the Date of Termination and such agreement becoming irrevocable, all within sixty (60) days after the Date of Termination (or such shorter period as set forth in the Separation Agreement and Release)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Executive shall have had seven (7) business days to revoke such agreement)]</w:t>
      </w:r>
      <w:r>
        <w:rPr>
          <w:rFonts w:ascii="Times New Roman" w:hAnsi="Times New Roman"/>
          <w:color w:val="000000"/>
          <w:sz w:val="16"/>
        </w:rPr>
        <w:t>4</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Company will continue to pay the Executive’s Base Salary for [●] months following the Date of Termination (such period, the “Severance Period”), in accordance with the Company’s normal payroll practices[, and the Company may, in its sole discretion and subject to receipt of the recommendation of the Board or the compensation committee thereof, pay the Executive a pro rata portion of the Executive’s Annual Bonus at such time as the Company determines but in any event no later than March 15 of the year following the year in which the Executive’s employment ends];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Executive was participating in the Company’s group health, dental and/or vision plans immediately prior to the Date of Termination and elects COBRA health continuation, then the Company shall pay the full amount of any monthly COBRA premiums for the Executive and the Executive’s eligible dependents until the earliest of the following: (A) the end of the Severance Period; (B) the Executive’s eligibility for group health coverage through other employment; or (C) the end of the Executive’s eligibility under COBRA for continuation coverage for health care. Notwithstanding the foregoing, if the Company determines at any time that its payments pursuant to this paragraph or the benefits under the Company’s health plan may be taxable income to the Executive, or such payments may otherwise result in a violation of applicable nondiscrimination requirements, it may convert such payments to payroll payments directly to the Executive on the Company’s regular payroll dates, which shall be subject to tax-related deductions and withholdings;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Executive’s Date of Termination is within the Change-in-Control Period, any equity incentive awards held by the Executive that have not vested shall vest as of the Date of Termination (or, if later, as of a Change in Control), with any time- or service-based vesting conditions deemed to be satisfied and (unless otherwise specified in the award agreement) any performance-based vesting conditions deemed to be satisfied at their target achievement levels.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 xml:space="preserve">Any termination or forfeiture of any unvested equity awards eligible for the acceleration of vesting pursuant to Section 4(b)(iii) that otherwise would occur on or within the three (3) month period following the Executive’s Date of Termination will be delayed until the end of such three (3) month period (but, in the case of any stock option, not later than the expiration date of such stock option specified in the applicable option agreement) and will only occur to the extent such equity awards do not vest pursuant to Section 4(b)(iii) and, for purposes of clarity, no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w:t>
      </w:r>
      <w:r>
        <w:rPr>
          <w:rFonts w:ascii="Times New Roman" w:hAnsi="Times New Roman"/>
          <w:b/>
          <w:color w:val="000000"/>
          <w:sz w:val="20"/>
        </w:rPr>
        <w:t>Note to Draft</w:t>
      </w:r>
      <w:r>
        <w:rPr>
          <w:rFonts w:ascii="Times New Roman" w:hAnsi="Times New Roman"/>
          <w:color w:val="000000"/>
          <w:sz w:val="20"/>
        </w:rPr>
        <w:t>: For executives based in Massachusetts.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additional vesting of any equity awards shall occur during such three (3) month period, except pursuant to Section 4(b)(iii).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Certain Definitions</w:t>
      </w:r>
      <w:r>
        <w:rPr>
          <w:rFonts w:ascii="Times New Roman" w:hAnsi="Times New Roman"/>
          <w:color w:val="000000"/>
          <w:sz w:val="24"/>
        </w:rPr>
        <w:t>. As used in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color w:val="000000"/>
        </w:rPr>
        <w:t>“</w:t>
      </w:r>
      <w:r>
        <w:rPr>
          <w:rFonts w:ascii="Times New Roman" w:hAnsi="Times New Roman"/>
          <w:color w:val="000000"/>
          <w:sz w:val="24"/>
        </w:rPr>
        <w:t xml:space="preserve">Cause” means any of the following, based on a reasonable good faith determination by the Board, the Executive’s: (i) conduct constituting a material act of misconduct in connection with the performance of the Executive’s duties, including, without limitation, misappropriation of funds or property of Odyssey other than the occasional, customary and </w:t>
      </w:r>
      <w:r>
        <w:rPr>
          <w:rFonts w:ascii="Times New Roman" w:hAnsi="Times New Roman"/>
          <w:i/>
          <w:color w:val="000000"/>
          <w:sz w:val="24"/>
        </w:rPr>
        <w:t>de minimis</w:t>
      </w:r>
      <w:r>
        <w:rPr>
          <w:color w:val="000000"/>
        </w:rPr>
        <w:t xml:space="preserve"> </w:t>
      </w:r>
      <w:r>
        <w:rPr>
          <w:rFonts w:ascii="Times New Roman" w:hAnsi="Times New Roman"/>
          <w:color w:val="000000"/>
          <w:sz w:val="24"/>
        </w:rPr>
        <w:t>use of Odyssey property for personal purposes; (ii) the commission of any felony or a misdemeanor involving moral turpitude, deceit, dishonesty or fraud, or conduct that would reasonably be expected to result in material economic injury or material reputational harm to Odyssey if the Executive were retained in the Executive’s position; (iii) willful and intentional continued non-performance of the Executive’s duties hereunder (other than by reason of the Executive’s physical or mental illness, incapacity or disability) that has continued for more than thirty (30) days following written notice from the Board of such willful and intentional continued non-performance; (iv) a material breach of any of the provisions contained in Section 9 of this Agreement or of the Restrictive Covenant Agreement; (v) a material violation of Odyssey’s written employment or corporate governance policies; or (vi) the failure to reasonably cooperate with a bona fide internal investigation or an investigation by regulatory or law enforcement authorities after being instructed by Odyssey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color w:val="000000"/>
        </w:rPr>
        <w:t>“</w:t>
      </w:r>
      <w:r>
        <w:rPr>
          <w:rFonts w:ascii="Times New Roman" w:hAnsi="Times New Roman"/>
          <w:color w:val="000000"/>
          <w:sz w:val="24"/>
        </w:rPr>
        <w:t xml:space="preserve">Change in Control” shall have the same meaning as “Corporate Transaction” set forth in the Odyssey Therapeutics, Inc. 2026 Long-Term Incentive Plan as of such plan’s original effective date;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to the extent necessary to avoid a violation of Section 409A of the Internal Revenue Code of 1986, as amended (the “Code”), a transaction shall be a Change in Control for purposes of this Agreement only if such agreement is a change in ownership or effective control, or change in the ownership of a substantial portion of the assets of a corporation, as defined in Treas. Reg. § 1.409A-3(i)(5).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color w:val="000000"/>
        </w:rPr>
      </w:pPr>
      <w:r>
        <w:rPr>
          <w:color w:val="000000"/>
        </w:rPr>
        <w:t>“</w:t>
      </w:r>
      <w:r>
        <w:rPr>
          <w:rFonts w:ascii="Times New Roman" w:hAnsi="Times New Roman"/>
          <w:color w:val="000000"/>
          <w:sz w:val="24"/>
        </w:rPr>
        <w:t>Change-in-Control Period” means the period beginning three (3) months prior to a Change in Control and ending on the twelve (12)-month anniversary of such Change in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color w:val="000000"/>
        </w:rPr>
      </w:pPr>
      <w:r>
        <w:rPr>
          <w:color w:val="000000"/>
        </w:rPr>
        <w:t>“</w:t>
      </w:r>
      <w:r>
        <w:rPr>
          <w:rFonts w:ascii="Times New Roman" w:hAnsi="Times New Roman"/>
          <w:color w:val="000000"/>
          <w:sz w:val="24"/>
        </w:rPr>
        <w:t>Disability” means the inability of the Executive to engage in any substantial gainful activity by reason of any medically determinable physical or mental impairment that can be expected to result in death or can be expected to last for a continuous period of not less than 12 months as provided in sections 22(e)(3) and 409A(a)(2)(c)(i) of the Code.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color w:val="000000"/>
        </w:rPr>
      </w:pPr>
      <w:r>
        <w:rPr>
          <w:color w:val="000000"/>
        </w:rPr>
        <w:t>“</w:t>
      </w:r>
      <w:r>
        <w:rPr>
          <w:rFonts w:ascii="Times New Roman" w:hAnsi="Times New Roman"/>
          <w:color w:val="000000"/>
          <w:sz w:val="24"/>
        </w:rPr>
        <w:t xml:space="preserve">Good Reason” means, without the Executive’s consent: (i) the material reduction of the Executive’s Base Salary, other than reductions in salary of not more than 15% that is based on the Company’s financial needs and applicable to all similarly situated executives; (ii) a change in the Executive’s position that materially reduces the Executive’s level of authorities, responsibilities, or duties; (iii) [a relocation of the Executive’s principal place of employment by more than thirty (30) miles][Executive no longer being permitted to spend a majority of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Executive’s working time remote]</w:t>
      </w:r>
      <w:r>
        <w:rPr>
          <w:rFonts w:ascii="Times New Roman" w:hAnsi="Times New Roman"/>
          <w:color w:val="000000"/>
          <w:sz w:val="16"/>
        </w:rPr>
        <w:t>5</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required travel for business needs, including to the Company’s offices, will not give rise to Good Reason under this prong (iii); or (iv) a material breach by the Company of this Agreement;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Executive (x) has given the Company a Notice of Termination identifying the grounds for Good Reason within 60 days of its occurrence and the Company has failed to cure the same in all material respects within a 30-day period of that Notice of Termination and (y) the Company has no right to terminate the Executive’s employment for Cause. The Executive shall not have Good Reason on account of being relieved of the Executive’s duties if the Executive is placed on a paid leave not to exceed thirty (30) days, during which compensation and benefits are provided, so that the Board may investigate, in good faith, whether a Cause event has occurred.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color w:val="000000"/>
        </w:rPr>
      </w:pPr>
      <w:r>
        <w:rPr>
          <w:color w:val="000000"/>
        </w:rPr>
        <w:t>“</w:t>
      </w:r>
      <w:r>
        <w:rPr>
          <w:rFonts w:ascii="Times New Roman" w:hAnsi="Times New Roman"/>
          <w:color w:val="000000"/>
          <w:sz w:val="24"/>
        </w:rPr>
        <w:t>Public Trading Date” means the first date upon which the common stock of the Company is listed (or approved for listing) upon notice of issuance on any securities exchange or designated (or approved for designation) upon notice of issuance as a national market security on an interdealer quotation system, or, if earlier, the date on which the Company becomes a “publicly held corporation” for purposes of Treasury Regulation Section 1.162-27(c)(1).</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Times New Roman" w:hAnsi="Times New Roman"/>
          <w:color w:val="000000"/>
          <w:sz w:val="13"/>
        </w:rPr>
        <w:t>5</w:t>
      </w:r>
      <w:r>
        <w:rPr>
          <w:rFonts w:ascii="Times New Roman" w:hAnsi="Times New Roman"/>
          <w:color w:val="000000"/>
          <w:sz w:val="20"/>
        </w:rPr>
        <w:t xml:space="preserve"> Note to Draft: For Executives with an approved remote working arrangement.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Section 409A</w:t>
      </w:r>
      <w:r>
        <w:rPr>
          <w:rFonts w:ascii="Times New Roman" w:hAnsi="Times New Roman"/>
          <w:color w:val="000000"/>
          <w:sz w:val="24"/>
        </w:rPr>
        <w:t>.</w:t>
      </w:r>
    </w:p>
    <w:p>
      <w:pPr>
        <w:pStyle w:val="TextBody"/>
        <w:bidi w:val="0"/>
        <w:spacing w:before="22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20" w:after="283"/>
        <w:jc w:val="both"/>
        <w:rPr>
          <w:rFonts w:ascii="Times New Roman" w:hAnsi="Times New Roman"/>
          <w:color w:val="000000"/>
          <w:sz w:val="24"/>
        </w:rPr>
      </w:pPr>
      <w:r>
        <w:rPr>
          <w:rFonts w:ascii="Times New Roman" w:hAnsi="Times New Roman"/>
          <w:color w:val="000000"/>
          <w:sz w:val="24"/>
        </w:rPr>
        <w:t>Notwithstanding anything in this Agreement to the contrary,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twenty percent (20%)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pStyle w:val="TextBody"/>
        <w:bidi w:val="0"/>
        <w:spacing w:before="22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20" w:after="283"/>
        <w:jc w:val="both"/>
        <w:rPr>
          <w:rFonts w:ascii="Times New Roman" w:hAnsi="Times New Roman"/>
          <w:color w:val="000000"/>
          <w:sz w:val="24"/>
        </w:rPr>
      </w:pPr>
      <w:r>
        <w:rPr>
          <w:rFonts w:ascii="Times New Roman" w:hAnsi="Times New Roman"/>
          <w:color w:val="000000"/>
          <w:sz w:val="24"/>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This right to reimbursement or in-kind benefits is not subject to liquidation or exchange for another benefit.</w:t>
      </w:r>
    </w:p>
    <w:p>
      <w:pPr>
        <w:pStyle w:val="TextBody"/>
        <w:bidi w:val="0"/>
        <w:spacing w:before="22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20" w:after="283"/>
        <w:jc w:val="both"/>
        <w:rPr>
          <w:rFonts w:ascii="Times New Roman" w:hAnsi="Times New Roman"/>
          <w:color w:val="000000"/>
          <w:sz w:val="24"/>
        </w:rPr>
      </w:pPr>
      <w:r>
        <w:rPr>
          <w:rFonts w:ascii="Times New Roman" w:hAnsi="Times New Roman"/>
          <w:color w:val="000000"/>
          <w:sz w:val="24"/>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pStyle w:val="TextBody"/>
        <w:bidi w:val="0"/>
        <w:spacing w:before="22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20" w:after="283"/>
        <w:jc w:val="both"/>
        <w:rPr>
          <w:rFonts w:ascii="Times New Roman" w:hAnsi="Times New Roman"/>
          <w:color w:val="000000"/>
          <w:sz w:val="24"/>
        </w:rPr>
      </w:pPr>
      <w:r>
        <w:rPr>
          <w:rFonts w:ascii="Times New Roman" w:hAnsi="Times New Roman"/>
          <w:color w:val="000000"/>
          <w:sz w:val="24"/>
        </w:rPr>
        <w:t>Any payments that are subject to the Separation Agreement and Release requirement and are scheduled to be paid prior to the date the Separation Agreement and Release becomes effective shall be paid in a lump sum, without interest, with the first scheduled payment following the effectiveness of the Separation Agreement and Release and, if any such amounts are subject to Section 409A of the Code and the period during which the Executive has discretion to sign or revoke the Separation Agreement and Release straddles two calendar years, such amounts will be paid without interest in the second calendar year.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2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20" w:after="283"/>
        <w:jc w:val="both"/>
        <w:rPr>
          <w:rFonts w:ascii="Times New Roman" w:hAnsi="Times New Roman"/>
          <w:color w:val="000000"/>
          <w:sz w:val="24"/>
        </w:rPr>
      </w:pPr>
      <w:r>
        <w:rPr>
          <w:rFonts w:ascii="Times New Roman" w:hAnsi="Times New Roman"/>
          <w:color w:val="000000"/>
          <w:sz w:val="24"/>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are exempt from the application of Section 409A of the Code, or to the extent not exempt,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Parachute Payments</w:t>
      </w:r>
      <w:r>
        <w:rPr>
          <w:rFonts w:ascii="Times New Roman" w:hAnsi="Times New Roman"/>
          <w:color w:val="000000"/>
          <w:sz w:val="24"/>
        </w:rPr>
        <w:t>. In the event that the severance and other benefits provided for in this Agreement or otherwise payable to the Executive (i) constitute “parachute payments” within the meaning of Section 280G of the Code and (ii) but for this Section 7, would be subject to the excise tax imposed by Section 4999 of the Code, then, the Executive’s severance and other benefits under this Agreement shall be either (x) delivered in full, or (y) delivered as to such lesser extent that would result in no portion of such severance and other benefits being subject to excise tax under Section 4999 of the Code, whichever of the foregoing amounts, taking into account the applicable federal, state and local income taxes and the excise tax imposed by Section 4999, results in the receipt by the Executive on an after-tax basis, of the greatest amount of benefits under this Agreement, notwithstanding that all or some portion of such benefits may be taxable under Section 4999 of the Code. In the event the Executive’s severance and other benefits are delivered to a lesser extent pursuant to the foregoing clause (y), such severance and other benefits shall be reduced in the following order, in each case, in reverse chronological order beginning with the severance and other benefits that are to be paid the further in time from consummation of the transaction that is subject to Section 280G of the Code, unless otherwise agreed to by the Executive and the Company: (A) cash payments; (B) equity-based payments and acceleration; and (C) non-cash forms of benefits. Unless the Company and the Executive otherwise agree in writing, any determination required under this Section 7 shall be made in writing by an accounting firm selected by the Company (the “Accountant”), whose determination shall be conclusive and binding upon the Executive and the Company for all purposes. For purposes of making the calculations required by this Section 7, the Accountant may make reasonable assumptions and approximations concerning applicable taxes and may rely on reasonable, good faith interpretations concerning the application of Sections 280G and 4999 of the Code. The Company and the Executive will furnish to the Accountant such information and documents as the Accountant may reasonably request in order to make a determination under this Section. The Company shall bear all costs the Accountant may reasonably incur in connection with any calculations contemplated by this Section 7.</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Indemnification and Insurance</w:t>
      </w:r>
      <w:r>
        <w:rPr>
          <w:rFonts w:ascii="Times New Roman" w:hAnsi="Times New Roman"/>
          <w:color w:val="000000"/>
          <w:sz w:val="24"/>
        </w:rPr>
        <w:t>. The Executive shall be indemnified by the Company to the extent provided under the Company’s charter and by-laws for losses resulting from the Executive’s good faith performance of the Executive’s duties and obligations to the Company. The Company shall cover the Executive under director’s and officer’s liability insurance during the Term and, while potential liability exists, after the Term, in the same amount and to the same extent as the Company covers its other officers and directors. The Company and the Executive hereby agree to execute the Company’s standard indemnification agreement for senior executives. For the avoidance of doubt, the Executive’s right to indemnification by the Company and coverage under any applicable directors’ and officers’ liability or other third-party insurance policy as provided herein shall continue following any termination of employment.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Restrictive Covenants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Restrictive Covenant Agreement</w:t>
      </w:r>
      <w:r>
        <w:rPr>
          <w:rFonts w:ascii="Times New Roman" w:hAnsi="Times New Roman"/>
          <w:color w:val="000000"/>
          <w:sz w:val="24"/>
        </w:rPr>
        <w:t>. The terms of the Restrictive Covenant Agreement shall continue to be in full force and effect except (i) as provided in Section 9(b) with respect to protective disclosures and (ii) the provisions of Section 10 shall apply to disputes under the Restrictive Covenant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Protective Disclosures</w:t>
      </w:r>
      <w:r>
        <w:rPr>
          <w:rFonts w:ascii="Times New Roman" w:hAnsi="Times New Roman"/>
          <w:color w:val="000000"/>
          <w:sz w:val="24"/>
        </w:rPr>
        <w:t>. Nothing set forth herein or in the Restrictive Covenant Agreement shall be interpreted to prohibit the Executive from (i) making truthful statements when required by law, subpoena or court order and/or from responding to any inquiry by any regulatory or investigatory organization, (ii) reporting possible violations of law to a governmental agency or entity (including, but not limited to the Securities and Exchange Commission, the National Labor Relations Board or the Equal Employment Opportunity Commission) or require authorization or notification of such reports, or (iii) making other disclosures that are protected under the whistleblower or other provisions of federal, state, or local law or regulation.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Litigation and Regulatory Cooperation</w:t>
      </w:r>
      <w:r>
        <w:rPr>
          <w:rFonts w:ascii="Times New Roman" w:hAnsi="Times New Roman"/>
          <w:color w:val="000000"/>
          <w:sz w:val="24"/>
        </w:rPr>
        <w:t>. During and after the Executive’s employment, the Executive shall reasonably cooperate with the Company in the defense or prosecution of any claims or actions now in existence or that may be brought in the future against or on behalf of Odyssey that relate to events or occurrences that transpired while the Executive was employed by Odyssey. The Executive’s cooperation in connection with such claims or actions shall include, but not be limited to, being available to meet with counsel to prepare for discovery or trial and to act as a witness on behalf of Odyssey at mutually convenient times. During and after the Executive’s employment, the Executive also shall reasonably cooperate with the Company in connection with any investigation or review of any federal, state or local regulatory authority that relates to events or occurrences that transpired while the Executive was employed by Odyssey. The Company shall reimburse the Executive for any reasonable out-of-pocket expenses incurred in connection with the Executive’s performance of obligations pursuant to this Section 9(c).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Arbitration of Disputes</w:t>
      </w:r>
      <w:r>
        <w:rPr>
          <w:rFonts w:ascii="Times New Roman" w:hAnsi="Times New Roman"/>
          <w:color w:val="000000"/>
          <w:sz w:val="24"/>
        </w:rPr>
        <w:t xml:space="preserve">. Any controversy or claim arising out of or relating to this Agreement, the Restrictive Covenant Agreement or otherwise arising out of the Executive’s employment or the termination of that employment (including, without limitation, any claims of unlawful employment discrimination whether based on age or otherwise) shall, to the fullest extent permitted by law, shall be resolved solely and exclusively by confidential binding arbitration with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the [New York, New York][Boston, Massachusetts]</w:t>
      </w:r>
      <w:r>
        <w:rPr>
          <w:rFonts w:ascii="Times New Roman" w:hAnsi="Times New Roman"/>
          <w:color w:val="000000"/>
          <w:sz w:val="16"/>
        </w:rPr>
        <w:t>6</w:t>
      </w:r>
      <w:r>
        <w:rPr>
          <w:color w:val="000000"/>
        </w:rPr>
        <w:t xml:space="preserve"> </w:t>
      </w:r>
      <w:r>
        <w:rPr>
          <w:rFonts w:ascii="Times New Roman" w:hAnsi="Times New Roman"/>
          <w:color w:val="000000"/>
          <w:sz w:val="24"/>
        </w:rPr>
        <w:t>branch of JAMS (“</w:t>
      </w:r>
      <w:r>
        <w:rPr>
          <w:rFonts w:ascii="Times New Roman" w:hAnsi="Times New Roman"/>
          <w:i/>
          <w:color w:val="000000"/>
          <w:sz w:val="24"/>
        </w:rPr>
        <w:t>JAMS</w:t>
      </w:r>
      <w:r>
        <w:rPr>
          <w:color w:val="000000"/>
        </w:rPr>
        <w:t>”</w:t>
      </w:r>
      <w:r>
        <w:rPr>
          <w:rFonts w:ascii="Times New Roman" w:hAnsi="Times New Roman"/>
          <w:color w:val="000000"/>
          <w:sz w:val="24"/>
        </w:rPr>
        <w:t>), to be governed by JAMS’ Employment Arbitration Rules and Procedures (or successor rules) applicable at the time of the commencement of the arbitration (the “</w:t>
      </w:r>
      <w:r>
        <w:rPr>
          <w:rFonts w:ascii="Times New Roman" w:hAnsi="Times New Roman"/>
          <w:i/>
          <w:color w:val="000000"/>
          <w:sz w:val="24"/>
        </w:rPr>
        <w:t>JAMS Rules</w:t>
      </w:r>
      <w:r>
        <w:rPr>
          <w:color w:val="000000"/>
        </w:rPr>
        <w:t>”</w:t>
      </w:r>
      <w:r>
        <w:rPr>
          <w:rFonts w:ascii="Times New Roman" w:hAnsi="Times New Roman"/>
          <w:color w:val="000000"/>
          <w:sz w:val="24"/>
        </w:rPr>
        <w:t>) and heard before one arbitrator. The Executive and the Company shall attempt to mutually select the arbitrator. In the event the Executive and the Company are unable to mutually agree, the arbitrator shall be selected by the procedures prescribed by the JAMS Rules. The Executive shall be required to pay an arbitration fee to initiate any arbitration equal to what the Executive would be charged as a first appearance fee in court. The Company shall advance the remaining fees and costs of the arbitrator and shall pay such fees and costs of the arbitration if the Company initiates the arbitration. However, to the extent permissible under the law, and following the arbitrator’s ruling on the matter, the arbitrator may rule that the arbitrator’s fees and costs be distributed in an alternative manner. Each of the Executive and the Company shall bear its own attorneys’ fees, expert witness fees and other costs incurred in connection with any arbitration. If, however, any party prevails on a claim that affords the prevailing party attorneys’ fees (including pursuant to this Agreement), the arbitrator may award attorneys’ fees to the prevailing party to the extent permitted by law. Notwithstanding the foregoing, nothing in this Agreement shall limit the ability of the Company to seek and obtain equitable relief in accordance with the Restrictive Covenant Agreement.</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Consent to Jurisdiction</w:t>
      </w:r>
      <w:r>
        <w:rPr>
          <w:rFonts w:ascii="Times New Roman" w:hAnsi="Times New Roman"/>
          <w:color w:val="000000"/>
          <w:sz w:val="24"/>
        </w:rPr>
        <w:t>. To the extent that any court action is permitted consistent with this Agreement, the parties hereby consent to the jurisdiction of the state and federal courts located in [Delaware][Suffolk County, Massachusetts]</w:t>
      </w:r>
      <w:r>
        <w:rPr>
          <w:rFonts w:ascii="Times New Roman" w:hAnsi="Times New Roman"/>
          <w:color w:val="000000"/>
          <w:sz w:val="16"/>
        </w:rPr>
        <w:t>7</w:t>
      </w:r>
      <w:r>
        <w:rPr>
          <w:rFonts w:ascii="Times New Roman" w:hAnsi="Times New Roman"/>
          <w:color w:val="000000"/>
          <w:sz w:val="24"/>
        </w:rPr>
        <w:t>.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Integration</w:t>
      </w:r>
      <w:r>
        <w:rPr>
          <w:rFonts w:ascii="Times New Roman" w:hAnsi="Times New Roman"/>
          <w:color w:val="000000"/>
          <w:sz w:val="24"/>
        </w:rPr>
        <w:t xml:space="preserve">. This Agreement constitutes the entire agreement between the parties with respect to the subject matter hereof and supersedes in all respects all prior agreements between the parties concerning the subject matter hereof, including without limitation the Letter Agreement (together with any exhibits thereto other than the Restrictive Covenant Agreement),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Restrictive Covenant Agreement shall not be superseded by this Agreement and the Executive acknowledges and agrees that such agreement remains in full force and effect other than as specified in Section 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Withholding</w:t>
      </w:r>
      <w:r>
        <w:rPr>
          <w:rFonts w:ascii="Times New Roman" w:hAnsi="Times New Roman"/>
          <w:color w:val="000000"/>
          <w:sz w:val="24"/>
        </w:rPr>
        <w:t>. All payments made by the Company to the Executive under this Agreement shall be net of any tax or other amounts required to be withheld by the Company under applicable law.</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6</w:t>
      </w:r>
      <w:r>
        <w:rPr>
          <w:rFonts w:ascii="Times New Roman" w:hAnsi="Times New Roman"/>
          <w:color w:val="000000"/>
          <w:sz w:val="20"/>
        </w:rPr>
        <w:t xml:space="preserve"> </w:t>
      </w:r>
      <w:r>
        <w:rPr>
          <w:rFonts w:ascii="Times New Roman" w:hAnsi="Times New Roman"/>
          <w:b/>
          <w:color w:val="000000"/>
          <w:sz w:val="20"/>
        </w:rPr>
        <w:t>Note to Draft</w:t>
      </w:r>
      <w:r>
        <w:rPr>
          <w:rFonts w:ascii="Times New Roman" w:hAnsi="Times New Roman"/>
          <w:color w:val="000000"/>
          <w:sz w:val="20"/>
        </w:rPr>
        <w:t xml:space="preserve">: New York, New York for executives in New Jersey, Connecticut, Florida, Pennsylvania, and/or Michigan, and Massachusetts for executives in Massachusetts. For any executives in other states, local law requirements will need to be considered. </w:t>
      </w:r>
    </w:p>
    <w:p>
      <w:pPr>
        <w:pStyle w:val="TextBody"/>
        <w:bidi w:val="0"/>
        <w:spacing w:before="120" w:after="283"/>
        <w:jc w:val="left"/>
        <w:rPr>
          <w:rFonts w:ascii="Times New Roman" w:hAnsi="Times New Roman"/>
          <w:sz w:val="20"/>
        </w:rPr>
      </w:pPr>
      <w:r>
        <w:rPr>
          <w:rFonts w:ascii="Times New Roman" w:hAnsi="Times New Roman"/>
          <w:color w:val="000000"/>
          <w:sz w:val="13"/>
        </w:rPr>
        <w:t>7</w:t>
      </w:r>
      <w:r>
        <w:rPr>
          <w:rFonts w:ascii="Times New Roman" w:hAnsi="Times New Roman"/>
          <w:color w:val="000000"/>
          <w:sz w:val="20"/>
        </w:rPr>
        <w:t xml:space="preserve"> </w:t>
      </w:r>
      <w:r>
        <w:rPr>
          <w:rFonts w:ascii="Times New Roman" w:hAnsi="Times New Roman"/>
          <w:b/>
          <w:color w:val="000000"/>
          <w:sz w:val="20"/>
        </w:rPr>
        <w:t>Note to Draft</w:t>
      </w:r>
      <w:r>
        <w:rPr>
          <w:rFonts w:ascii="Times New Roman" w:hAnsi="Times New Roman"/>
          <w:color w:val="000000"/>
          <w:sz w:val="20"/>
        </w:rPr>
        <w:t>: Delaware for executives in New Jersey, Connecticut, Florida, Pennsylvania, and/or Michigan, and Suffolk County, Massachusetts for executives in Massachusetts. For any executives in other states, local law requirements will need to be considered.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Enforceability</w:t>
      </w:r>
      <w:r>
        <w:rPr>
          <w:rFonts w:ascii="Times New Roman" w:hAnsi="Times New Roman"/>
          <w:color w:val="000000"/>
          <w:sz w:val="24"/>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color w:val="000000"/>
          <w:sz w:val="24"/>
          <w:u w:val="single"/>
        </w:rPr>
        <w:t>Survival</w:t>
      </w:r>
      <w:r>
        <w:rPr>
          <w:rFonts w:ascii="Times New Roman" w:hAnsi="Times New Roman"/>
          <w:color w:val="000000"/>
          <w:sz w:val="24"/>
        </w:rPr>
        <w:t>. The provisions of this Agreement shall survive the termination of this Agreement and/or the termination of the Executive’s employment to the extent necessary to effectuate the terms contained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color w:val="000000"/>
          <w:sz w:val="24"/>
          <w:u w:val="single"/>
        </w:rPr>
        <w:t>Waiver</w:t>
      </w:r>
      <w:r>
        <w:rPr>
          <w:rFonts w:ascii="Times New Roman" w:hAnsi="Times New Roman"/>
          <w:color w:val="000000"/>
          <w:sz w:val="24"/>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Notices</w:t>
      </w:r>
      <w:r>
        <w:rPr>
          <w:rFonts w:ascii="Times New Roman" w:hAnsi="Times New Roman"/>
          <w:color w:val="000000"/>
          <w:sz w:val="24"/>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the Parent’s main offices, attention of the Chief Executive Officer.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Amendment</w:t>
      </w:r>
      <w:r>
        <w:rPr>
          <w:rFonts w:ascii="Times New Roman" w:hAnsi="Times New Roman"/>
          <w:color w:val="000000"/>
          <w:sz w:val="24"/>
        </w:rPr>
        <w:t>. This Agreement may be amended or modified only by a written instrument signed by the Executive and by a duly authorized representative of the Company (other than the Executive).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Other Plans and Agreements</w:t>
      </w:r>
      <w:r>
        <w:rPr>
          <w:rFonts w:ascii="Times New Roman" w:hAnsi="Times New Roman"/>
          <w:color w:val="000000"/>
          <w:sz w:val="24"/>
        </w:rPr>
        <w:t xml:space="preserve">. The Executive shall have no rights to any severance benefits under any Company severance pay plan, offer letter or otherwise (but shall have the rights set forth in Section 4 above). If the Executive is party to an agreement with the Company providing for payments or benefits under such agreement and this Agreement, the terms of this Agreement shall govern, and the Executive may receive payment under this Agreement only and not both.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color w:val="000000"/>
          <w:sz w:val="24"/>
          <w:u w:val="single"/>
        </w:rPr>
        <w:t>Governing Law</w:t>
      </w:r>
      <w:r>
        <w:rPr>
          <w:rFonts w:ascii="Times New Roman" w:hAnsi="Times New Roman"/>
          <w:color w:val="000000"/>
          <w:sz w:val="24"/>
        </w:rPr>
        <w:t>. This is Agreement shall be construed under and be governed in all respects by the laws of [Delaware][Massachusetts]</w:t>
      </w:r>
      <w:r>
        <w:rPr>
          <w:rFonts w:ascii="Times New Roman" w:hAnsi="Times New Roman"/>
          <w:color w:val="000000"/>
          <w:sz w:val="16"/>
        </w:rPr>
        <w:t>8</w:t>
      </w:r>
      <w:r>
        <w:rPr>
          <w:rFonts w:ascii="Times New Roman" w:hAnsi="Times New Roman"/>
          <w:color w:val="000000"/>
          <w:sz w:val="24"/>
        </w:rPr>
        <w:t>, without giving effect to conflict of laws principles that would refer construction to the laws of another jurisdiction. With respect to any disputes concerning federal law, such disputes shall be determined in accordance with the law as it would be interpreted and applied by the United States Court of Appeals for the [Third][First]</w:t>
      </w:r>
      <w:r>
        <w:rPr>
          <w:rFonts w:ascii="Times New Roman" w:hAnsi="Times New Roman"/>
          <w:color w:val="000000"/>
          <w:sz w:val="16"/>
        </w:rPr>
        <w:t>9</w:t>
      </w:r>
      <w:r>
        <w:rPr>
          <w:color w:val="000000"/>
        </w:rPr>
        <w:t xml:space="preserve"> </w:t>
      </w:r>
      <w:r>
        <w:rPr>
          <w:rFonts w:ascii="Times New Roman" w:hAnsi="Times New Roman"/>
          <w:color w:val="000000"/>
          <w:sz w:val="24"/>
        </w:rPr>
        <w:t>Circuit.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8</w:t>
      </w:r>
      <w:r>
        <w:rPr>
          <w:rFonts w:ascii="Times New Roman" w:hAnsi="Times New Roman"/>
          <w:color w:val="000000"/>
          <w:sz w:val="20"/>
        </w:rPr>
        <w:t xml:space="preserve"> </w:t>
      </w:r>
      <w:r>
        <w:rPr>
          <w:rFonts w:ascii="Times New Roman" w:hAnsi="Times New Roman"/>
          <w:b/>
          <w:color w:val="000000"/>
          <w:sz w:val="20"/>
        </w:rPr>
        <w:t>Note to Draft:</w:t>
      </w:r>
      <w:r>
        <w:rPr>
          <w:rFonts w:ascii="Times New Roman" w:hAnsi="Times New Roman"/>
          <w:color w:val="000000"/>
          <w:sz w:val="20"/>
        </w:rPr>
        <w:t xml:space="preserve"> Delaware for executives in New Jersey, Connecticut, Florida, Pennsylvania, and/or Michigan, and Massachusetts for executives in Massachusetts. For any executives in other states, local law requirements will need to be considered.</w:t>
      </w:r>
    </w:p>
    <w:p>
      <w:pPr>
        <w:pStyle w:val="TextBody"/>
        <w:bidi w:val="0"/>
        <w:spacing w:before="120" w:after="283"/>
        <w:jc w:val="left"/>
        <w:rPr>
          <w:rFonts w:ascii="Times New Roman" w:hAnsi="Times New Roman"/>
          <w:sz w:val="20"/>
        </w:rPr>
      </w:pPr>
      <w:r>
        <w:rPr>
          <w:rFonts w:ascii="Times New Roman" w:hAnsi="Times New Roman"/>
          <w:color w:val="000000"/>
          <w:sz w:val="13"/>
        </w:rPr>
        <w:t>9</w:t>
      </w:r>
      <w:r>
        <w:rPr>
          <w:rFonts w:ascii="Times New Roman" w:hAnsi="Times New Roman"/>
          <w:color w:val="000000"/>
          <w:sz w:val="20"/>
        </w:rPr>
        <w:t xml:space="preserve"> </w:t>
      </w:r>
      <w:r>
        <w:rPr>
          <w:rFonts w:ascii="Times New Roman" w:hAnsi="Times New Roman"/>
          <w:b/>
          <w:color w:val="000000"/>
          <w:sz w:val="20"/>
        </w:rPr>
        <w:t>Note to Draft:</w:t>
      </w:r>
      <w:r>
        <w:rPr>
          <w:rFonts w:ascii="Times New Roman" w:hAnsi="Times New Roman"/>
          <w:color w:val="000000"/>
          <w:sz w:val="20"/>
        </w:rPr>
        <w:t xml:space="preserve"> Third Circuit for executives in New Jersey, Connecticut, Florida, Pennsylvania, and/or Michigan, and First Circuit for executives in Massachusetts.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Assignment</w:t>
      </w:r>
      <w:r>
        <w:rPr>
          <w:rFonts w:ascii="Times New Roman" w:hAnsi="Times New Roman"/>
          <w:color w:val="000000"/>
          <w:sz w:val="24"/>
        </w:rPr>
        <w:t xml:space="preserve">. Neither the Executive nor the Company may make any assignment of this Agreement or any interest in it, by operation of law or otherwise, without the prior written consent of the other;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Company may assign its rights and obligations under this Agreement (including the Restrictive Covenant Agreement) without the Executive’s consent to any affiliate or to any person or entity with whom the Company shall hereafter effect a reorganization, consolidate with, or merge into or to whom it transfers all or substantially all of its capital stock, properties or assets. This Agreement shall inure to the benefit of and be binding upon the Executive and the Company, and each of the Executive’s and the Company’s respective successors, executors, administrators, heirs and permitted assigns.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any number of counterparts, each of which when so executed and delivered shall be taken to be an original; but such counterparts shall together constitute one and the same document.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color w:val="000000"/>
          <w:sz w:val="24"/>
          <w:u w:val="single"/>
        </w:rPr>
        <w:t>Legal Counsel</w:t>
      </w:r>
      <w:r>
        <w:rPr>
          <w:rFonts w:ascii="Times New Roman" w:hAnsi="Times New Roman"/>
          <w:color w:val="000000"/>
          <w:sz w:val="24"/>
        </w:rPr>
        <w:t>. By signing below, the Executive acknowledges that the Executive has been advised by the Company to seek independent legal counsel with respect to this Agreement and that the Executive has had the opportunity to seek the advice of independent legal counsel prior to signing this Agreement. By signing below, the Executive represents that the Executive has read and understands all of the terms and provisions of this Agreement. This Agreement shall not be construed against any party hereof by reason of the drafting or preparation hereof.</w:t>
      </w:r>
    </w:p>
    <w:p>
      <w:pPr>
        <w:pStyle w:val="Heading1"/>
        <w:bidi w:val="0"/>
        <w:spacing w:before="240" w:after="283"/>
        <w:jc w:val="center"/>
        <w:rPr>
          <w:rFonts w:ascii="Times New Roman" w:hAnsi="Times New Roman"/>
          <w:sz w:val="20"/>
        </w:rPr>
      </w:pPr>
      <w:r>
        <w:rPr>
          <w:rFonts w:ascii="Times New Roman" w:hAnsi="Times New Roman"/>
          <w:b w:val="false"/>
          <w:color w:val="000000"/>
          <w:sz w:val="24"/>
        </w:rPr>
        <w:t>[</w:t>
      </w:r>
      <w:r>
        <w:rPr>
          <w:rFonts w:ascii="Times New Roman" w:hAnsi="Times New Roman"/>
          <w:b w:val="false"/>
          <w:i/>
          <w:color w:val="000000"/>
          <w:sz w:val="24"/>
        </w:rPr>
        <w:t>Signature Page Follows</w:t>
      </w:r>
      <w:r>
        <w:rPr>
          <w:rFonts w:ascii="Times New Roman" w:hAnsi="Times New Roman"/>
          <w:b w:val="false"/>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4"/>
        </w:rPr>
        <w:t>IN WITNESS WHEREOF, the parties have executed this Agreement as of the last date listed below to be effective as of the Effective Date.</w:t>
      </w:r>
      <w:r>
        <w:rPr>
          <w:rFonts w:ascii="Times New Roman" w:hAnsi="Times New Roman"/>
          <w:color w:val="000000"/>
          <w:sz w:val="20"/>
        </w:rPr>
        <w:t xml:space="preserve"> </w:t>
      </w:r>
    </w:p>
    <w:p>
      <w:pPr>
        <w:pStyle w:val="TextBody"/>
        <w:bidi w:val="0"/>
        <w:jc w:val="left"/>
        <w:rPr/>
      </w:pPr>
      <w:r>
        <w:rPr/>
        <w:t> </w:t>
      </w:r>
    </w:p>
    <w:tbl>
      <w:tblPr>
        <w:tblW w:w="3927" w:type="dxa"/>
        <w:jc w:val="left"/>
        <w:tblInd w:w="0" w:type="dxa"/>
        <w:tblLayout w:type="fixed"/>
        <w:tblCellMar>
          <w:top w:w="28" w:type="dxa"/>
          <w:left w:w="28" w:type="dxa"/>
          <w:bottom w:w="28" w:type="dxa"/>
          <w:right w:w="28" w:type="dxa"/>
        </w:tblCellMar>
      </w:tblPr>
      <w:tblGrid>
        <w:gridCol w:w="161"/>
        <w:gridCol w:w="3766"/>
      </w:tblGrid>
      <w:tr>
        <w:trPr/>
        <w:tc>
          <w:tcPr>
            <w:tcW w:w="16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4"/>
              </w:rPr>
            </w:pPr>
            <w:r>
              <w:rPr>
                <w:rFonts w:ascii="Times New Roman" w:hAnsi="Times New Roman"/>
                <w:caps/>
                <w:color w:val="000000"/>
                <w:sz w:val="24"/>
              </w:rPr>
              <w:t>ODYSSEY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EXECUTIVE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0" w:name="odtx-ex10_12.htm"/>
      <w:bookmarkStart w:id="51" w:name="ksodtxex10_12"/>
      <w:bookmarkEnd w:id="50"/>
      <w:bookmarkEnd w:id="51"/>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10.12</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ODYSSEY THERAPEUTICS, INC.</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2021 EQUITY INCENTIVE PLAN</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FORM OF RESTRICTED STOCK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 Restricted Stock Agreement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between Odyssey Therapeutics,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Ian Smith (the “</w:t>
      </w:r>
      <w:r>
        <w:rPr>
          <w:rFonts w:ascii="Times New Roman" w:hAnsi="Times New Roman"/>
          <w:color w:val="000000"/>
          <w:sz w:val="24"/>
          <w:u w:val="single"/>
        </w:rPr>
        <w:t>Purchaser</w:t>
      </w:r>
      <w:r>
        <w:rPr>
          <w:rFonts w:ascii="Times New Roman" w:hAnsi="Times New Roman"/>
          <w:color w:val="000000"/>
          <w:sz w:val="20"/>
        </w:rPr>
        <w:t>”</w:t>
      </w:r>
      <w:r>
        <w:rPr>
          <w:rFonts w:ascii="Times New Roman" w:hAnsi="Times New Roman"/>
          <w:color w:val="000000"/>
          <w:sz w:val="24"/>
        </w:rPr>
        <w:t>) as of December 30, 2025 (the “</w:t>
      </w:r>
      <w:r>
        <w:rPr>
          <w:rFonts w:ascii="Times New Roman" w:hAnsi="Times New Roman"/>
          <w:color w:val="000000"/>
          <w:sz w:val="24"/>
          <w:u w:val="single"/>
        </w:rPr>
        <w:t>Purchase Date</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A. Pursuant to the exercise of the option granted to Purchaser (the “Option”) under the Company’s 2021 Equity Incentive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and pursuant to the Stock Option Agreement dated [June 18, 2025][September 22, 2025] (the “</w:t>
      </w:r>
      <w:r>
        <w:rPr>
          <w:rFonts w:ascii="Times New Roman" w:hAnsi="Times New Roman"/>
          <w:color w:val="000000"/>
          <w:sz w:val="24"/>
          <w:u w:val="single"/>
        </w:rPr>
        <w:t>Option Agreement</w:t>
      </w:r>
      <w:r>
        <w:rPr>
          <w:rFonts w:ascii="Times New Roman" w:hAnsi="Times New Roman"/>
          <w:color w:val="000000"/>
          <w:sz w:val="20"/>
        </w:rPr>
        <w:t>”</w:t>
      </w:r>
      <w:r>
        <w:rPr>
          <w:rFonts w:ascii="Times New Roman" w:hAnsi="Times New Roman"/>
          <w:color w:val="000000"/>
          <w:sz w:val="24"/>
        </w:rPr>
        <w:t>), and the Exercise Notice and Agreement dated December 30, 2025 (the “</w:t>
      </w:r>
      <w:r>
        <w:rPr>
          <w:rFonts w:ascii="Times New Roman" w:hAnsi="Times New Roman"/>
          <w:color w:val="000000"/>
          <w:sz w:val="24"/>
          <w:u w:val="single"/>
        </w:rPr>
        <w:t>Exercise Agreement</w:t>
      </w:r>
      <w:r>
        <w:rPr>
          <w:rFonts w:ascii="Times New Roman" w:hAnsi="Times New Roman"/>
          <w:color w:val="000000"/>
          <w:sz w:val="20"/>
        </w:rPr>
        <w:t xml:space="preserve">” </w:t>
      </w:r>
      <w:r>
        <w:rPr>
          <w:rFonts w:ascii="Times New Roman" w:hAnsi="Times New Roman"/>
          <w:color w:val="000000"/>
          <w:sz w:val="24"/>
        </w:rPr>
        <w:t>and together with the Option Agreement, the “</w:t>
      </w:r>
      <w:r>
        <w:rPr>
          <w:rFonts w:ascii="Times New Roman" w:hAnsi="Times New Roman"/>
          <w:color w:val="000000"/>
          <w:sz w:val="24"/>
          <w:u w:val="single"/>
        </w:rPr>
        <w:t>Option Documents</w:t>
      </w:r>
      <w:r>
        <w:rPr>
          <w:rFonts w:ascii="Times New Roman" w:hAnsi="Times New Roman"/>
          <w:color w:val="000000"/>
          <w:sz w:val="20"/>
        </w:rPr>
        <w:t>”</w:t>
      </w:r>
      <w:r>
        <w:rPr>
          <w:rFonts w:ascii="Times New Roman" w:hAnsi="Times New Roman"/>
          <w:color w:val="000000"/>
          <w:sz w:val="24"/>
        </w:rPr>
        <w:t>), each by and between the Company and Purchaser, with respect to such Option, which Plan and Option Documents are hereby incorporated by reference, Purchaser has elected to purchase [767,186][851,190] of those shares of Common Stock which have not become vested under the vesting schedule set forth in the Option Agreement. Until such shares vest, they are referred to in this Agreement as “</w:t>
      </w:r>
      <w:r>
        <w:rPr>
          <w:rFonts w:ascii="Times New Roman" w:hAnsi="Times New Roman"/>
          <w:color w:val="000000"/>
          <w:sz w:val="24"/>
          <w:u w:val="single"/>
        </w:rPr>
        <w:t>Unvested Shares</w:t>
      </w:r>
      <w:r>
        <w:rPr>
          <w:rFonts w:ascii="Times New Roman" w:hAnsi="Times New Roman"/>
          <w:color w:val="000000"/>
          <w:sz w:val="24"/>
        </w:rPr>
        <w:t>,” and all of the shares being exercised under the Option Agreement, whether vested or unvested, are referred to herein as the “</w:t>
      </w:r>
      <w:r>
        <w:rPr>
          <w:rFonts w:ascii="Times New Roman" w:hAnsi="Times New Roman"/>
          <w:color w:val="000000"/>
          <w:sz w:val="24"/>
          <w:u w:val="single"/>
        </w:rPr>
        <w:t>Shares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As required by the Option Documents, as a condition to Purchaser’s election to exercise the Option, Purchaser must execute this Agreement, which sets forth certain rights and obligations of the parties with respect to Shares acquired upon exercise of the Option. This Agreement is subject to the terms of the Plan. To the extent that there is a conflict between the terms of this Agreement and the terms of the Plan, the terms of the Plan shall govern. Capitalized terms not defined in this Agreement have the meaning provided in the Plan.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Stockholder Rights; Conditions; Escrow</w:t>
      </w:r>
      <w:r>
        <w:rPr>
          <w:rFonts w:ascii="Times New Roman" w:hAnsi="Times New Roman"/>
          <w:color w:val="000000"/>
          <w:sz w:val="24"/>
        </w:rPr>
        <w:t xml:space="preserve">. The Purchaser shall be entitled to all of the rights of a stockholder with respect to the Shares as of the Purchase Date, including, but not limited to, the right to receive dividends and other distributions payable with respect to same. However, the Shares shall be subject to certain transfer restrictions specified in this Agreement. As a condition to the issuance of the Shares, the Purchaser shall execute and deliver to the Company one or more duly-executed blank Stock Powers and Assignments Separate from Certificate (in the form attached hereto as </w:t>
      </w:r>
      <w:r>
        <w:rPr>
          <w:rFonts w:ascii="Times New Roman" w:hAnsi="Times New Roman"/>
          <w:color w:val="000000"/>
          <w:sz w:val="24"/>
          <w:u w:val="single"/>
        </w:rPr>
        <w:t>Annex 1</w:t>
      </w:r>
      <w:r>
        <w:rPr>
          <w:rFonts w:ascii="Times New Roman" w:hAnsi="Times New Roman"/>
          <w:color w:val="000000"/>
          <w:sz w:val="24"/>
        </w:rPr>
        <w:t>) with respect to the Shares and such other documents as may be reasonably requested by the Administrator from time to time including, without limitation, any investors rights agreement, voting agreement, stockholder agreement and similar agreements. If the Purchaser fails to comply with the requirements of this Section 1, all Shares, including any vested Shares, shall be subject to repurchase at the Unvested Share Repurchase Price (as defined below). All unvested Shares shall be held in escrow by the Company until such Shares vest.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Vesting; Repurchase Rights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Vesting Schedule</w:t>
      </w:r>
      <w:r>
        <w:rPr>
          <w:rFonts w:ascii="Times New Roman" w:hAnsi="Times New Roman"/>
          <w:color w:val="000000"/>
          <w:sz w:val="24"/>
        </w:rPr>
        <w:t>. Unvested Shares shall become vested Shares in accordance with the vesting provisions contained in Purchaser’s Option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Treatment on Termination</w:t>
      </w:r>
      <w:r>
        <w:rPr>
          <w:rFonts w:ascii="Times New Roman" w:hAnsi="Times New Roman"/>
          <w:color w:val="000000"/>
          <w:sz w:val="24"/>
        </w:rPr>
        <w:t>.</w:t>
      </w:r>
    </w:p>
    <w:p>
      <w:pPr>
        <w:pStyle w:val="TextBody"/>
        <w:bidi w:val="0"/>
        <w:spacing w:before="240" w:after="283"/>
        <w:jc w:val="both"/>
        <w:rPr>
          <w:rFonts w:ascii="Times New Roman" w:hAnsi="Times New Roman"/>
          <w:sz w:val="20"/>
        </w:rPr>
      </w:pPr>
      <w:bookmarkStart w:id="52" w:name="xi__if_the_purchaser_ceases_to_be_a_serv"/>
      <w:bookmarkEnd w:id="52"/>
      <w:r>
        <w:rPr>
          <w:rFonts w:ascii="Times New Roman" w:hAnsi="Times New Roman"/>
          <w:color w:val="000000"/>
          <w:sz w:val="24"/>
        </w:rPr>
        <w:t>(i) If the Purchaser ceases to be a Service Provider for any reason (a “</w:t>
      </w:r>
      <w:r>
        <w:rPr>
          <w:rFonts w:ascii="Times New Roman" w:hAnsi="Times New Roman"/>
          <w:color w:val="000000"/>
          <w:sz w:val="24"/>
          <w:u w:val="single"/>
        </w:rPr>
        <w:t>Service Termination</w:t>
      </w:r>
      <w:r>
        <w:rPr>
          <w:rFonts w:ascii="Times New Roman" w:hAnsi="Times New Roman"/>
          <w:color w:val="000000"/>
          <w:sz w:val="20"/>
        </w:rPr>
        <w:t>”</w:t>
      </w:r>
      <w:r>
        <w:rPr>
          <w:rFonts w:ascii="Times New Roman" w:hAnsi="Times New Roman"/>
          <w:color w:val="000000"/>
          <w:sz w:val="24"/>
        </w:rPr>
        <w:t>), the Company may repurchase some or all of the unvested Shares held by the Purchaser at the lesser of (A) the price paid by the Purchaser for such unvested Shares and (B) the Fair Market Value of the unvested Shares as of the date of the repurchase (the “</w:t>
      </w:r>
      <w:r>
        <w:rPr>
          <w:rFonts w:ascii="Times New Roman" w:hAnsi="Times New Roman"/>
          <w:color w:val="000000"/>
          <w:sz w:val="24"/>
          <w:u w:val="single"/>
        </w:rPr>
        <w:t>Unvested Share Repurchase Price</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bookmarkStart w:id="53" w:name="xii__if_the_purchaser_ceases_to_be_a_ser"/>
      <w:bookmarkEnd w:id="53"/>
      <w:r>
        <w:rPr>
          <w:rFonts w:ascii="Times New Roman" w:hAnsi="Times New Roman"/>
          <w:color w:val="000000"/>
          <w:sz w:val="24"/>
        </w:rPr>
        <w:t>(ii) If the Purchaser ceases to be a Service Provider for Cause, the Company may, at the election of the Administrator, repurchase some or all of the vested Shares held by the Purchaser (if any) at the Unvested Share Repurchase Price.</w:t>
      </w:r>
    </w:p>
    <w:p>
      <w:pPr>
        <w:pStyle w:val="TextBody"/>
        <w:bidi w:val="0"/>
        <w:spacing w:before="240" w:after="283"/>
        <w:jc w:val="both"/>
        <w:rPr>
          <w:rFonts w:ascii="Times New Roman" w:hAnsi="Times New Roman"/>
          <w:sz w:val="20"/>
        </w:rPr>
      </w:pPr>
      <w:bookmarkStart w:id="54" w:name="xiii__the_company_may_exercise_any_or_al"/>
      <w:bookmarkEnd w:id="54"/>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The Company may exercise any or all of its repurchase rights by delivering to Purchaser (or his or her transferee or legal representative, as the case may be), a notice in writing indicating the Company’s intention to exercise the repurchase right(s) on a date specified by the Company that is within six months after the Service Termination. Payment of the applicable repurchase price shall be made, at the option of the Company or its assignee(s), in cash, by check or wire transfer of immediately available funds, by cancellation of all or a portion of any outstanding indebtedness of the Purchaser to the Company (or, in the case of repurchase by an assignee, to the assignee) or by any combination thereof. In the event that the Purchaser refuses to transfer the Shares, the Company or its assignee(s) may deposit the applicable repurchase price in an account of the Purchaser’s benefit and, upon such deposit, the Shares being repurchased will be deemed transferred and the Purchaser will no longer have any rights with respect to such Shares.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Non-transferability</w:t>
      </w:r>
      <w:r>
        <w:rPr>
          <w:rFonts w:ascii="Times New Roman" w:hAnsi="Times New Roman"/>
          <w:color w:val="000000"/>
          <w:sz w:val="24"/>
        </w:rPr>
        <w:t>. The Purchaser shall not sell, assign, pledge or otherwise transfer (voluntarily or involuntarily) unvested Shares. The transfer restrictions set forth in this Section 2(c) shall lapse when the Shares vest, subject to the remaining terms of this Agreement and the Option Documents.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Adjustments</w:t>
      </w:r>
      <w:r>
        <w:rPr>
          <w:rFonts w:ascii="Times New Roman" w:hAnsi="Times New Roman"/>
          <w:color w:val="000000"/>
          <w:sz w:val="24"/>
        </w:rPr>
        <w:t>. The number of Shares covered by the Award and the type of stock or other consideration to be received on settlement of the Award shall be subject to such adjustment, pursuant to the Plan in the manner determined to be appropriate by the Administrator in its sole discretion. Any adjustment determined to be appropriate by the Administrator shall be conclusive and shall be binding on the Purchaser. Any Common Stock or other securities received by the Purchaser as a result of such transaction with respect to the Shares shall be subject to the restrictions and conditions set forth herein with respect to the Shares.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Tax Issues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As a condition to the issuance and receipt of the Shares, if the Purchaser is a U.S. taxpayer, the Purchaser shall timely file a properly completed election, substantially in the form attached hereto as </w:t>
      </w:r>
      <w:r>
        <w:rPr>
          <w:rFonts w:ascii="Times New Roman" w:hAnsi="Times New Roman"/>
          <w:color w:val="000000"/>
          <w:sz w:val="24"/>
          <w:u w:val="single"/>
        </w:rPr>
        <w:t>Annex 2</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Election</w:t>
      </w:r>
      <w:r>
        <w:rPr>
          <w:rFonts w:ascii="Times New Roman" w:hAnsi="Times New Roman"/>
          <w:color w:val="000000"/>
          <w:sz w:val="20"/>
        </w:rPr>
        <w:t>”</w:t>
      </w:r>
      <w:r>
        <w:rPr>
          <w:rFonts w:ascii="Times New Roman" w:hAnsi="Times New Roman"/>
          <w:color w:val="000000"/>
          <w:sz w:val="24"/>
        </w:rPr>
        <w:t>), under Section 83(b) of the Code, with respect to the Shares, provide a copy of the Election to the Company, and otherwise comply with all requirements of Treasury Regulation Section 1.83-2.</w:t>
      </w:r>
    </w:p>
    <w:p>
      <w:pPr>
        <w:pStyle w:val="TextBody"/>
        <w:bidi w:val="0"/>
        <w:spacing w:before="240" w:after="283"/>
        <w:jc w:val="both"/>
        <w:rPr>
          <w:rFonts w:ascii="Times New Roman" w:hAnsi="Times New Roman"/>
          <w:sz w:val="20"/>
        </w:rPr>
      </w:pPr>
      <w:r>
        <w:rPr>
          <w:rFonts w:ascii="Times New Roman" w:hAnsi="Times New Roman"/>
          <w:color w:val="000000"/>
          <w:sz w:val="24"/>
        </w:rPr>
        <w:t>(b) The Purchaser acknowledges that the Purchaser has reviewed with the Purchaser’s own tax advisors the tax consequences of this Agreement, the purchase and its surrounding circumstances, the terms and structure of the Purchaser’s ownership of the Shares and the Purchaser’s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Election, and is relying solely on such advisors and not on any statements or representations of the Company or any of its agents.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The Purchaser understands that the Purchaser (and not the Company or any other entity or individual) shall be responsible for the Purchaser’s own tax liability that may arise as result of the transactions contemplated by this Agreement or relating in any manner to the Shares. If any withholding is required with respect to the Shares, the Company may require the Purchaser to pay the amount of such withholding tax to the Company or an Affiliate or make arrangement otherwise satisfactory to the Company.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Compliance with Legal Requirements</w:t>
      </w:r>
      <w:r>
        <w:rPr>
          <w:rFonts w:ascii="Times New Roman" w:hAnsi="Times New Roman"/>
          <w:color w:val="000000"/>
          <w:sz w:val="24"/>
        </w:rPr>
        <w:t>. The purchase and sale of the Shares, and any other obligations of the Company under this Agreement, shall be subject to all applicable federal, provincial, state, local and foreign laws, rules and regulations and to such approvals by any regulatory or governmental agency as may be required. The Administrator shall have the right to impose such restrictions on the Shares as it deems reasonably necessary or advisable under applicable federal securities laws, the rules and regulations of any stock exchange or market upon which Shares are then listed or traded, and/or any blue sky or state securities laws applicable to such Shares. Unless the Shares are covered by an effective registration statement under the Securities Act, the Shares shall constitute “restricted securities,” as such term is defined in Rule 144 of the Securities Act. The Purchaser acknowledges that (i) the Shares have not been registered under the Securities Act or the securities laws of any state, (ii) there may not exist a market for resale of the Shares, and (iii) such Shares may need to be held indefinitely unless the Shares are subsequently registered under the Securities Act or an exemption from registration is available. The Company shall have no obligation to register the Shares under the Securities Act or otherwise. In connection with any transfer of Shares, the Company may require the Purchaser to provide to the Company at its expense an opinion of counsel, satisfactory to the Company, that such transfer is in compliance with all applicable federal and state securities laws (including, without limitation, the Securities Act). Any attempted disposition of Shares not in accordance with the terms and conditions of this Section 5 shall be null and void, and the Company shall not reflect on its records any change in record ownership of any Shares as a result of any such disposition, shall otherwise refuse to recognize any such disposition and shall not in any way give effect to any such disposition of any Shares. It is expressly understood that the Administrator is authorized to administer, construe, and make all determinations necessary or appropriate to the administration of the Plan, subject to the terms of this Agreement, all of which shall be binding upon the Purchaser. The Purchaser agrees to take all steps the Administrator determines are reasonably necessary to comply with all applicable provisions of federal and state securities law in exercising his or her rights under this Agreement.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Drag-Along Right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Actions to be Taken</w:t>
      </w:r>
      <w:r>
        <w:rPr>
          <w:rFonts w:ascii="Times New Roman" w:hAnsi="Times New Roman"/>
          <w:color w:val="000000"/>
          <w:sz w:val="24"/>
        </w:rPr>
        <w:t>. In the event that (i) the requisite holders of outstanding capital stock of the Company required by applicable law to approve a Corporate Transaction (the “</w:t>
      </w:r>
      <w:r>
        <w:rPr>
          <w:rFonts w:ascii="Times New Roman" w:hAnsi="Times New Roman"/>
          <w:color w:val="000000"/>
          <w:sz w:val="24"/>
          <w:u w:val="single"/>
        </w:rPr>
        <w:t>Requisite Holders</w:t>
      </w:r>
      <w:r>
        <w:rPr>
          <w:rFonts w:ascii="Times New Roman" w:hAnsi="Times New Roman"/>
          <w:color w:val="000000"/>
          <w:sz w:val="20"/>
        </w:rPr>
        <w:t>”</w:t>
      </w:r>
      <w:r>
        <w:rPr>
          <w:rFonts w:ascii="Times New Roman" w:hAnsi="Times New Roman"/>
          <w:color w:val="000000"/>
          <w:sz w:val="24"/>
        </w:rPr>
        <w:t>) and (ii) the Board approves a Corporate Transaction in writing, specifying that this Section 6 shall apply to such Corporate Transaction, then the Purchaser hereby agrees: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if such transaction requires the Purchaser’s approval and to the extent the Shares are entitled to vote, to vote (in person, by proxy or by action by written consent, as applicable) all Shares in favor of, and adopt, such Corporate Transaction (together with any related agreements required in order to implement such Corporate Transaction) and to vote in opposition to any and all other proposals that could reasonably be expected to delay or impair the ability of the Company to consummate such Corporate Transaction of the Company;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if such Corporate Transaction is a transaction or a series of related transactions which any person (within the meaning of Section 13(d)(3) or 14(d)(2) of the Exchange Act) acquires from the Requisite Holders immediately prior to such transaction or series of related transactions capital stock representing more than 50% of the combined voting power of the then outstanding voting securities of the Company, to sell the same proportion Shares as is being sold by the Requisite Holders to the person whom the Requisite Holders propose to sell their capital stock, and, except as permitted by this Agreement or the Plan or otherwise provided in the Company’s Certificate of Incorporation then in effect, on the same terms and conditions as the Requisite Holders;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to execute and deliver all related documentation and take such other action in support of the Corporate Transaction as shall reasonably be requested by the Administrator in order to carry out the terms and provision of this Section 6, including without limitation executing and delivering instruments of conveyance and transfer, and any purchase agreement, merger agreement, indemnity agreement, escrow agreement, consent, waiver, governmental filing, share certificates duly endorsed for transfer (free and clear of impermissible liens, claims and encumbrances) and any similar or related documents;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 not to deposit any Shares in a voting trust or subject any Shares to any arrangement or agreement with respect to the voting of such Shares, unless specifically requested to do so by the acquiror;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to refrain from exercising any dissenters’ rights or rights of appraisal under applicable law at any time with respect to such Corporate Transaction; and</w:t>
      </w:r>
    </w:p>
    <w:p>
      <w:pPr>
        <w:pStyle w:val="TextBody"/>
        <w:bidi w:val="0"/>
        <w:spacing w:before="240" w:after="283"/>
        <w:jc w:val="both"/>
        <w:rPr>
          <w:rFonts w:ascii="Times New Roman" w:hAnsi="Times New Roman"/>
          <w:sz w:val="20"/>
        </w:rPr>
      </w:pPr>
      <w:r>
        <w:rPr>
          <w:rFonts w:ascii="Times New Roman" w:hAnsi="Times New Roman"/>
          <w:color w:val="000000"/>
          <w:sz w:val="24"/>
        </w:rPr>
        <w:t>(vi) in the event that the Requisite Holders, in connection with such Corporate Transaction, appoint an equityholder representative (the “</w:t>
      </w:r>
      <w:r>
        <w:rPr>
          <w:rFonts w:ascii="Times New Roman" w:hAnsi="Times New Roman"/>
          <w:color w:val="000000"/>
          <w:sz w:val="24"/>
          <w:u w:val="single"/>
        </w:rPr>
        <w:t>Equityholder</w:t>
      </w:r>
      <w:r>
        <w:rPr>
          <w:rFonts w:ascii="Times New Roman" w:hAnsi="Times New Roman"/>
          <w:color w:val="000000"/>
          <w:sz w:val="20"/>
        </w:rPr>
        <w:t xml:space="preserve"> </w:t>
      </w:r>
      <w:r>
        <w:rPr>
          <w:rFonts w:ascii="Times New Roman" w:hAnsi="Times New Roman"/>
          <w:color w:val="000000"/>
          <w:sz w:val="24"/>
          <w:u w:val="single"/>
        </w:rPr>
        <w:t>Representative</w:t>
      </w:r>
      <w:r>
        <w:rPr>
          <w:rFonts w:ascii="Times New Roman" w:hAnsi="Times New Roman"/>
          <w:color w:val="000000"/>
          <w:sz w:val="20"/>
        </w:rPr>
        <w:t>”</w:t>
      </w:r>
      <w:r>
        <w:rPr>
          <w:rFonts w:ascii="Times New Roman" w:hAnsi="Times New Roman"/>
          <w:color w:val="000000"/>
          <w:sz w:val="24"/>
        </w:rPr>
        <w:t>) with respect to matters affecting the holders of the capital stock of the Company under the applicable definitive transaction agreements following consummation of such Corporate Transaction, (x) to consent to (A) the appointment of such Equityholder Representative, (B) the establishment of any applicable escrow, expense or similar fund in connection with any indemnification or similar obligations, and (C) the payment of the Purchaser’s pro rata portion (from the applicable escrow or expense fund or otherwise) of any and all reasonable fees and expenses to such Equityholder Representative in connection with such Equityholder Representative’s services and duties in connection with such Corporate Transaction and its related service as the representative of the holders of capital stock of the Company, and (y) not to assert any claim or commence any suit against the Equityholder Representative or any other holder of capital stock of the Company with respect to any action or inaction taken or failed to be taken by the Equityholder Representative in connection with its service as the Equityholder Representative, absent fraud or willful misconduct.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Nothing in this Section 6 shall be interrupted to limit the powers of the Administrator pursuant to Section 13 (Corporate Transactions) of the Plan or to grant any voting rights in respect of the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In the event of any conflict between the provisions of this Section 6 and any “drag-along” rights contained in a subsequent investor rights agreement, voting rights agreement or any other agreement to which Purchaser becomes a party, the terms and conditions of such subsequent agreement shall control.</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Termination of Certain Transfer Restrictions</w:t>
      </w:r>
      <w:r>
        <w:rPr>
          <w:rFonts w:ascii="Times New Roman" w:hAnsi="Times New Roman"/>
          <w:color w:val="000000"/>
          <w:sz w:val="24"/>
        </w:rPr>
        <w:t>. The restrictions on transfer described in Section 6 (Drag-Along Right) shall terminate as to any Shares upon the earlier of (i) consummation of an Initial Public Offering, or (ii) consummation of a Corporate Transaction.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Investment Representations</w:t>
      </w:r>
      <w:r>
        <w:rPr>
          <w:rFonts w:ascii="Times New Roman" w:hAnsi="Times New Roman"/>
          <w:color w:val="000000"/>
          <w:sz w:val="24"/>
        </w:rPr>
        <w:t>. In connection with the purchase of the Shares, the undersigned Purchaser represents to the Company the following: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The Purchaser is acquiring the Shares for the Purchaser’s own account for investment only, and not for resale or with a view to the distribution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The Purchaser has had such an opportunity as he or she has deemed adequate to obtain from the Company such information as is necessary to permit him or her to evaluate the merits and risks of the Purchaser’s investment in the Company (including without limitation an evaluation and analysis in connection with the tax consequences of holding the Shares) and has consulted with the Purchaser’s own legal, tax and accounting advisers with respect to the Purchaser’s investment in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 The Purchaser has received a copy of the Plan, and has read it in its entirety.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The Purchaser has sufficient experience in business, financial and investment matters to be able to evaluate the risks involved in the acquisition of the Shares and to make an informed investment decision with respect to such acquisition.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The Purchaser understands that the Shares are a speculative investment which involves a high degree of risk of loss of the Purchaser’s investment therein, there are substantial restrictions on the transferability of the Shares, and, accordingly, it may not be possible for the Purchaser to liquidate the Purchaser’s investment in case of emergency, if at all.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 The Purchaser can afford a complete loss of the value of the Shares and is able to bear the economic risk of holding such Shares for an indefinite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 The Purchaser understands that the Shares are not registered under the Securities Act (it being understood that the Shares are being issued and sold in reliance on the exemption provided in Rule 701 thereunder or such other applicable exemption) or any applicable state securities or “blue sky” laws and may not be sold or otherwise transferred or disposed of in the absence of an effective registration statement under the Securities Act and under any applicable state securities or “blue sky” laws (or exemptions from the registration requirements thereof). The Purchaser understands that the Company is relying in part upon the truth and accuracy of, and the Purchaser’s compliance with, the representations, warranties, agreements, acknowledgments and understandings that are set forth in this Agreement in order to determine the availability of such exemptions and the Purchaser’s eligibility to acquire the Shares.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 The Purchaser understands that the Company is under no obligation to register the Shares under the Securities Act on behalf of the Purchaser or to assist the Purchaser in complying with any exemption from registration.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The Purchaser understands that the Shares must be held indefinitely and the Purchaser must continue to bear the economic risk of the investment in the Shares unless the offer and sale of Shares are subsequently registered under the Securities Act and all applicable state securities laws or an exemption is available.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 The Purchaser understands that the Shares are not being offered to the public, there is no established market for the Shares and it is not anticipated that there will be any public market for the Shares in the foreseeable future.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 The Purchaser understands and has taken cognizance of all risk factors related to the purchase of the Shares and, other than as set forth in this Agreement, no representations or warranties have been made to the Purchaser or the Purchaser’s representatives concerning the Shares, the Company or its subsidiaries or their prospects or other matters.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 The Purchaser has indicated on the signature page hereto whether Purchaser is an “accredited investor” within the meaning of Rule 501(a) under the Securities Act. All information which the Purchaser has provided to the Company and the Company’s representatives concerning the Purchaser and the Purchaser’s financial position is complete and correct as of the date of this Agreement. The Purchaser is a resident of the federal, state, foreign or local jurisdictions reflected in the payroll records of the Company or one of its subsidiaries.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Spousal Consent</w:t>
      </w:r>
      <w:r>
        <w:rPr>
          <w:rFonts w:ascii="Times New Roman" w:hAnsi="Times New Roman"/>
          <w:color w:val="000000"/>
          <w:sz w:val="24"/>
        </w:rPr>
        <w:t xml:space="preserve">. If the Purchaser is legally married, the Purchaser shall deliver to the Company, as a condition of the purchase hereunder, the Spousal Consent attached hereto as </w:t>
      </w:r>
      <w:r>
        <w:rPr>
          <w:rFonts w:ascii="Times New Roman" w:hAnsi="Times New Roman"/>
          <w:color w:val="000000"/>
          <w:sz w:val="24"/>
          <w:u w:val="single"/>
        </w:rPr>
        <w:t>Annex 3</w:t>
      </w: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Restrictive Legends and Stop-Transfer Orders.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Legends</w:t>
      </w:r>
      <w:r>
        <w:rPr>
          <w:rFonts w:ascii="Times New Roman" w:hAnsi="Times New Roman"/>
          <w:color w:val="000000"/>
          <w:sz w:val="24"/>
        </w:rPr>
        <w:t>. The Purchaser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SECURITIES REPRESENTED HEREBY HAVE NOT BEEN REGISTERED UNDER THE SECURITIES ACT OF 1933 (THE “SECURITIES ACT”) AND MAY NOT BE OFFERED, SOLD OR OTHERWISE TRANSFERRED, PLEDGED OR HYPOTHECATED UNLESS AND UNTIL REGISTERED UNDER THE SECURITIES ACT OR, IN THE OPINION OF COUNSEL SATISFACTORY TO THE ISSUER OF THESE SECURITIES, SUCH OFFER, SALE OR TRANSFER, PLEDGE OR HYPOTHECATION IS IN COMPLIANCE THEREWITH.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SHARES REPRESENTED BY THIS CERTIFICATE ARE UNVESTED AND ARE SUBJECT TO CERTAIN REPURCHASE RIGHTS AND RIGHTS OF FIRST REFUSAL GRANTED TO THE ISSUER AND ACCORDINGLY MAY NOT BE SOLD, ASSIGNED, TRANSFERRED, ENCUMBERED, OR IN ANY MANNER DISPOSED OF EXCEPT IN CONFORMITY WITH THE TERMS OF THE WRITTEN AGREEMENT BETWEEN THE ISSUER AND THE ORIGINAL HOLDER OF THE SHARES. A COPY OF SUCH AGREEMENT IS MAINTAINED AT THE ISSUER’S PRINCIPAL CORPORATE OFFICES.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Stop-Transfer Notices</w:t>
      </w:r>
      <w:r>
        <w:rPr>
          <w:rFonts w:ascii="Times New Roman" w:hAnsi="Times New Roman"/>
          <w:color w:val="000000"/>
          <w:sz w:val="24"/>
        </w:rPr>
        <w:t>. Purchaser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Refusal to Transfer</w:t>
      </w:r>
      <w:r>
        <w:rPr>
          <w:rFonts w:ascii="Times New Roman" w:hAnsi="Times New Roman"/>
          <w:color w:val="000000"/>
          <w:sz w:val="24"/>
        </w:rPr>
        <w:t>.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No Guarantee of Continuing Service</w:t>
      </w:r>
      <w:r>
        <w:rPr>
          <w:rFonts w:ascii="Times New Roman" w:hAnsi="Times New Roman"/>
          <w:color w:val="000000"/>
          <w:sz w:val="24"/>
        </w:rPr>
        <w:t>. Neither the purchase of the Shares under this Agreement nor any term or provision of this Agreement shall constitute or be evidence of any understanding, express or implied, on the part of the Company or an Affiliate to employ or retain the Purchaser for any period.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Electronic Delivery</w:t>
      </w:r>
      <w:r>
        <w:rPr>
          <w:rFonts w:ascii="Times New Roman" w:hAnsi="Times New Roman"/>
          <w:color w:val="000000"/>
          <w:sz w:val="24"/>
        </w:rPr>
        <w:t>. The Company may, in its sole discretion, decide to deliver any documents relating to the Company, the Plan or this Award, and any other documents or notices that the Company is required to deliver to its security holders (including, without limitation, disclosures that may be required by the Securities and Exchange Commission and stockholder notices pursuant to the Delaware General Corporation Law, as amended or superseded from time to time (the “DGCL”)), by email or other electronic means. The Purchaser hereby consents to (a) conduct business electronically, (b) receive such documents and notices by such electronic delivery, including pursuant to Section 232 of the DGCL (or any successor thereto), and (c) sign documents electronically, and the Purchaser hereby agrees to participate through any on-line or electronic capitalization administration platform established and maintained by the Company or a third party designated by the Company (the “</w:t>
      </w:r>
      <w:r>
        <w:rPr>
          <w:rFonts w:ascii="Times New Roman" w:hAnsi="Times New Roman"/>
          <w:color w:val="000000"/>
          <w:sz w:val="24"/>
          <w:u w:val="single"/>
        </w:rPr>
        <w:t>Electronic Cap Table Platform</w:t>
      </w:r>
      <w:r>
        <w:rPr>
          <w:rFonts w:ascii="Times New Roman" w:hAnsi="Times New Roman"/>
          <w:color w:val="000000"/>
          <w:sz w:val="20"/>
        </w:rPr>
        <w:t>”</w:t>
      </w:r>
      <w:r>
        <w:rPr>
          <w:rFonts w:ascii="Times New Roman" w:hAnsi="Times New Roman"/>
          <w:color w:val="000000"/>
          <w:sz w:val="24"/>
        </w:rPr>
        <w:t>). The Purchaser acknowledges that he or she may incur costs in connection with electronic delivery, including the cost of accessing the internet and printing fees, and that an interruption of internet access may interfere with his or her ability to access the documents. The Purchaser acknowledges that the Purchaser may receive additional electronic notices, records and other transmissions through the Electronic Cap Table Platform with respect to the Award (“</w:t>
      </w:r>
      <w:r>
        <w:rPr>
          <w:rFonts w:ascii="Times New Roman" w:hAnsi="Times New Roman"/>
          <w:color w:val="000000"/>
          <w:sz w:val="24"/>
          <w:u w:val="single"/>
        </w:rPr>
        <w:t>Electronic</w:t>
      </w:r>
      <w:r>
        <w:rPr>
          <w:rFonts w:ascii="Times New Roman" w:hAnsi="Times New Roman"/>
          <w:color w:val="000000"/>
          <w:sz w:val="20"/>
        </w:rPr>
        <w:t xml:space="preserve"> </w:t>
      </w:r>
      <w:r>
        <w:rPr>
          <w:rFonts w:ascii="Times New Roman" w:hAnsi="Times New Roman"/>
          <w:color w:val="000000"/>
          <w:sz w:val="24"/>
          <w:u w:val="single"/>
        </w:rPr>
        <w:t>Transmissions</w:t>
      </w:r>
      <w:r>
        <w:rPr>
          <w:rFonts w:ascii="Times New Roman" w:hAnsi="Times New Roman"/>
          <w:color w:val="000000"/>
          <w:sz w:val="20"/>
        </w:rPr>
        <w:t>”</w:t>
      </w:r>
      <w:r>
        <w:rPr>
          <w:rFonts w:ascii="Times New Roman" w:hAnsi="Times New Roman"/>
          <w:color w:val="000000"/>
          <w:sz w:val="24"/>
        </w:rPr>
        <w:t>), but that such Electronic Transmissions are for administrative and convenience purposes only, and that all terms of the Award shall be governed by this Agreement and the Plan. To the extent that there is a conflict between the terms of this Agreement or the Plan and any terms set forth in any Electronic Transmission, the terms of this Agreement or the Plan shall govern.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Notices</w:t>
      </w:r>
      <w:r>
        <w:rPr>
          <w:rFonts w:ascii="Times New Roman" w:hAnsi="Times New Roman"/>
          <w:color w:val="000000"/>
          <w:sz w:val="24"/>
        </w:rPr>
        <w:t>. All notices, requests, consents and other communications shall be in writing and be deemed given when delivered personally, by electronic mail or facsimile transmission or when received if mailed by first class registered or certified mail, postage prepaid. Notices to the Company or the Purchaser shall be addressed as set forth underneath their signatures below, or to such other address or addresses as may have been furnished by such party in writing to the other.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Amendments</w:t>
      </w:r>
      <w:r>
        <w:rPr>
          <w:rFonts w:ascii="Times New Roman" w:hAnsi="Times New Roman"/>
          <w:color w:val="000000"/>
          <w:sz w:val="24"/>
        </w:rPr>
        <w:t>. This Agreement may not be orally amended, modified or terminated, nor shall any oral waiver of any of its terms be effective. This Agreement may be amended, modified or terminated only by an agreement in writing signed by the Company and the Purchaser.</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Representation of Purchaser</w:t>
      </w:r>
      <w:r>
        <w:rPr>
          <w:rFonts w:ascii="Times New Roman" w:hAnsi="Times New Roman"/>
          <w:color w:val="000000"/>
          <w:sz w:val="24"/>
        </w:rPr>
        <w:t>. The Purchaser acknowledges that the Purchaser has received, read and understood this Agreement and agrees that the Purchaser is bound by and subject to its terms and conditions.</w:t>
      </w:r>
    </w:p>
    <w:p>
      <w:pPr>
        <w:pStyle w:val="TextBody"/>
        <w:bidi w:val="0"/>
        <w:spacing w:before="240" w:after="283"/>
        <w:jc w:val="both"/>
        <w:rPr/>
      </w:pPr>
      <w:r>
        <w:rPr/>
        <w:t> </w:t>
      </w:r>
    </w:p>
    <w:tbl>
      <w:tblPr>
        <w:tblW w:w="6242" w:type="dxa"/>
        <w:jc w:val="left"/>
        <w:tblInd w:w="0" w:type="dxa"/>
        <w:tblLayout w:type="fixed"/>
        <w:tblCellMar>
          <w:top w:w="28" w:type="dxa"/>
          <w:left w:w="28" w:type="dxa"/>
          <w:bottom w:w="28" w:type="dxa"/>
          <w:right w:w="28" w:type="dxa"/>
        </w:tblCellMar>
      </w:tblPr>
      <w:tblGrid>
        <w:gridCol w:w="1576"/>
        <w:gridCol w:w="146"/>
        <w:gridCol w:w="770"/>
        <w:gridCol w:w="234"/>
        <w:gridCol w:w="3516"/>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16" w:type="dxa"/>
            <w:tcBorders/>
            <w:vAlign w:val="center"/>
          </w:tcPr>
          <w:p>
            <w:pPr>
              <w:pStyle w:val="TableContents"/>
              <w:bidi w:val="0"/>
              <w:spacing w:before="0" w:after="283"/>
              <w:jc w:val="left"/>
              <w:rPr>
                <w:sz w:val="4"/>
                <w:szCs w:val="4"/>
              </w:rPr>
            </w:pPr>
            <w:r>
              <w:rPr>
                <w:sz w:val="4"/>
                <w:szCs w:val="4"/>
              </w:rPr>
            </w:r>
          </w:p>
        </w:tc>
      </w:tr>
      <w:tr>
        <w:trPr/>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Submitted 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2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Accepted by:</w:t>
            </w:r>
          </w:p>
        </w:tc>
      </w:tr>
      <w:tr>
        <w:trPr/>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2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2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ODYSSEY THERAPEUTICS, INC.</w:t>
            </w:r>
          </w:p>
        </w:tc>
      </w:tr>
      <w:tr>
        <w:trPr/>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2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Ian Smith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375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Gary D. Glick</w:t>
            </w:r>
          </w:p>
        </w:tc>
      </w:tr>
      <w:tr>
        <w:trPr/>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20" w:type="dxa"/>
            <w:gridSpan w:val="3"/>
            <w:tcBorders/>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1576" w:type="dxa"/>
            <w:tcBorders>
              <w:bottom w:val="single" w:sz="4" w:space="0" w:color="000000"/>
            </w:tcBorders>
            <w:tcMar>
              <w:top w:w="0" w:type="dxa"/>
              <w:left w:w="0" w:type="dxa"/>
              <w:right w:w="0" w:type="dxa"/>
            </w:tcMar>
            <w:vAlign w:val="center"/>
          </w:tcPr>
          <w:p>
            <w:pPr>
              <w:pStyle w:val="TableContents"/>
              <w:bidi w:val="0"/>
              <w:spacing w:before="0" w:after="283"/>
              <w:ind w:left="0" w:right="0" w:firstLine="288"/>
              <w:jc w:val="left"/>
              <w:rPr>
                <w:rFonts w:ascii="Times New Roman" w:hAnsi="Times New Roman"/>
                <w:color w:val="000000"/>
                <w:sz w:val="24"/>
              </w:rPr>
            </w:pPr>
            <w:r>
              <w:rPr>
                <w:rFonts w:ascii="Times New Roman" w:hAnsi="Times New Roman"/>
                <w:color w:val="000000"/>
                <w:sz w:val="24"/>
              </w:rPr>
              <w:t>Ian Smith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5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Gary D. Glick, Ph.D.</w:t>
            </w:r>
          </w:p>
        </w:tc>
      </w:tr>
      <w:tr>
        <w:trPr/>
        <w:tc>
          <w:tcPr>
            <w:tcW w:w="15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Print 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2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75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President and Chief Executive Officer</w:t>
            </w:r>
          </w:p>
        </w:tc>
      </w:tr>
      <w:tr>
        <w:trPr/>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35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736" w:type="dxa"/>
        <w:jc w:val="left"/>
        <w:tblInd w:w="0" w:type="dxa"/>
        <w:tblLayout w:type="fixed"/>
        <w:tblCellMar>
          <w:top w:w="28" w:type="dxa"/>
          <w:left w:w="28" w:type="dxa"/>
          <w:bottom w:w="28" w:type="dxa"/>
          <w:right w:w="28" w:type="dxa"/>
        </w:tblCellMar>
      </w:tblPr>
      <w:tblGrid>
        <w:gridCol w:w="961"/>
        <w:gridCol w:w="146"/>
        <w:gridCol w:w="146"/>
        <w:gridCol w:w="146"/>
        <w:gridCol w:w="146"/>
        <w:gridCol w:w="19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Address: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875"/>
        <w:gridCol w:w="468"/>
        <w:gridCol w:w="664"/>
        <w:gridCol w:w="239"/>
        <w:gridCol w:w="312"/>
      </w:tblGrid>
      <w:tr>
        <w:trPr/>
        <w:tc>
          <w:tcPr>
            <w:tcW w:w="287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28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The Purchaser is </w:t>
            </w:r>
          </w:p>
        </w:tc>
        <w:tc>
          <w:tcPr>
            <w:tcW w:w="46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X</w:t>
            </w:r>
          </w:p>
        </w:tc>
        <w:tc>
          <w:tcPr>
            <w:tcW w:w="66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558"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an “accredited investor” within the meaning of</w:t>
            </w:r>
          </w:p>
        </w:tc>
      </w:tr>
      <w:tr>
        <w:trPr/>
        <w:tc>
          <w:tcPr>
            <w:tcW w:w="4558"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Rule 501(a) under the Securities Act.</w:t>
            </w:r>
          </w:p>
        </w:tc>
      </w:tr>
    </w:tbl>
    <w:p>
      <w:pPr>
        <w:pStyle w:val="TextBody"/>
        <w:bidi w:val="0"/>
        <w:jc w:val="both"/>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[Signature Page to Restricted Stock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Annex 1</w:t>
      </w:r>
    </w:p>
    <w:p>
      <w:pPr>
        <w:pStyle w:val="Heading1"/>
        <w:bidi w:val="0"/>
        <w:spacing w:before="120" w:after="283"/>
        <w:jc w:val="center"/>
        <w:rPr>
          <w:rFonts w:ascii="Times New Roman" w:hAnsi="Times New Roman"/>
          <w:color w:val="000000"/>
          <w:sz w:val="24"/>
        </w:rPr>
      </w:pPr>
      <w:r>
        <w:rPr>
          <w:rFonts w:ascii="Times New Roman" w:hAnsi="Times New Roman"/>
          <w:color w:val="000000"/>
          <w:sz w:val="24"/>
        </w:rPr>
        <w:t>STOCK POWER AND ASSIGNMENT</w:t>
      </w:r>
    </w:p>
    <w:p>
      <w:pPr>
        <w:pStyle w:val="Heading1"/>
        <w:bidi w:val="0"/>
        <w:jc w:val="center"/>
        <w:rPr>
          <w:rFonts w:ascii="Times New Roman" w:hAnsi="Times New Roman"/>
          <w:color w:val="000000"/>
          <w:sz w:val="24"/>
        </w:rPr>
      </w:pPr>
      <w:r>
        <w:rPr>
          <w:rFonts w:ascii="Times New Roman" w:hAnsi="Times New Roman"/>
          <w:color w:val="000000"/>
          <w:sz w:val="24"/>
        </w:rPr>
        <w:t>SEPARATE FROM CERTIFICATE</w:t>
      </w:r>
    </w:p>
    <w:p>
      <w:pPr>
        <w:pStyle w:val="TextBody"/>
        <w:bidi w:val="0"/>
        <w:spacing w:before="240" w:after="283"/>
        <w:jc w:val="both"/>
        <w:rPr>
          <w:rFonts w:ascii="Times New Roman" w:hAnsi="Times New Roman"/>
          <w:sz w:val="20"/>
        </w:rPr>
      </w:pPr>
      <w:r>
        <w:rPr>
          <w:rFonts w:ascii="Times New Roman" w:hAnsi="Times New Roman"/>
          <w:color w:val="000000"/>
          <w:sz w:val="24"/>
        </w:rPr>
        <w:t>FOR VALUE RECEIVED and pursuant to that certain Restricted Stock Agreement, dated as of ____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the undersigned hereby sell(s), assign(s) and transfer(s) unto Odyssey Therapeutics, Inc. (the “Company”),_________ (_________) shares of the Common Stock of the Company standing in his or her name on the books of the Company and does hereby irrevocably constitute and appoint _________________________ as his or her attorney to transfer the said stock on the books of the Company with full power of substitution in the premises.</w:t>
      </w:r>
    </w:p>
    <w:p>
      <w:pPr>
        <w:pStyle w:val="TextBody"/>
        <w:bidi w:val="0"/>
        <w:jc w:val="left"/>
        <w:rPr/>
      </w:pPr>
      <w:r>
        <w:rPr/>
        <w:t> </w:t>
      </w:r>
    </w:p>
    <w:tbl>
      <w:tblPr>
        <w:tblW w:w="942" w:type="dxa"/>
        <w:jc w:val="left"/>
        <w:tblInd w:w="0" w:type="dxa"/>
        <w:tblLayout w:type="fixed"/>
        <w:tblCellMar>
          <w:top w:w="28" w:type="dxa"/>
          <w:left w:w="28" w:type="dxa"/>
          <w:bottom w:w="28" w:type="dxa"/>
          <w:right w:w="28" w:type="dxa"/>
        </w:tblCellMar>
      </w:tblPr>
      <w:tblGrid>
        <w:gridCol w:w="751"/>
        <w:gridCol w:w="191"/>
      </w:tblGrid>
      <w:tr>
        <w:trPr/>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3859" w:type="dxa"/>
        <w:jc w:val="left"/>
        <w:tblInd w:w="0" w:type="dxa"/>
        <w:tblLayout w:type="fixed"/>
        <w:tblCellMar>
          <w:top w:w="28" w:type="dxa"/>
          <w:left w:w="28" w:type="dxa"/>
          <w:bottom w:w="28" w:type="dxa"/>
          <w:right w:w="28" w:type="dxa"/>
        </w:tblCellMar>
      </w:tblPr>
      <w:tblGrid>
        <w:gridCol w:w="161"/>
        <w:gridCol w:w="2344"/>
        <w:gridCol w:w="1354"/>
      </w:tblGrid>
      <w:tr>
        <w:trPr/>
        <w:tc>
          <w:tcPr>
            <w:tcW w:w="161"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Signature: </w:t>
            </w:r>
          </w:p>
        </w:tc>
        <w:tc>
          <w:tcPr>
            <w:tcW w:w="1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98"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4" w:type="dxa"/>
            <w:tcBorders/>
            <w:tcMar>
              <w:top w:w="0" w:type="dxa"/>
              <w:left w:w="0" w:type="dxa"/>
              <w:bottom w:w="0" w:type="dxa"/>
              <w:right w:w="0" w:type="dxa"/>
            </w:tcMar>
            <w:vAlign w:val="center"/>
          </w:tcPr>
          <w:p>
            <w:pPr>
              <w:pStyle w:val="TableContents"/>
              <w:bidi w:val="0"/>
              <w:spacing w:before="0" w:after="283"/>
              <w:ind w:left="0" w:right="0" w:firstLine="288"/>
              <w:jc w:val="left"/>
              <w:rPr>
                <w:rFonts w:ascii="Times New Roman" w:hAnsi="Times New Roman"/>
                <w:color w:val="000000"/>
                <w:sz w:val="24"/>
              </w:rPr>
            </w:pPr>
            <w:r>
              <w:rPr>
                <w:rFonts w:ascii="Times New Roman" w:hAnsi="Times New Roman"/>
                <w:color w:val="000000"/>
                <w:sz w:val="24"/>
              </w:rPr>
              <w:t>Name (Please Print):</w:t>
            </w:r>
          </w:p>
        </w:tc>
        <w:tc>
          <w:tcPr>
            <w:tcW w:w="1354" w:type="dxa"/>
            <w:tcBorders>
              <w:bottom w:val="single" w:sz="4" w:space="0" w:color="000000"/>
            </w:tcBorders>
            <w:tcMar>
              <w:top w:w="0" w:type="dxa"/>
              <w:left w:w="0" w:type="dxa"/>
              <w:right w:w="0" w:type="dxa"/>
            </w:tcMar>
            <w:vAlign w:val="center"/>
          </w:tcPr>
          <w:p>
            <w:pPr>
              <w:pStyle w:val="TableContents"/>
              <w:bidi w:val="0"/>
              <w:spacing w:before="0" w:after="283"/>
              <w:ind w:left="0" w:right="0" w:firstLine="288"/>
              <w:jc w:val="left"/>
              <w:rPr>
                <w:rFonts w:ascii="Times New Roman" w:hAnsi="Times New Roman"/>
                <w:color w:val="000000"/>
                <w:sz w:val="24"/>
              </w:rPr>
            </w:pPr>
            <w:r>
              <w:rPr>
                <w:rFonts w:ascii="Times New Roman" w:hAnsi="Times New Roman"/>
                <w:color w:val="000000"/>
                <w:sz w:val="24"/>
              </w:rPr>
              <w:t>Ian Smith</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 xml:space="preserve">Instruction: </w:t>
      </w:r>
      <w:r>
        <w:rPr>
          <w:rFonts w:ascii="Times New Roman" w:hAnsi="Times New Roman"/>
          <w:color w:val="000000"/>
          <w:sz w:val="24"/>
        </w:rPr>
        <w:t>Please do not fill in any blanks other than the signature line. The purpose of this assignment is to enable to Company to exercise its right to repurchase the Shares by you without requiring additional signatures on your part.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Annex 2</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ELECTION PURSUANT TO</w:t>
      </w:r>
    </w:p>
    <w:p>
      <w:pPr>
        <w:pStyle w:val="Heading1"/>
        <w:bidi w:val="0"/>
        <w:jc w:val="center"/>
        <w:rPr>
          <w:rFonts w:ascii="Times New Roman" w:hAnsi="Times New Roman"/>
          <w:color w:val="000000"/>
          <w:sz w:val="24"/>
        </w:rPr>
      </w:pPr>
      <w:r>
        <w:rPr>
          <w:rFonts w:ascii="Times New Roman" w:hAnsi="Times New Roman"/>
          <w:color w:val="000000"/>
          <w:sz w:val="24"/>
        </w:rPr>
        <w:t>SECTION 83(B) OF THE INTERNAL REVENUE CODE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undersigned hereby makes an election pursuant to Section 83(b) of the Internal Revenue Code of 1986, as amended, with respect to the property described below and supplies the following information in accordance with the regulations promulgated thereunder: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The name, address and taxpayer identification number of the undersigned are:</w:t>
      </w:r>
    </w:p>
    <w:p>
      <w:pPr>
        <w:pStyle w:val="TextBody"/>
        <w:bidi w:val="0"/>
        <w:spacing w:before="240" w:after="283"/>
        <w:jc w:val="left"/>
        <w:rPr>
          <w:rFonts w:ascii="Times New Roman" w:hAnsi="Times New Roman"/>
          <w:sz w:val="20"/>
        </w:rPr>
      </w:pPr>
      <w:r>
        <w:rPr>
          <w:rFonts w:ascii="Times New Roman" w:hAnsi="Times New Roman"/>
          <w:color w:val="000000"/>
          <w:sz w:val="20"/>
        </w:rPr>
        <w:t>_________</w:t>
      </w:r>
      <w:r>
        <w:rPr>
          <w:rFonts w:ascii="Times New Roman" w:hAnsi="Times New Roman"/>
          <w:color w:val="000000"/>
          <w:sz w:val="24"/>
        </w:rPr>
        <w:t>(the “</w:t>
      </w:r>
      <w:r>
        <w:rPr>
          <w:rFonts w:ascii="Times New Roman" w:hAnsi="Times New Roman"/>
          <w:b/>
          <w:color w:val="000000"/>
          <w:sz w:val="24"/>
        </w:rPr>
        <w:t>Taxpayer</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Address: __________________________________________________________</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Social Security No./Tax ID No.: ___-___-____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Description of property with respect to which the election is being made:</w:t>
      </w:r>
    </w:p>
    <w:p>
      <w:pPr>
        <w:pStyle w:val="TextBody"/>
        <w:bidi w:val="0"/>
        <w:spacing w:before="240" w:after="283"/>
        <w:jc w:val="both"/>
        <w:rPr>
          <w:rFonts w:ascii="Times New Roman" w:hAnsi="Times New Roman"/>
          <w:sz w:val="20"/>
        </w:rPr>
      </w:pPr>
      <w:r>
        <w:rPr>
          <w:rFonts w:ascii="Times New Roman" w:hAnsi="Times New Roman"/>
          <w:color w:val="000000"/>
          <w:sz w:val="24"/>
        </w:rPr>
        <w:t>The election is being made with respect to _________shares of Common Stock (the “</w:t>
      </w:r>
      <w:r>
        <w:rPr>
          <w:rFonts w:ascii="Times New Roman" w:hAnsi="Times New Roman"/>
          <w:b/>
          <w:color w:val="000000"/>
          <w:sz w:val="24"/>
        </w:rPr>
        <w:t>Shares</w:t>
      </w:r>
      <w:r>
        <w:rPr>
          <w:rFonts w:ascii="Times New Roman" w:hAnsi="Times New Roman"/>
          <w:color w:val="000000"/>
          <w:sz w:val="20"/>
        </w:rPr>
        <w:t>”</w:t>
      </w:r>
      <w:r>
        <w:rPr>
          <w:rFonts w:ascii="Times New Roman" w:hAnsi="Times New Roman"/>
          <w:color w:val="000000"/>
          <w:sz w:val="24"/>
        </w:rPr>
        <w:t>) in Odyssey Therapeutics,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rPr>
        <w:t xml:space="preserve">The date on which the Shares were transferred is </w:t>
      </w:r>
      <w:r>
        <w:rPr>
          <w:rFonts w:ascii="Times New Roman" w:hAnsi="Times New Roman"/>
          <w:color w:val="000000"/>
          <w:sz w:val="20"/>
        </w:rPr>
        <w:t>_________</w:t>
      </w:r>
      <w:r>
        <w:rPr>
          <w:rFonts w:ascii="Times New Roman" w:hAnsi="Times New Roman"/>
          <w:color w:val="000000"/>
          <w:sz w:val="24"/>
        </w:rPr>
        <w:t>. The taxable year to which this election relates is calendar year 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Nature of restrictions to which the Shares are subject: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Shares are subject to a vesting schedule. Unvested Shares are subject to repurchase at the lesser of the original purchase price or fair market value if the Taxpayer ceases to provide services to the Company or its affiliates.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rPr>
        <w:t>The fair market value at time of transfer (determined without regard to any restrictions other than restrictions that by their terms will never lapse) of the Shares with respect to which this election is being made was $</w:t>
      </w:r>
      <w:r>
        <w:rPr>
          <w:rFonts w:ascii="Times New Roman" w:hAnsi="Times New Roman"/>
          <w:color w:val="000000"/>
          <w:sz w:val="20"/>
        </w:rPr>
        <w:t>_________</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amount paid by the Taxpayer for the Shares was $____.</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copy of this statement has been furnished to the Company and to all other persons entitled to receive a copy of this statement as provided in Treasury Regulations §1.83-2(d).</w:t>
      </w:r>
    </w:p>
    <w:p>
      <w:pPr>
        <w:pStyle w:val="TextBody"/>
        <w:bidi w:val="0"/>
        <w:jc w:val="left"/>
        <w:rPr/>
      </w:pPr>
      <w:r>
        <w:rPr/>
        <w:t> </w:t>
      </w:r>
    </w:p>
    <w:tbl>
      <w:tblPr>
        <w:tblW w:w="1557" w:type="dxa"/>
        <w:jc w:val="left"/>
        <w:tblInd w:w="0" w:type="dxa"/>
        <w:tblLayout w:type="fixed"/>
        <w:tblCellMar>
          <w:top w:w="28" w:type="dxa"/>
          <w:left w:w="28" w:type="dxa"/>
          <w:bottom w:w="28" w:type="dxa"/>
          <w:right w:w="28" w:type="dxa"/>
        </w:tblCellMar>
      </w:tblPr>
      <w:tblGrid>
        <w:gridCol w:w="631"/>
        <w:gridCol w:w="146"/>
        <w:gridCol w:w="146"/>
        <w:gridCol w:w="146"/>
        <w:gridCol w:w="146"/>
        <w:gridCol w:w="151"/>
        <w:gridCol w:w="191"/>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Date</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96" w:type="dxa"/>
        <w:jc w:val="left"/>
        <w:tblInd w:w="0" w:type="dxa"/>
        <w:tblLayout w:type="fixed"/>
        <w:tblCellMar>
          <w:top w:w="28" w:type="dxa"/>
          <w:left w:w="28" w:type="dxa"/>
          <w:bottom w:w="28" w:type="dxa"/>
          <w:right w:w="28" w:type="dxa"/>
        </w:tblCellMar>
      </w:tblPr>
      <w:tblGrid>
        <w:gridCol w:w="796"/>
      </w:tblGrid>
      <w:tr>
        <w:trPr/>
        <w:tc>
          <w:tcPr>
            <w:tcW w:w="796" w:type="dxa"/>
            <w:tcBorders/>
            <w:vAlign w:val="center"/>
          </w:tcPr>
          <w:p>
            <w:pPr>
              <w:pStyle w:val="TableContents"/>
              <w:bidi w:val="0"/>
              <w:spacing w:before="0" w:after="283"/>
              <w:jc w:val="left"/>
              <w:rPr>
                <w:sz w:val="4"/>
                <w:szCs w:val="4"/>
              </w:rPr>
            </w:pPr>
            <w:r>
              <w:rPr>
                <w:sz w:val="4"/>
                <w:szCs w:val="4"/>
              </w:rPr>
            </w:r>
          </w:p>
        </w:tc>
      </w:tr>
      <w:tr>
        <w:trPr/>
        <w:tc>
          <w:tcPr>
            <w:tcW w:w="79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4"/>
          <w:u w:val="single"/>
        </w:rPr>
        <w:t>Annex 3</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SPOUSAL CONSENT</w:t>
      </w:r>
    </w:p>
    <w:p>
      <w:pPr>
        <w:pStyle w:val="TextBody"/>
        <w:bidi w:val="0"/>
        <w:spacing w:before="240" w:after="283"/>
        <w:jc w:val="both"/>
        <w:rPr>
          <w:rFonts w:ascii="Times New Roman" w:hAnsi="Times New Roman"/>
          <w:sz w:val="20"/>
        </w:rPr>
      </w:pPr>
      <w:r>
        <w:rPr>
          <w:rFonts w:ascii="Times New Roman" w:hAnsi="Times New Roman"/>
          <w:color w:val="000000"/>
          <w:sz w:val="24"/>
        </w:rPr>
        <w:t>I, the undersigned spouse of , hereby acknowledge that I have read and understand the contents of the Odyssey Therapeutics, Inc. 2021 Equity Incentive Plan (the “</w:t>
      </w:r>
      <w:r>
        <w:rPr>
          <w:rFonts w:ascii="Times New Roman" w:hAnsi="Times New Roman"/>
          <w:color w:val="000000"/>
          <w:sz w:val="24"/>
          <w:u w:val="single"/>
        </w:rPr>
        <w:t>Plan”</w:t>
      </w:r>
      <w:r>
        <w:rPr>
          <w:rFonts w:ascii="Times New Roman" w:hAnsi="Times New Roman"/>
          <w:color w:val="000000"/>
          <w:sz w:val="24"/>
        </w:rPr>
        <w:t>) and the Stock Option Agreement, Exercise Notice and Agreement and Restricted Stock Agreement between Odyssey Therapeutics,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my spouse for the issuance under the Plan of shares of the Company, and the other written agreements between the Company and my spouse governing such shares (collectively, the “</w:t>
      </w:r>
      <w:r>
        <w:rPr>
          <w:rFonts w:ascii="Times New Roman" w:hAnsi="Times New Roman"/>
          <w:color w:val="000000"/>
          <w:sz w:val="24"/>
          <w:u w:val="single"/>
        </w:rPr>
        <w:t>Agreements</w:t>
      </w:r>
      <w:r>
        <w:rPr>
          <w:rFonts w:ascii="Times New Roman" w:hAnsi="Times New Roman"/>
          <w:color w:val="000000"/>
          <w:sz w:val="20"/>
        </w:rPr>
        <w:t>”</w:t>
      </w:r>
      <w:r>
        <w:rPr>
          <w:rFonts w:ascii="Times New Roman" w:hAnsi="Times New Roman"/>
          <w:color w:val="000000"/>
          <w:sz w:val="24"/>
        </w:rPr>
        <w:t>). I am aware that the Agreements provide for the repurchase of my spouse’s shares of the Company under certain circumstances and impose other provisions, including restrictions on the transfer of such shares. I agree that my spouse’s interest in such shares is subject to the Agreements and any interest I may have in such shares shall be irrevocably bound by the Agreements and further that my community property interest, if any, shall be similarly bound by the Agreements.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am aware that the legal, financial and other matters contained in the Agreements are complex and I am free to seek advice with respect thereto from independent counsel. I have either sought such advice or determined after carefully reviewing the Agreements that I will waive such right.</w:t>
      </w:r>
    </w:p>
    <w:p>
      <w:pPr>
        <w:pStyle w:val="TextBody"/>
        <w:bidi w:val="0"/>
        <w:jc w:val="left"/>
        <w:rPr/>
      </w:pPr>
      <w:r>
        <w:rPr/>
        <w:t> </w:t>
      </w:r>
    </w:p>
    <w:p>
      <w:pPr>
        <w:pStyle w:val="TextBody"/>
        <w:bidi w:val="0"/>
        <w:jc w:val="left"/>
        <w:rPr/>
      </w:pPr>
      <w:r>
        <w:rPr/>
        <w:t> </w:t>
      </w:r>
    </w:p>
    <w:tbl>
      <w:tblPr>
        <w:tblW w:w="1452" w:type="dxa"/>
        <w:jc w:val="left"/>
        <w:tblInd w:w="0" w:type="dxa"/>
        <w:tblLayout w:type="fixed"/>
        <w:tblCellMar>
          <w:top w:w="28" w:type="dxa"/>
          <w:left w:w="28" w:type="dxa"/>
          <w:bottom w:w="28" w:type="dxa"/>
          <w:right w:w="28" w:type="dxa"/>
        </w:tblCellMar>
      </w:tblPr>
      <w:tblGrid>
        <w:gridCol w:w="1261"/>
        <w:gridCol w:w="191"/>
      </w:tblGrid>
      <w:tr>
        <w:trPr/>
        <w:tc>
          <w:tcPr>
            <w:tcW w:w="12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Signature: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Print Name: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5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6" w:type="dxa"/>
        <w:jc w:val="left"/>
        <w:tblInd w:w="0" w:type="dxa"/>
        <w:tblLayout w:type="fixed"/>
        <w:tblCellMar>
          <w:top w:w="28" w:type="dxa"/>
          <w:left w:w="28" w:type="dxa"/>
          <w:bottom w:w="28" w:type="dxa"/>
          <w:right w:w="28" w:type="dxa"/>
        </w:tblCellMar>
      </w:tblPr>
      <w:tblGrid>
        <w:gridCol w:w="418"/>
        <w:gridCol w:w="498"/>
      </w:tblGrid>
      <w:tr>
        <w:trPr/>
        <w:tc>
          <w:tcPr>
            <w:tcW w:w="41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91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91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Witness</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55" w:name="odtx-ex23_1.htm"/>
      <w:bookmarkStart w:id="56" w:name="ksodtxex23_1"/>
      <w:bookmarkEnd w:id="55"/>
      <w:bookmarkEnd w:id="56"/>
      <w:r>
        <w:rPr>
          <w:rFonts w:ascii="Times New Roman" w:hAnsi="Times New Roman"/>
          <w:b/>
          <w:color w:val="000000"/>
          <w:sz w:val="24"/>
        </w:rPr>
        <w:t>Exhibit 23.1</w:t>
      </w:r>
      <w:r>
        <w:br w:type="page"/>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CONSENT OF INDEPENDENT REGISTERED PUBLIC ACCOUNTING FIRM</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consent to the use in this registration statement on Form S-1 of our report dated March 16, 2026 (May 4, 2026, as to the effects of the reverse stock split discussed in Note 19), relating to the financial statements of Odyssey Therapeutics, Inc. We also consent to the reference to us under the heading "Experts" in such registration statement.</w:t>
      </w:r>
    </w:p>
    <w:p>
      <w:pPr>
        <w:pStyle w:val="TextBody"/>
        <w:bidi w:val="0"/>
        <w:spacing w:before="240" w:after="283"/>
        <w:jc w:val="left"/>
        <w:rPr>
          <w:rFonts w:ascii="Times New Roman" w:hAnsi="Times New Roman"/>
          <w:sz w:val="20"/>
        </w:rPr>
      </w:pPr>
      <w:r>
        <w:rPr>
          <w:rFonts w:ascii="Times New Roman" w:hAnsi="Times New Roman"/>
          <w:color w:val="000000"/>
          <w:sz w:val="24"/>
        </w:rPr>
        <w:t>/s/ Deloitte &amp; Touche LLP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4"/>
        </w:rPr>
        <w:t>Boston, Massachusetts</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May 4, 2026</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57" w:name="odtx-exfiling_fees.htm"/>
      <w:bookmarkStart w:id="58" w:name="ksodtxexfiling_fees"/>
      <w:bookmarkStart w:id="59" w:name="odtx-exfiling_fees.htm"/>
      <w:bookmarkStart w:id="60" w:name="ksodtxexfiling_fees"/>
      <w:bookmarkEnd w:id="59"/>
      <w:bookmarkEnd w:id="60"/>
      <w:r>
        <w:br w:type="page"/>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Odyssey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9,670,445 </w:t>
            </w:r>
          </w:p>
        </w:tc>
        <w:tc>
          <w:tcPr>
            <w:tcW w:w="1156" w:type="dxa"/>
            <w:tcBorders/>
            <w:shd w:fill="E7E7E2" w:val="clear"/>
            <w:vAlign w:val="center"/>
          </w:tcPr>
          <w:p>
            <w:pPr>
              <w:pStyle w:val="TableContents"/>
              <w:bidi w:val="0"/>
              <w:spacing w:before="0" w:after="283"/>
              <w:jc w:val="right"/>
              <w:rPr/>
            </w:pPr>
            <w:r>
              <w:rPr/>
              <w:t xml:space="preserve">$ 18.00 </w:t>
            </w:r>
          </w:p>
        </w:tc>
        <w:tc>
          <w:tcPr>
            <w:tcW w:w="1786" w:type="dxa"/>
            <w:tcBorders/>
            <w:shd w:fill="E7E7E2" w:val="clear"/>
            <w:vAlign w:val="center"/>
          </w:tcPr>
          <w:p>
            <w:pPr>
              <w:pStyle w:val="TableContents"/>
              <w:bidi w:val="0"/>
              <w:spacing w:before="0" w:after="283"/>
              <w:jc w:val="right"/>
              <w:rPr/>
            </w:pPr>
            <w:r>
              <w:rPr/>
              <w:t xml:space="preserve">$ 174,068,010.00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$ 24,038.79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457(a) </w:t>
            </w:r>
          </w:p>
        </w:tc>
        <w:tc>
          <w:tcPr>
            <w:tcW w:w="1186" w:type="dxa"/>
            <w:tcBorders/>
            <w:shd w:fill="E7E7E2" w:val="clear"/>
            <w:vAlign w:val="center"/>
          </w:tcPr>
          <w:p>
            <w:pPr>
              <w:pStyle w:val="TableContents"/>
              <w:bidi w:val="0"/>
              <w:spacing w:before="0" w:after="283"/>
              <w:jc w:val="right"/>
              <w:rPr/>
            </w:pPr>
            <w:r>
              <w:rPr/>
              <w:t xml:space="preserve">5,555,555 </w:t>
            </w:r>
          </w:p>
        </w:tc>
        <w:tc>
          <w:tcPr>
            <w:tcW w:w="1156" w:type="dxa"/>
            <w:tcBorders/>
            <w:shd w:fill="E7E7E2" w:val="clear"/>
            <w:vAlign w:val="center"/>
          </w:tcPr>
          <w:p>
            <w:pPr>
              <w:pStyle w:val="TableContents"/>
              <w:bidi w:val="0"/>
              <w:spacing w:before="0" w:after="283"/>
              <w:jc w:val="right"/>
              <w:rPr/>
            </w:pPr>
            <w:r>
              <w:rPr/>
              <w:t xml:space="preserve">$ 18.00 </w:t>
            </w:r>
          </w:p>
        </w:tc>
        <w:tc>
          <w:tcPr>
            <w:tcW w:w="1786" w:type="dxa"/>
            <w:tcBorders/>
            <w:shd w:fill="E7E7E2" w:val="clear"/>
            <w:vAlign w:val="center"/>
          </w:tcPr>
          <w:p>
            <w:pPr>
              <w:pStyle w:val="TableContents"/>
              <w:bidi w:val="0"/>
              <w:spacing w:before="0" w:after="283"/>
              <w:jc w:val="right"/>
              <w:rPr/>
            </w:pPr>
            <w:r>
              <w:rPr/>
              <w:t xml:space="preserve">$ 99,999,990.00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right"/>
              <w:rPr/>
            </w:pPr>
            <w:r>
              <w:rPr/>
              <w:t xml:space="preserve">$ 13,810.00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61" w:name="MaxAggtOfferingPrice"/>
            <w:bookmarkEnd w:id="61"/>
            <w:r>
              <w:rPr/>
              <w:t xml:space="preserve">$ 274,068,000.00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62" w:name="TotalFeeAmt"/>
            <w:bookmarkEnd w:id="62"/>
            <w:r>
              <w:rPr/>
              <w:t xml:space="preserve">$ 37,848.79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3" w:name="TotalPreviouslyPaidAmt"/>
            <w:bookmarkEnd w:id="63"/>
            <w:r>
              <w:rPr/>
              <w:t xml:space="preserve">$ 13,810.00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4" w:name="TotalOffsetAmt"/>
            <w:bookmarkEnd w:id="6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5" w:name="NetFeeAmt"/>
            <w:bookmarkEnd w:id="65"/>
            <w:r>
              <w:rPr/>
              <w:t xml:space="preserve">$ 24,038.79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0"/>
        <w:gridCol w:w="1294"/>
        <w:gridCol w:w="8701"/>
      </w:tblGrid>
      <w:tr>
        <w:trPr/>
        <w:tc>
          <w:tcPr>
            <w:tcW w:w="21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5" w:type="dxa"/>
            <w:gridSpan w:val="2"/>
            <w:tcBorders/>
            <w:vAlign w:val="center"/>
          </w:tcPr>
          <w:p>
            <w:pPr>
              <w:pStyle w:val="TableContents"/>
              <w:bidi w:val="0"/>
              <w:spacing w:before="0" w:after="283"/>
              <w:jc w:val="left"/>
              <w:rPr/>
            </w:pPr>
            <w:r>
              <w:rPr/>
              <w:t xml:space="preserve">Estimated solely for the purpose of calculating the registration fee pursuant to Rule 457(a) under the Securities Act of 1933, as amended (the "Securities Act"). Includes 1,986,000 shares that the underwriters have the option to purchase.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r>
        <w:trPr/>
        <w:tc>
          <w:tcPr>
            <w:tcW w:w="21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5" w:type="dxa"/>
            <w:gridSpan w:val="2"/>
            <w:tcBorders/>
            <w:vAlign w:val="center"/>
          </w:tcPr>
          <w:p>
            <w:pPr>
              <w:pStyle w:val="TableContents"/>
              <w:bidi w:val="0"/>
              <w:spacing w:before="0" w:after="283"/>
              <w:jc w:val="left"/>
              <w:rPr/>
            </w:pPr>
            <w:r>
              <w:rPr/>
              <w:t xml:space="preserve">The Registrant previously paid a registration fee of $13,810.00 in connection with the initial filing of the Registration Statement on Form S-1 on April 17, 2026. The fee was estimated solely for the purpose of calculating the registration fee pursuant to Rule 457(o) under the Securities Act. This Maximum Aggregate Offering Price was originally registered under 457(o) and is now converted to 457(a). </w:t>
            </w:r>
          </w:p>
        </w:tc>
      </w:tr>
      <w:tr>
        <w:trPr/>
        <w:tc>
          <w:tcPr>
            <w:tcW w:w="1504" w:type="dxa"/>
            <w:gridSpan w:val="2"/>
            <w:tcBorders/>
            <w:vAlign w:val="center"/>
          </w:tcPr>
          <w:p>
            <w:pPr>
              <w:pStyle w:val="HorizontalLine"/>
              <w:pBdr>
                <w:bottom w:val="double" w:sz="2" w:space="0" w:color="808080"/>
              </w:pBdr>
              <w:bidi w:val="0"/>
              <w:spacing w:before="0" w:after="283"/>
              <w:jc w:val="left"/>
              <w:rPr/>
            </w:pPr>
            <w:r>
              <w:rPr/>
            </w:r>
          </w:p>
        </w:tc>
        <w:tc>
          <w:tcPr>
            <w:tcW w:w="870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altName w:val="sans-serif"/>
    <w:charset w:val="01"/>
    <w:family w:val="auto"/>
    <w:pitch w:val="default"/>
  </w:font>
  <w:font w:name="Arial">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image" Target="media/image43.jpeg"/><Relationship Id="rId46" Type="http://schemas.openxmlformats.org/officeDocument/2006/relationships/image" Target="media/image44.jpeg"/><Relationship Id="rId47" Type="http://schemas.openxmlformats.org/officeDocument/2006/relationships/image" Target="media/image45.jpeg"/><Relationship Id="rId48" Type="http://schemas.openxmlformats.org/officeDocument/2006/relationships/image" Target="media/image46.jpeg"/><Relationship Id="rId49" Type="http://schemas.openxmlformats.org/officeDocument/2006/relationships/image" Target="media/image47.jpeg"/><Relationship Id="rId50" Type="http://schemas.openxmlformats.org/officeDocument/2006/relationships/image" Target="media/image48.jpeg"/><Relationship Id="rId51" Type="http://schemas.openxmlformats.org/officeDocument/2006/relationships/image" Target="media/image49.jpeg"/><Relationship Id="rId52" Type="http://schemas.openxmlformats.org/officeDocument/2006/relationships/image" Target="media/image50.jpeg"/><Relationship Id="rId53" Type="http://schemas.openxmlformats.org/officeDocument/2006/relationships/image" Target="media/image51.jpeg"/><Relationship Id="rId54" Type="http://schemas.openxmlformats.org/officeDocument/2006/relationships/image" Target="media/image52.jpeg"/><Relationship Id="rId55" Type="http://schemas.openxmlformats.org/officeDocument/2006/relationships/image" Target="media/image53.jpeg"/><Relationship Id="rId56" Type="http://schemas.openxmlformats.org/officeDocument/2006/relationships/image" Target="media/image54.jpeg"/><Relationship Id="rId57" Type="http://schemas.openxmlformats.org/officeDocument/2006/relationships/image" Target="media/image55.jpeg"/><Relationship Id="rId58" Type="http://schemas.openxmlformats.org/officeDocument/2006/relationships/image" Target="media/image56.jpeg"/><Relationship Id="rId59" Type="http://schemas.openxmlformats.org/officeDocument/2006/relationships/image" Target="media/image57.jpeg"/><Relationship Id="rId60" Type="http://schemas.openxmlformats.org/officeDocument/2006/relationships/image" Target="media/image58.jpeg"/><Relationship Id="rId61" Type="http://schemas.openxmlformats.org/officeDocument/2006/relationships/image" Target="media/image59.jpeg"/><Relationship Id="rId62" Type="http://schemas.openxmlformats.org/officeDocument/2006/relationships/image" Target="media/image60.jpeg"/><Relationship Id="rId63" Type="http://schemas.openxmlformats.org/officeDocument/2006/relationships/image" Target="media/image61.jpeg"/><Relationship Id="rId64" Type="http://schemas.openxmlformats.org/officeDocument/2006/relationships/image" Target="media/image62.jpeg"/><Relationship Id="rId65" Type="http://schemas.openxmlformats.org/officeDocument/2006/relationships/image" Target="media/image63.jpeg"/><Relationship Id="rId66" Type="http://schemas.openxmlformats.org/officeDocument/2006/relationships/image" Target="media/image64.jpeg"/><Relationship Id="rId67" Type="http://schemas.openxmlformats.org/officeDocument/2006/relationships/image" Target="media/image65.jpeg"/><Relationship Id="rId68" Type="http://schemas.openxmlformats.org/officeDocument/2006/relationships/image" Target="media/image66.jpeg"/><Relationship Id="rId69" Type="http://schemas.openxmlformats.org/officeDocument/2006/relationships/image" Target="media/image67.jpeg"/><Relationship Id="rId70" Type="http://schemas.openxmlformats.org/officeDocument/2006/relationships/image" Target="media/image68.jpeg"/><Relationship Id="rId71" Type="http://schemas.openxmlformats.org/officeDocument/2006/relationships/image" Target="media/image69.jpeg"/><Relationship Id="rId72" Type="http://schemas.openxmlformats.org/officeDocument/2006/relationships/image" Target="media/image70.jpeg"/><Relationship Id="rId73" Type="http://schemas.openxmlformats.org/officeDocument/2006/relationships/image" Target="media/image71.jpeg"/><Relationship Id="rId74" Type="http://schemas.openxmlformats.org/officeDocument/2006/relationships/image" Target="media/image72.jpeg"/><Relationship Id="rId75" Type="http://schemas.openxmlformats.org/officeDocument/2006/relationships/image" Target="media/image73.jpeg"/><Relationship Id="rId76" Type="http://schemas.openxmlformats.org/officeDocument/2006/relationships/image" Target="media/image74.jpeg"/><Relationship Id="rId77" Type="http://schemas.openxmlformats.org/officeDocument/2006/relationships/image" Target="media/image75.jpeg"/><Relationship Id="rId78" Type="http://schemas.openxmlformats.org/officeDocument/2006/relationships/hyperlink" Target="https://www.sec.gov/Archives/edgar/data/1882782/000119312526161514/odtx-ex3_2.htm" TargetMode="External"/><Relationship Id="rId79" Type="http://schemas.openxmlformats.org/officeDocument/2006/relationships/hyperlink" Target="https://www.sec.gov/Archives/edgar/data/1882782/000119312526161514/odtx-ex3_3.htm" TargetMode="External"/><Relationship Id="rId80" Type="http://schemas.openxmlformats.org/officeDocument/2006/relationships/hyperlink" Target="https://www.sec.gov/Archives/edgar/data/1882782/000119312526161514/odtx-ex3_4.htm" TargetMode="External"/><Relationship Id="rId81" Type="http://schemas.openxmlformats.org/officeDocument/2006/relationships/hyperlink" Target="https://www.sec.gov/Archives/edgar/data/1882782/000119312526161514/odtx-ex4_1.htm" TargetMode="External"/><Relationship Id="rId82" Type="http://schemas.openxmlformats.org/officeDocument/2006/relationships/hyperlink" Target="https://www.sec.gov/Archives/edgar/data/1882782/000119312526161514/odtx-ex4_2.htm" TargetMode="External"/><Relationship Id="rId83" Type="http://schemas.openxmlformats.org/officeDocument/2006/relationships/hyperlink" Target="https://www.sec.gov/Archives/edgar/data/1882782/000119312526161514/odtx-ex4_3.htm" TargetMode="External"/><Relationship Id="rId84" Type="http://schemas.openxmlformats.org/officeDocument/2006/relationships/hyperlink" Target="https://www.sec.gov/Archives/edgar/data/1882782/000119312526161514/odtx-ex4_4.htm" TargetMode="External"/><Relationship Id="rId85" Type="http://schemas.openxmlformats.org/officeDocument/2006/relationships/hyperlink" Target="https://www.sec.gov/Archives/edgar/data/1882782/000119312526161514/odtx-ex10_1.htm" TargetMode="External"/><Relationship Id="rId86" Type="http://schemas.openxmlformats.org/officeDocument/2006/relationships/hyperlink" Target="https://www.sec.gov/Archives/edgar/data/1882782/000119312526161514/odtx-ex10_4.htm" TargetMode="External"/><Relationship Id="rId87" Type="http://schemas.openxmlformats.org/officeDocument/2006/relationships/hyperlink" Target="https://www.sec.gov/Archives/edgar/data/1882782/000119312526161514/odtx-ex10_6.htm" TargetMode="External"/><Relationship Id="rId88" Type="http://schemas.openxmlformats.org/officeDocument/2006/relationships/hyperlink" Target="https://www.sec.gov/Archives/edgar/data/1882782/000119312526161514/odtx-ex10_7.htm" TargetMode="External"/><Relationship Id="rId89" Type="http://schemas.openxmlformats.org/officeDocument/2006/relationships/hyperlink" Target="https://www.sec.gov/Archives/edgar/data/1882782/000119312526161514/odtx-ex10_7.htm" TargetMode="External"/><Relationship Id="rId90" Type="http://schemas.openxmlformats.org/officeDocument/2006/relationships/hyperlink" Target="https://www.sec.gov/Archives/edgar/data/1882782/000119312526161514/odtx-ex10_8.htm" TargetMode="External"/><Relationship Id="rId91" Type="http://schemas.openxmlformats.org/officeDocument/2006/relationships/hyperlink" Target="https://www.sec.gov/Archives/edgar/data/1882782/000119312526161514/odtx-ex10_8.htm" TargetMode="External"/><Relationship Id="rId92" Type="http://schemas.openxmlformats.org/officeDocument/2006/relationships/hyperlink" Target="https://www.sec.gov/Archives/edgar/data/1882782/000119312526161514/odtx-ex10_9.htm" TargetMode="External"/><Relationship Id="rId93" Type="http://schemas.openxmlformats.org/officeDocument/2006/relationships/hyperlink" Target="https://www.sec.gov/Archives/edgar/data/1882782/000119312526161514/odtx-ex10_9.htm" TargetMode="External"/><Relationship Id="rId94" Type="http://schemas.openxmlformats.org/officeDocument/2006/relationships/hyperlink" Target="https://www.sec.gov/Archives/edgar/data/1882782/000119312526161514/odtx-ex10_10.htm" TargetMode="External"/><Relationship Id="rId95" Type="http://schemas.openxmlformats.org/officeDocument/2006/relationships/hyperlink" Target="https://www.sec.gov/Archives/edgar/data/1882782/000119312526161514/odtx-ex10_10.htm" TargetMode="External"/><Relationship Id="rId96" Type="http://schemas.openxmlformats.org/officeDocument/2006/relationships/hyperlink" Target="https://www.sec.gov/Archives/edgar/data/1882782/000119312526161514/odtx-ex21_1.htm" TargetMode="External"/><Relationship Id="rId97" Type="http://schemas.openxmlformats.org/officeDocument/2006/relationships/fontTable" Target="fontTable.xml"/><Relationship Id="rId9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272207</Words>
  <Characters>1477694</Characters>
  <CharactersWithSpaces>1749492</CharactersWithSpaces>
  <Paragraphs>14865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