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4"/>
          <w:szCs w:val="24"/>
          <w:color w:val="auto"/>
        </w:rPr>
      </w:pPr>
    </w:p>
    <w:p>
      <w:pPr>
        <w:jc w:val="center"/>
        <w:ind w:left="520" w:right="20"/>
        <w:spacing w:after="0" w:line="226" w:lineRule="auto"/>
        <w:rPr>
          <w:sz w:val="20"/>
          <w:szCs w:val="20"/>
          <w:color w:val="auto"/>
        </w:rPr>
      </w:pPr>
      <w:r>
        <w:rPr>
          <w:rFonts w:ascii="Arial" w:cs="Arial" w:eastAsia="Arial" w:hAnsi="Arial"/>
          <w:sz w:val="13"/>
          <w:szCs w:val="13"/>
          <w:b w:val="1"/>
          <w:bCs w:val="1"/>
          <w:color w:val="auto"/>
        </w:rPr>
        <w:t>As confidentially submitted to the Securities and Exchange Commission on November 15, 2024. This Amendment No. 1 to the draft registration statement has not been publicly filed with the Securities and Exchange Commission and all information herein remains strictly confidential.</w:t>
      </w:r>
    </w:p>
    <w:p>
      <w:pPr>
        <w:jc w:val="right"/>
        <w:spacing w:after="0"/>
        <w:rPr>
          <w:sz w:val="20"/>
          <w:szCs w:val="20"/>
          <w:color w:val="auto"/>
        </w:rPr>
      </w:pPr>
      <w:r>
        <w:rPr>
          <w:rFonts w:ascii="Arial" w:cs="Arial" w:eastAsia="Arial" w:hAnsi="Arial"/>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S-1</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REGISTRATION STATEMENT</w:t>
      </w:r>
    </w:p>
    <w:p>
      <w:pPr>
        <w:jc w:val="center"/>
        <w:ind w:right="-19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ODYSSEY THERAPEUTICS, INC.</w:t>
      </w:r>
    </w:p>
    <w:p>
      <w:pPr>
        <w:spacing w:after="0" w:line="32"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123190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9"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00" w:type="dxa"/>
            <w:vAlign w:val="bottom"/>
          </w:tcPr>
          <w:p>
            <w:pPr>
              <w:jc w:val="center"/>
              <w:ind w:right="934"/>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2836</w:t>
            </w:r>
          </w:p>
        </w:tc>
        <w:tc>
          <w:tcPr>
            <w:tcW w:w="2380" w:type="dxa"/>
            <w:vAlign w:val="bottom"/>
          </w:tcPr>
          <w:p>
            <w:pPr>
              <w:jc w:val="center"/>
              <w:ind w:left="974"/>
              <w:spacing w:after="0"/>
              <w:rPr>
                <w:sz w:val="20"/>
                <w:szCs w:val="20"/>
                <w:color w:val="auto"/>
              </w:rPr>
            </w:pPr>
            <w:r>
              <w:rPr>
                <w:rFonts w:ascii="Arial" w:cs="Arial" w:eastAsia="Arial" w:hAnsi="Arial"/>
                <w:sz w:val="14"/>
                <w:szCs w:val="14"/>
                <w:b w:val="1"/>
                <w:bCs w:val="1"/>
                <w:color w:val="auto"/>
              </w:rPr>
              <w:t>86-3384382</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2"/>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4"/>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51 Sleeper Street</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Boston, Massachusetts 02210</w:t>
      </w:r>
    </w:p>
    <w:p>
      <w:pPr>
        <w:jc w:val="center"/>
        <w:ind w:right="-199"/>
        <w:spacing w:after="0" w:line="226" w:lineRule="auto"/>
        <w:rPr>
          <w:sz w:val="20"/>
          <w:szCs w:val="20"/>
          <w:color w:val="auto"/>
        </w:rPr>
      </w:pPr>
      <w:r>
        <w:rPr>
          <w:rFonts w:ascii="Arial" w:cs="Arial" w:eastAsia="Arial" w:hAnsi="Arial"/>
          <w:sz w:val="14"/>
          <w:szCs w:val="14"/>
          <w:b w:val="1"/>
          <w:bCs w:val="1"/>
          <w:color w:val="auto"/>
        </w:rPr>
        <w:t>(617) 865-9628</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Gary D. Glick, Ph.D.</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Odyssey Therapeutics, Inc.</w:t>
      </w:r>
    </w:p>
    <w:p>
      <w:pPr>
        <w:spacing w:after="0" w:line="4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51 Sleeper Street</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Boston, Massachusetts 02210</w:t>
      </w:r>
    </w:p>
    <w:p>
      <w:pPr>
        <w:jc w:val="center"/>
        <w:ind w:right="-199"/>
        <w:spacing w:after="0" w:line="226" w:lineRule="auto"/>
        <w:rPr>
          <w:sz w:val="20"/>
          <w:szCs w:val="20"/>
          <w:color w:val="auto"/>
        </w:rPr>
      </w:pPr>
      <w:r>
        <w:rPr>
          <w:rFonts w:ascii="Arial" w:cs="Arial" w:eastAsia="Arial" w:hAnsi="Arial"/>
          <w:sz w:val="14"/>
          <w:szCs w:val="14"/>
          <w:b w:val="1"/>
          <w:bCs w:val="1"/>
          <w:color w:val="auto"/>
        </w:rPr>
        <w:t>(617) 865-9628</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57" w:lineRule="exact"/>
        <w:rPr>
          <w:sz w:val="24"/>
          <w:szCs w:val="24"/>
          <w:color w:val="auto"/>
        </w:rPr>
      </w:pPr>
    </w:p>
    <w:tbl>
      <w:tblPr>
        <w:tblLayout w:type="fixed"/>
        <w:tblInd w:w="940" w:type="dxa"/>
        <w:tblCellMar>
          <w:top w:w="0" w:type="dxa"/>
          <w:left w:w="0" w:type="dxa"/>
          <w:bottom w:w="0" w:type="dxa"/>
          <w:right w:w="0" w:type="dxa"/>
        </w:tblCellMar>
      </w:tblPr>
      <w:tr>
        <w:trPr>
          <w:trHeight w:val="149"/>
        </w:trPr>
        <w:tc>
          <w:tcPr>
            <w:tcW w:w="2800" w:type="dxa"/>
            <w:vAlign w:val="bottom"/>
          </w:tcPr>
          <w:p>
            <w:pPr>
              <w:jc w:val="center"/>
              <w:ind w:right="657"/>
              <w:spacing w:after="0"/>
              <w:rPr>
                <w:sz w:val="20"/>
                <w:szCs w:val="20"/>
                <w:color w:val="auto"/>
              </w:rPr>
            </w:pPr>
            <w:r>
              <w:rPr>
                <w:rFonts w:ascii="Arial" w:cs="Arial" w:eastAsia="Arial" w:hAnsi="Arial"/>
                <w:sz w:val="13"/>
                <w:szCs w:val="13"/>
                <w:b w:val="1"/>
                <w:bCs w:val="1"/>
                <w:color w:val="auto"/>
                <w:w w:val="96"/>
              </w:rPr>
              <w:t>Brian K. Rosenzweig</w:t>
            </w:r>
          </w:p>
        </w:tc>
        <w:tc>
          <w:tcPr>
            <w:tcW w:w="4000" w:type="dxa"/>
            <w:vAlign w:val="bottom"/>
          </w:tcPr>
          <w:p>
            <w:pPr>
              <w:jc w:val="center"/>
              <w:spacing w:after="0"/>
              <w:rPr>
                <w:sz w:val="20"/>
                <w:szCs w:val="20"/>
                <w:color w:val="auto"/>
              </w:rPr>
            </w:pPr>
            <w:r>
              <w:rPr>
                <w:rFonts w:ascii="Arial" w:cs="Arial" w:eastAsia="Arial" w:hAnsi="Arial"/>
                <w:sz w:val="13"/>
                <w:szCs w:val="13"/>
                <w:b w:val="1"/>
                <w:bCs w:val="1"/>
                <w:color w:val="auto"/>
                <w:w w:val="96"/>
              </w:rPr>
              <w:t>Kira M. Schwartz</w:t>
            </w:r>
          </w:p>
        </w:tc>
        <w:tc>
          <w:tcPr>
            <w:tcW w:w="2520" w:type="dxa"/>
            <w:vAlign w:val="bottom"/>
          </w:tcPr>
          <w:p>
            <w:pPr>
              <w:jc w:val="center"/>
              <w:ind w:left="677"/>
              <w:spacing w:after="0"/>
              <w:rPr>
                <w:sz w:val="20"/>
                <w:szCs w:val="20"/>
                <w:color w:val="auto"/>
              </w:rPr>
            </w:pPr>
            <w:r>
              <w:rPr>
                <w:rFonts w:ascii="Arial" w:cs="Arial" w:eastAsia="Arial" w:hAnsi="Arial"/>
                <w:sz w:val="13"/>
                <w:szCs w:val="13"/>
                <w:b w:val="1"/>
                <w:bCs w:val="1"/>
                <w:color w:val="auto"/>
                <w:w w:val="98"/>
              </w:rPr>
              <w:t>Eric Blanchard</w:t>
            </w:r>
          </w:p>
        </w:tc>
        <w:tc>
          <w:tcPr>
            <w:tcW w:w="0" w:type="dxa"/>
            <w:vAlign w:val="bottom"/>
          </w:tcPr>
          <w:p>
            <w:pPr>
              <w:spacing w:after="0"/>
              <w:rPr>
                <w:sz w:val="1"/>
                <w:szCs w:val="1"/>
                <w:color w:val="auto"/>
              </w:rPr>
            </w:pPr>
          </w:p>
        </w:tc>
      </w:tr>
      <w:tr>
        <w:trPr>
          <w:trHeight w:val="135"/>
        </w:trPr>
        <w:tc>
          <w:tcPr>
            <w:tcW w:w="2800" w:type="dxa"/>
            <w:vAlign w:val="bottom"/>
          </w:tcPr>
          <w:p>
            <w:pPr>
              <w:jc w:val="center"/>
              <w:ind w:right="637"/>
              <w:spacing w:after="0" w:line="135" w:lineRule="exact"/>
              <w:rPr>
                <w:sz w:val="20"/>
                <w:szCs w:val="20"/>
                <w:color w:val="auto"/>
              </w:rPr>
            </w:pPr>
            <w:r>
              <w:rPr>
                <w:rFonts w:ascii="Arial" w:cs="Arial" w:eastAsia="Arial" w:hAnsi="Arial"/>
                <w:sz w:val="13"/>
                <w:szCs w:val="13"/>
                <w:b w:val="1"/>
                <w:bCs w:val="1"/>
                <w:color w:val="auto"/>
                <w:w w:val="96"/>
              </w:rPr>
              <w:t>Joseph Gangitano</w:t>
            </w:r>
          </w:p>
        </w:tc>
        <w:tc>
          <w:tcPr>
            <w:tcW w:w="4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Executive Vice President, General Counsel</w:t>
            </w:r>
          </w:p>
        </w:tc>
        <w:tc>
          <w:tcPr>
            <w:tcW w:w="2520" w:type="dxa"/>
            <w:vAlign w:val="bottom"/>
          </w:tcPr>
          <w:p>
            <w:pPr>
              <w:jc w:val="center"/>
              <w:ind w:left="697"/>
              <w:spacing w:after="0" w:line="135" w:lineRule="exact"/>
              <w:rPr>
                <w:sz w:val="20"/>
                <w:szCs w:val="20"/>
                <w:color w:val="auto"/>
              </w:rPr>
            </w:pPr>
            <w:r>
              <w:rPr>
                <w:rFonts w:ascii="Arial" w:cs="Arial" w:eastAsia="Arial" w:hAnsi="Arial"/>
                <w:sz w:val="13"/>
                <w:szCs w:val="13"/>
                <w:b w:val="1"/>
                <w:bCs w:val="1"/>
                <w:color w:val="auto"/>
                <w:w w:val="96"/>
              </w:rPr>
              <w:t>Richard Segal</w:t>
            </w:r>
          </w:p>
        </w:tc>
        <w:tc>
          <w:tcPr>
            <w:tcW w:w="0" w:type="dxa"/>
            <w:vAlign w:val="bottom"/>
          </w:tcPr>
          <w:p>
            <w:pPr>
              <w:spacing w:after="0"/>
              <w:rPr>
                <w:sz w:val="1"/>
                <w:szCs w:val="1"/>
                <w:color w:val="auto"/>
              </w:rPr>
            </w:pPr>
          </w:p>
        </w:tc>
      </w:tr>
      <w:tr>
        <w:trPr>
          <w:trHeight w:val="135"/>
        </w:trPr>
        <w:tc>
          <w:tcPr>
            <w:tcW w:w="2800" w:type="dxa"/>
            <w:vAlign w:val="bottom"/>
          </w:tcPr>
          <w:p>
            <w:pPr>
              <w:jc w:val="center"/>
              <w:ind w:right="637"/>
              <w:spacing w:after="0" w:line="135" w:lineRule="exact"/>
              <w:rPr>
                <w:sz w:val="20"/>
                <w:szCs w:val="20"/>
                <w:color w:val="auto"/>
              </w:rPr>
            </w:pPr>
            <w:r>
              <w:rPr>
                <w:rFonts w:ascii="Arial" w:cs="Arial" w:eastAsia="Arial" w:hAnsi="Arial"/>
                <w:sz w:val="13"/>
                <w:szCs w:val="13"/>
                <w:b w:val="1"/>
                <w:bCs w:val="1"/>
                <w:color w:val="auto"/>
                <w:w w:val="95"/>
              </w:rPr>
              <w:t>Alicia Zhang</w:t>
            </w:r>
          </w:p>
        </w:tc>
        <w:tc>
          <w:tcPr>
            <w:tcW w:w="4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Odyssey Therapeutics, Inc.</w:t>
            </w:r>
          </w:p>
        </w:tc>
        <w:tc>
          <w:tcPr>
            <w:tcW w:w="2520" w:type="dxa"/>
            <w:vAlign w:val="bottom"/>
          </w:tcPr>
          <w:p>
            <w:pPr>
              <w:jc w:val="center"/>
              <w:ind w:left="677"/>
              <w:spacing w:after="0" w:line="135" w:lineRule="exact"/>
              <w:rPr>
                <w:sz w:val="20"/>
                <w:szCs w:val="20"/>
                <w:color w:val="auto"/>
              </w:rPr>
            </w:pPr>
            <w:r>
              <w:rPr>
                <w:rFonts w:ascii="Arial" w:cs="Arial" w:eastAsia="Arial" w:hAnsi="Arial"/>
                <w:sz w:val="13"/>
                <w:szCs w:val="13"/>
                <w:b w:val="1"/>
                <w:bCs w:val="1"/>
                <w:color w:val="auto"/>
                <w:w w:val="97"/>
              </w:rPr>
              <w:t>Divakar Gupta</w:t>
            </w:r>
          </w:p>
        </w:tc>
        <w:tc>
          <w:tcPr>
            <w:tcW w:w="0" w:type="dxa"/>
            <w:vAlign w:val="bottom"/>
          </w:tcPr>
          <w:p>
            <w:pPr>
              <w:spacing w:after="0"/>
              <w:rPr>
                <w:sz w:val="1"/>
                <w:szCs w:val="1"/>
                <w:color w:val="auto"/>
              </w:rPr>
            </w:pPr>
          </w:p>
        </w:tc>
      </w:tr>
      <w:tr>
        <w:trPr>
          <w:trHeight w:val="135"/>
        </w:trPr>
        <w:tc>
          <w:tcPr>
            <w:tcW w:w="2800" w:type="dxa"/>
            <w:vAlign w:val="bottom"/>
          </w:tcPr>
          <w:p>
            <w:pPr>
              <w:jc w:val="center"/>
              <w:ind w:right="637"/>
              <w:spacing w:after="0" w:line="135" w:lineRule="exact"/>
              <w:rPr>
                <w:sz w:val="20"/>
                <w:szCs w:val="20"/>
                <w:color w:val="auto"/>
              </w:rPr>
            </w:pPr>
            <w:r>
              <w:rPr>
                <w:rFonts w:ascii="Arial" w:cs="Arial" w:eastAsia="Arial" w:hAnsi="Arial"/>
                <w:sz w:val="13"/>
                <w:szCs w:val="13"/>
                <w:b w:val="1"/>
                <w:bCs w:val="1"/>
                <w:color w:val="auto"/>
                <w:w w:val="96"/>
              </w:rPr>
              <w:t>Megan N. Gates</w:t>
            </w:r>
          </w:p>
        </w:tc>
        <w:tc>
          <w:tcPr>
            <w:tcW w:w="4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51 Sleeper Street</w:t>
            </w:r>
          </w:p>
        </w:tc>
        <w:tc>
          <w:tcPr>
            <w:tcW w:w="2520" w:type="dxa"/>
            <w:vAlign w:val="bottom"/>
          </w:tcPr>
          <w:p>
            <w:pPr>
              <w:jc w:val="center"/>
              <w:ind w:left="677"/>
              <w:spacing w:after="0" w:line="135" w:lineRule="exact"/>
              <w:rPr>
                <w:sz w:val="20"/>
                <w:szCs w:val="20"/>
                <w:color w:val="auto"/>
              </w:rPr>
            </w:pPr>
            <w:r>
              <w:rPr>
                <w:rFonts w:ascii="Arial" w:cs="Arial" w:eastAsia="Arial" w:hAnsi="Arial"/>
                <w:sz w:val="13"/>
                <w:szCs w:val="13"/>
                <w:b w:val="1"/>
                <w:bCs w:val="1"/>
                <w:color w:val="auto"/>
                <w:w w:val="97"/>
              </w:rPr>
              <w:t>Cooley LLP</w:t>
            </w:r>
          </w:p>
        </w:tc>
        <w:tc>
          <w:tcPr>
            <w:tcW w:w="0" w:type="dxa"/>
            <w:vAlign w:val="bottom"/>
          </w:tcPr>
          <w:p>
            <w:pPr>
              <w:spacing w:after="0"/>
              <w:rPr>
                <w:sz w:val="1"/>
                <w:szCs w:val="1"/>
                <w:color w:val="auto"/>
              </w:rPr>
            </w:pPr>
          </w:p>
        </w:tc>
      </w:tr>
      <w:tr>
        <w:trPr>
          <w:trHeight w:val="68"/>
        </w:trPr>
        <w:tc>
          <w:tcPr>
            <w:tcW w:w="2800" w:type="dxa"/>
            <w:vAlign w:val="bottom"/>
            <w:vMerge w:val="restart"/>
          </w:tcPr>
          <w:p>
            <w:pPr>
              <w:jc w:val="center"/>
              <w:ind w:right="637"/>
              <w:spacing w:after="0"/>
              <w:rPr>
                <w:sz w:val="20"/>
                <w:szCs w:val="20"/>
                <w:color w:val="auto"/>
              </w:rPr>
            </w:pPr>
            <w:r>
              <w:rPr>
                <w:rFonts w:ascii="Arial" w:cs="Arial" w:eastAsia="Arial" w:hAnsi="Arial"/>
                <w:sz w:val="13"/>
                <w:szCs w:val="13"/>
                <w:b w:val="1"/>
                <w:bCs w:val="1"/>
                <w:color w:val="auto"/>
                <w:w w:val="97"/>
              </w:rPr>
              <w:t>Covington &amp; Burling LLP</w:t>
            </w:r>
          </w:p>
        </w:tc>
        <w:tc>
          <w:tcPr>
            <w:tcW w:w="4000" w:type="dxa"/>
            <w:vAlign w:val="bottom"/>
            <w:vMerge w:val="continue"/>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800" w:type="dxa"/>
            <w:vAlign w:val="bottom"/>
            <w:vMerge w:val="continue"/>
          </w:tcPr>
          <w:p>
            <w:pPr>
              <w:spacing w:after="0"/>
              <w:rPr>
                <w:sz w:val="9"/>
                <w:szCs w:val="9"/>
                <w:color w:val="auto"/>
              </w:rPr>
            </w:pPr>
          </w:p>
        </w:tc>
        <w:tc>
          <w:tcPr>
            <w:tcW w:w="4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Boston, Massachusetts 02210</w:t>
            </w:r>
          </w:p>
        </w:tc>
        <w:tc>
          <w:tcPr>
            <w:tcW w:w="2520" w:type="dxa"/>
            <w:vAlign w:val="bottom"/>
            <w:vMerge w:val="restart"/>
          </w:tcPr>
          <w:p>
            <w:pPr>
              <w:jc w:val="center"/>
              <w:ind w:left="677"/>
              <w:spacing w:after="0" w:line="135" w:lineRule="exact"/>
              <w:rPr>
                <w:sz w:val="20"/>
                <w:szCs w:val="20"/>
                <w:color w:val="auto"/>
              </w:rPr>
            </w:pPr>
            <w:r>
              <w:rPr>
                <w:rFonts w:ascii="Arial" w:cs="Arial" w:eastAsia="Arial" w:hAnsi="Arial"/>
                <w:sz w:val="13"/>
                <w:szCs w:val="13"/>
                <w:b w:val="1"/>
                <w:bCs w:val="1"/>
                <w:color w:val="auto"/>
                <w:w w:val="97"/>
              </w:rPr>
              <w:t>500 Boylston Street</w:t>
            </w:r>
          </w:p>
        </w:tc>
        <w:tc>
          <w:tcPr>
            <w:tcW w:w="0" w:type="dxa"/>
            <w:vAlign w:val="bottom"/>
          </w:tcPr>
          <w:p>
            <w:pPr>
              <w:spacing w:after="0"/>
              <w:rPr>
                <w:sz w:val="1"/>
                <w:szCs w:val="1"/>
                <w:color w:val="auto"/>
              </w:rPr>
            </w:pPr>
          </w:p>
        </w:tc>
      </w:tr>
      <w:tr>
        <w:trPr>
          <w:trHeight w:val="31"/>
        </w:trPr>
        <w:tc>
          <w:tcPr>
            <w:tcW w:w="2800" w:type="dxa"/>
            <w:vAlign w:val="bottom"/>
            <w:vMerge w:val="restart"/>
          </w:tcPr>
          <w:p>
            <w:pPr>
              <w:jc w:val="center"/>
              <w:ind w:right="637"/>
              <w:spacing w:after="0"/>
              <w:rPr>
                <w:sz w:val="20"/>
                <w:szCs w:val="20"/>
                <w:color w:val="auto"/>
              </w:rPr>
            </w:pPr>
            <w:r>
              <w:rPr>
                <w:rFonts w:ascii="Arial" w:cs="Arial" w:eastAsia="Arial" w:hAnsi="Arial"/>
                <w:sz w:val="13"/>
                <w:szCs w:val="13"/>
                <w:b w:val="1"/>
                <w:bCs w:val="1"/>
                <w:color w:val="auto"/>
                <w:w w:val="97"/>
              </w:rPr>
              <w:t>One International Place, Suite 1020</w:t>
            </w:r>
          </w:p>
        </w:tc>
        <w:tc>
          <w:tcPr>
            <w:tcW w:w="4000" w:type="dxa"/>
            <w:vAlign w:val="bottom"/>
            <w:vMerge w:val="continue"/>
          </w:tcPr>
          <w:p>
            <w:pPr>
              <w:spacing w:after="0"/>
              <w:rPr>
                <w:sz w:val="2"/>
                <w:szCs w:val="2"/>
                <w:color w:val="auto"/>
              </w:rPr>
            </w:pPr>
          </w:p>
        </w:tc>
        <w:tc>
          <w:tcPr>
            <w:tcW w:w="2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00" w:type="dxa"/>
            <w:vAlign w:val="bottom"/>
            <w:vMerge w:val="continue"/>
          </w:tcPr>
          <w:p>
            <w:pPr>
              <w:spacing w:after="0"/>
              <w:rPr>
                <w:sz w:val="11"/>
                <w:szCs w:val="11"/>
                <w:color w:val="auto"/>
              </w:rPr>
            </w:pPr>
          </w:p>
        </w:tc>
        <w:tc>
          <w:tcPr>
            <w:tcW w:w="4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(617) 865-9628</w:t>
            </w:r>
          </w:p>
        </w:tc>
        <w:tc>
          <w:tcPr>
            <w:tcW w:w="2520" w:type="dxa"/>
            <w:vAlign w:val="bottom"/>
          </w:tcPr>
          <w:p>
            <w:pPr>
              <w:jc w:val="center"/>
              <w:ind w:left="677"/>
              <w:spacing w:after="0" w:line="135" w:lineRule="exact"/>
              <w:rPr>
                <w:sz w:val="20"/>
                <w:szCs w:val="20"/>
                <w:color w:val="auto"/>
              </w:rPr>
            </w:pPr>
            <w:r>
              <w:rPr>
                <w:rFonts w:ascii="Arial" w:cs="Arial" w:eastAsia="Arial" w:hAnsi="Arial"/>
                <w:sz w:val="13"/>
                <w:szCs w:val="13"/>
                <w:b w:val="1"/>
                <w:bCs w:val="1"/>
                <w:color w:val="auto"/>
                <w:w w:val="96"/>
              </w:rPr>
              <w:t>Boston, Massachusetts 02116</w:t>
            </w:r>
          </w:p>
        </w:tc>
        <w:tc>
          <w:tcPr>
            <w:tcW w:w="0" w:type="dxa"/>
            <w:vAlign w:val="bottom"/>
          </w:tcPr>
          <w:p>
            <w:pPr>
              <w:spacing w:after="0"/>
              <w:rPr>
                <w:sz w:val="1"/>
                <w:szCs w:val="1"/>
                <w:color w:val="auto"/>
              </w:rPr>
            </w:pPr>
          </w:p>
        </w:tc>
      </w:tr>
      <w:tr>
        <w:trPr>
          <w:trHeight w:val="135"/>
        </w:trPr>
        <w:tc>
          <w:tcPr>
            <w:tcW w:w="2800" w:type="dxa"/>
            <w:vAlign w:val="bottom"/>
          </w:tcPr>
          <w:p>
            <w:pPr>
              <w:jc w:val="center"/>
              <w:ind w:right="637"/>
              <w:spacing w:after="0" w:line="135" w:lineRule="exact"/>
              <w:rPr>
                <w:sz w:val="20"/>
                <w:szCs w:val="20"/>
                <w:color w:val="auto"/>
              </w:rPr>
            </w:pPr>
            <w:r>
              <w:rPr>
                <w:rFonts w:ascii="Arial" w:cs="Arial" w:eastAsia="Arial" w:hAnsi="Arial"/>
                <w:sz w:val="13"/>
                <w:szCs w:val="13"/>
                <w:b w:val="1"/>
                <w:bCs w:val="1"/>
                <w:color w:val="auto"/>
                <w:w w:val="96"/>
              </w:rPr>
              <w:t>Boston, Massachusetts 02110</w:t>
            </w:r>
          </w:p>
        </w:tc>
        <w:tc>
          <w:tcPr>
            <w:tcW w:w="4000" w:type="dxa"/>
            <w:vAlign w:val="bottom"/>
          </w:tcPr>
          <w:p>
            <w:pPr>
              <w:spacing w:after="0"/>
              <w:rPr>
                <w:sz w:val="11"/>
                <w:szCs w:val="11"/>
                <w:color w:val="auto"/>
              </w:rPr>
            </w:pPr>
          </w:p>
        </w:tc>
        <w:tc>
          <w:tcPr>
            <w:tcW w:w="2520" w:type="dxa"/>
            <w:vAlign w:val="bottom"/>
          </w:tcPr>
          <w:p>
            <w:pPr>
              <w:jc w:val="center"/>
              <w:ind w:left="677"/>
              <w:spacing w:after="0" w:line="135" w:lineRule="exact"/>
              <w:rPr>
                <w:sz w:val="20"/>
                <w:szCs w:val="20"/>
                <w:color w:val="auto"/>
              </w:rPr>
            </w:pPr>
            <w:r>
              <w:rPr>
                <w:rFonts w:ascii="Arial" w:cs="Arial" w:eastAsia="Arial" w:hAnsi="Arial"/>
                <w:sz w:val="13"/>
                <w:szCs w:val="13"/>
                <w:b w:val="1"/>
                <w:bCs w:val="1"/>
                <w:color w:val="auto"/>
                <w:w w:val="96"/>
              </w:rPr>
              <w:t>(617) 937-2300</w:t>
            </w:r>
          </w:p>
        </w:tc>
        <w:tc>
          <w:tcPr>
            <w:tcW w:w="0" w:type="dxa"/>
            <w:vAlign w:val="bottom"/>
          </w:tcPr>
          <w:p>
            <w:pPr>
              <w:spacing w:after="0"/>
              <w:rPr>
                <w:sz w:val="1"/>
                <w:szCs w:val="1"/>
                <w:color w:val="auto"/>
              </w:rPr>
            </w:pPr>
          </w:p>
        </w:tc>
      </w:tr>
      <w:tr>
        <w:trPr>
          <w:trHeight w:val="172"/>
        </w:trPr>
        <w:tc>
          <w:tcPr>
            <w:tcW w:w="2800" w:type="dxa"/>
            <w:vAlign w:val="bottom"/>
          </w:tcPr>
          <w:p>
            <w:pPr>
              <w:jc w:val="center"/>
              <w:ind w:right="637"/>
              <w:spacing w:after="0"/>
              <w:rPr>
                <w:sz w:val="20"/>
                <w:szCs w:val="20"/>
                <w:color w:val="auto"/>
              </w:rPr>
            </w:pPr>
            <w:r>
              <w:rPr>
                <w:rFonts w:ascii="Arial" w:cs="Arial" w:eastAsia="Arial" w:hAnsi="Arial"/>
                <w:sz w:val="13"/>
                <w:szCs w:val="13"/>
                <w:b w:val="1"/>
                <w:bCs w:val="1"/>
                <w:color w:val="auto"/>
                <w:w w:val="96"/>
              </w:rPr>
              <w:t>(617) 603-8805</w:t>
            </w:r>
          </w:p>
        </w:tc>
        <w:tc>
          <w:tcPr>
            <w:tcW w:w="4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116840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9" w:lineRule="exact"/>
        <w:rPr>
          <w:sz w:val="24"/>
          <w:szCs w:val="24"/>
          <w:color w:val="auto"/>
        </w:rPr>
      </w:pPr>
    </w:p>
    <w:p>
      <w:pPr>
        <w:ind w:left="9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69" w:lineRule="exact"/>
        <w:rPr>
          <w:sz w:val="24"/>
          <w:szCs w:val="24"/>
          <w:color w:val="auto"/>
        </w:rPr>
      </w:pPr>
    </w:p>
    <w:p>
      <w:pPr>
        <w:ind w:left="120" w:right="300" w:firstLine="440"/>
        <w:spacing w:after="0" w:line="18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520" w:firstLine="440"/>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7" w:lineRule="exact"/>
        <w:rPr>
          <w:sz w:val="24"/>
          <w:szCs w:val="24"/>
          <w:color w:val="auto"/>
        </w:rPr>
      </w:pPr>
    </w:p>
    <w:p>
      <w:pPr>
        <w:ind w:left="120" w:right="420" w:firstLine="44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420" w:firstLine="44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320" w:firstLine="44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120" w:type="dxa"/>
        <w:tblCellMar>
          <w:top w:w="0" w:type="dxa"/>
          <w:left w:w="0" w:type="dxa"/>
          <w:bottom w:w="0" w:type="dxa"/>
          <w:right w:w="0" w:type="dxa"/>
        </w:tblCellMar>
      </w:tblPr>
      <w:tr>
        <w:trPr>
          <w:trHeight w:val="242"/>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left="120" w:right="120" w:firstLine="44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113030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9" w:lineRule="exact"/>
        <w:rPr>
          <w:sz w:val="24"/>
          <w:szCs w:val="24"/>
          <w:color w:val="auto"/>
        </w:rPr>
      </w:pPr>
    </w:p>
    <w:p>
      <w:pPr>
        <w:ind w:left="120" w:right="40" w:firstLine="440"/>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40"/>
          </w:cols>
          <w:pgMar w:left="320" w:top="225"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5" w:lineRule="exact"/>
        <w:rPr>
          <w:sz w:val="20"/>
          <w:szCs w:val="20"/>
          <w:color w:val="auto"/>
        </w:rPr>
      </w:pPr>
    </w:p>
    <w:p>
      <w:pPr>
        <w:jc w:val="center"/>
        <w:ind w:right="-99"/>
        <w:spacing w:after="0"/>
        <w:tabs>
          <w:tab w:leader="none" w:pos="160" w:val="left"/>
        </w:tabs>
        <w:rPr>
          <w:sz w:val="20"/>
          <w:szCs w:val="20"/>
          <w:color w:val="auto"/>
        </w:rPr>
      </w:pPr>
      <w:r>
        <w:rPr>
          <w:rFonts w:ascii="Arial" w:cs="Arial" w:eastAsia="Arial" w:hAnsi="Arial"/>
          <w:sz w:val="18"/>
          <w:szCs w:val="18"/>
          <w:color w:val="DE1A1E"/>
        </w:rPr>
        <w:t xml:space="preserve">Subject To Completion, Dated        </w:t>
      </w:r>
      <w:r>
        <w:rPr>
          <w:sz w:val="20"/>
          <w:szCs w:val="20"/>
          <w:color w:val="auto"/>
        </w:rPr>
        <w:tab/>
      </w:r>
      <w:r>
        <w:rPr>
          <w:rFonts w:ascii="Arial" w:cs="Arial" w:eastAsia="Arial" w:hAnsi="Arial"/>
          <w:sz w:val="17"/>
          <w:szCs w:val="17"/>
          <w:color w:val="DE1A1E"/>
        </w:rPr>
        <w:t>, 2024</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DE1A1E"/>
        </w:rPr>
        <w:t>Preliminary Prospectus</w:t>
      </w:r>
    </w:p>
    <w:p>
      <w:pPr>
        <w:spacing w:after="0" w:line="167" w:lineRule="exact"/>
        <w:rPr>
          <w:sz w:val="20"/>
          <w:szCs w:val="20"/>
          <w:color w:val="auto"/>
        </w:rPr>
      </w:pPr>
    </w:p>
    <w:p>
      <w:pPr>
        <w:jc w:val="center"/>
        <w:ind w:right="-99"/>
        <w:spacing w:after="0"/>
        <w:tabs>
          <w:tab w:leader="none" w:pos="220" w:val="left"/>
        </w:tabs>
        <w:rPr>
          <w:sz w:val="20"/>
          <w:szCs w:val="20"/>
          <w:color w:val="auto"/>
        </w:rPr>
      </w:pPr>
      <w:r>
        <w:rPr>
          <w:rFonts w:ascii="Arial" w:cs="Arial" w:eastAsia="Arial" w:hAnsi="Arial"/>
          <w:sz w:val="25"/>
          <w:szCs w:val="25"/>
          <w:color w:val="auto"/>
        </w:rPr>
        <w:t xml:space="preserve">          </w:t>
        <w:tab/>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157480</wp:posOffset>
            </wp:positionV>
            <wp:extent cx="183451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Odyssey Therapeutics, Inc.</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226060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This is an initial public offering of shares of common stock of Odyssey Therapeutics, Inc. We are offering        shares of our common stock.</w:t>
      </w:r>
    </w:p>
    <w:p>
      <w:pPr>
        <w:spacing w:after="0" w:line="113"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 price per share will be between $        and $        . We have applied to list our common stock on the Nasdaq Capital Market, or Nasdaq, under the trading symbol “ODTX.” We believe that upon the completion of this offering, we will meet the standards for listing on Nasdaq, and the closing of this offering is contingent upon such listing.</w:t>
      </w:r>
    </w:p>
    <w:p>
      <w:pPr>
        <w:spacing w:after="0" w:line="133" w:lineRule="exact"/>
        <w:rPr>
          <w:sz w:val="20"/>
          <w:szCs w:val="20"/>
          <w:color w:val="auto"/>
        </w:rPr>
      </w:pPr>
    </w:p>
    <w:p>
      <w:pPr>
        <w:jc w:val="both"/>
        <w:ind w:left="120" w:right="180" w:firstLine="551"/>
        <w:spacing w:after="0" w:line="253" w:lineRule="auto"/>
        <w:rPr>
          <w:sz w:val="20"/>
          <w:szCs w:val="20"/>
          <w:color w:val="auto"/>
        </w:rPr>
      </w:pPr>
      <w:r>
        <w:rPr>
          <w:rFonts w:ascii="Arial" w:cs="Arial" w:eastAsia="Arial" w:hAnsi="Arial"/>
          <w:sz w:val="18"/>
          <w:szCs w:val="18"/>
          <w:color w:val="auto"/>
        </w:rPr>
        <w:t>We are an “emerging growth company” and a “smaller reporting company,” each as defined under the federal securities laws, and as such, we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196215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right="480" w:firstLine="551"/>
        <w:spacing w:after="0" w:line="269" w:lineRule="auto"/>
        <w:rPr>
          <w:sz w:val="20"/>
          <w:szCs w:val="20"/>
          <w:color w:val="auto"/>
        </w:rPr>
      </w:pPr>
      <w:r>
        <w:rPr>
          <w:rFonts w:ascii="Arial" w:cs="Arial" w:eastAsia="Arial" w:hAnsi="Arial"/>
          <w:sz w:val="18"/>
          <w:szCs w:val="18"/>
          <w:i w:val="1"/>
          <w:iCs w:val="1"/>
          <w:color w:val="auto"/>
        </w:rPr>
        <w:t>See the section of this prospectus titled “</w:t>
      </w:r>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color w:val="auto"/>
        </w:rPr>
        <w:t>” beginning on page 15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179070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8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3"/>
                <w:szCs w:val="23"/>
                <w:color w:val="auto"/>
                <w:vertAlign w:val="superscript"/>
              </w:rPr>
              <w:t>(1)</w:t>
            </w:r>
          </w:p>
        </w:tc>
        <w:tc>
          <w:tcPr>
            <w:tcW w:w="232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Odyssey Therapeutics, Inc.</w:t>
            </w:r>
          </w:p>
        </w:tc>
        <w:tc>
          <w:tcPr>
            <w:tcW w:w="2320" w:type="dxa"/>
            <w:vAlign w:val="bottom"/>
            <w:gridSpan w:val="2"/>
            <w:shd w:val="clear" w:color="auto" w:fill="CCEEFF"/>
          </w:tcPr>
          <w:p>
            <w:pPr>
              <w:ind w:left="2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xml:space="preserve">       </w:t>
            </w:r>
          </w:p>
        </w:tc>
        <w:tc>
          <w:tcPr>
            <w:tcW w:w="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9" w:lineRule="exact"/>
        <w:rPr>
          <w:sz w:val="20"/>
          <w:szCs w:val="20"/>
          <w:color w:val="auto"/>
        </w:rPr>
      </w:pPr>
    </w:p>
    <w:p>
      <w:pPr>
        <w:ind w:left="660" w:hanging="544"/>
        <w:spacing w:after="0"/>
        <w:tabs>
          <w:tab w:leader="none" w:pos="6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See the section of this prospectus titled “</w:t>
      </w:r>
      <w:r>
        <w:rPr>
          <w:rFonts w:ascii="Arial" w:cs="Arial" w:eastAsia="Arial" w:hAnsi="Arial"/>
          <w:sz w:val="18"/>
          <w:szCs w:val="18"/>
          <w:i w:val="1"/>
          <w:iCs w:val="1"/>
          <w:color w:val="auto"/>
        </w:rPr>
        <w:t>Underwriting</w:t>
      </w:r>
      <w:r>
        <w:rPr>
          <w:rFonts w:ascii="Arial" w:cs="Arial" w:eastAsia="Arial" w:hAnsi="Arial"/>
          <w:sz w:val="18"/>
          <w:szCs w:val="18"/>
          <w:color w:val="auto"/>
        </w:rPr>
        <w:t>” for a description of the compensation payable to the underwriters.</w:t>
      </w:r>
    </w:p>
    <w:p>
      <w:pPr>
        <w:spacing w:after="0" w:line="139"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We have granted the underwriters an option for a period of 30 days to purchase up to        additional shares of our common stock from us at the initial public offering price, less underwriting discounts and commissions.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against payment to purchasers on or about 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0"/>
        <w:spacing w:after="0"/>
        <w:tabs>
          <w:tab w:leader="none" w:pos="5220" w:val="left"/>
          <w:tab w:leader="none" w:pos="882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1"/>
          <w:szCs w:val="21"/>
          <w:b w:val="1"/>
          <w:bCs w:val="1"/>
          <w:color w:val="auto"/>
        </w:rPr>
        <w:t>TD Cowen</w:t>
      </w:r>
    </w:p>
    <w:p>
      <w:pPr>
        <w:spacing w:after="0" w:line="17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Wedbush PacGrow</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Prospectus dated             , 2025.</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4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1720" w:type="dxa"/>
            <w:vAlign w:val="bottom"/>
            <w:gridSpan w:val="10"/>
            <w:vMerge w:val="restart"/>
          </w:tcPr>
          <w:p>
            <w:pPr>
              <w:spacing w:after="0"/>
              <w:rPr>
                <w:sz w:val="20"/>
                <w:szCs w:val="20"/>
                <w:color w:val="auto"/>
              </w:rPr>
            </w:pPr>
            <w:r>
              <w:rPr>
                <w:rFonts w:ascii="Arial" w:cs="Arial" w:eastAsia="Arial" w:hAnsi="Arial"/>
                <w:sz w:val="18"/>
                <w:szCs w:val="18"/>
                <w:color w:val="0000EE"/>
                <w:w w:val="98"/>
              </w:rPr>
              <w:t>Prospectus Summary</w:t>
            </w:r>
          </w:p>
        </w:tc>
        <w:tc>
          <w:tcPr>
            <w:tcW w:w="8840" w:type="dxa"/>
            <w:vAlign w:val="bottom"/>
            <w:gridSpan w:val="12"/>
            <w:vMerge w:val="restart"/>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1720" w:type="dxa"/>
            <w:vAlign w:val="bottom"/>
            <w:tcBorders>
              <w:bottom w:val="single" w:sz="8" w:color="0000EE"/>
            </w:tcBorders>
            <w:gridSpan w:val="10"/>
            <w:vMerge w:val="continue"/>
          </w:tcPr>
          <w:p>
            <w:pPr>
              <w:spacing w:after="0"/>
              <w:rPr>
                <w:sz w:val="13"/>
                <w:szCs w:val="13"/>
                <w:color w:val="auto"/>
              </w:rPr>
            </w:pPr>
          </w:p>
        </w:tc>
        <w:tc>
          <w:tcPr>
            <w:tcW w:w="8840" w:type="dxa"/>
            <w:vAlign w:val="bottom"/>
            <w:gridSpan w:val="12"/>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0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Special Note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gridSpan w:val="17"/>
          </w:tcPr>
          <w:p>
            <w:pPr>
              <w:ind w:left="20"/>
              <w:spacing w:after="0" w:line="182" w:lineRule="exact"/>
              <w:rPr>
                <w:sz w:val="20"/>
                <w:szCs w:val="20"/>
                <w:color w:val="auto"/>
              </w:rPr>
            </w:pPr>
            <w:r>
              <w:rPr>
                <w:rFonts w:ascii="Arial" w:cs="Arial" w:eastAsia="Arial" w:hAnsi="Arial"/>
                <w:sz w:val="18"/>
                <w:szCs w:val="18"/>
                <w:color w:val="0000EE"/>
              </w:rPr>
              <w:t>Regarding Forward-Looking Statements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42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Market, Industry and Other Data</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25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Use of Proceeds</w:t>
            </w:r>
          </w:p>
        </w:tc>
        <w:tc>
          <w:tcPr>
            <w:tcW w:w="88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Dividend Policy</w:t>
            </w:r>
          </w:p>
        </w:tc>
        <w:tc>
          <w:tcPr>
            <w:tcW w:w="4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12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Capitalization</w:t>
            </w:r>
          </w:p>
        </w:tc>
        <w:tc>
          <w:tcPr>
            <w:tcW w:w="5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6"/>
              </w:rPr>
              <w:t>Dilution</w:t>
            </w:r>
          </w:p>
        </w:tc>
        <w:tc>
          <w:tcPr>
            <w:tcW w:w="48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0560" w:type="dxa"/>
            <w:vAlign w:val="bottom"/>
            <w:gridSpan w:val="22"/>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70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Business</w:t>
            </w:r>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line="20" w:lineRule="exact"/>
              <w:rPr>
                <w:sz w:val="1"/>
                <w:szCs w:val="1"/>
                <w:color w:val="auto"/>
              </w:rPr>
            </w:pPr>
          </w:p>
        </w:tc>
      </w:tr>
      <w:tr>
        <w:trPr>
          <w:trHeight w:val="183"/>
        </w:trPr>
        <w:tc>
          <w:tcPr>
            <w:tcW w:w="10560" w:type="dxa"/>
            <w:vAlign w:val="bottom"/>
            <w:gridSpan w:val="22"/>
          </w:tcPr>
          <w:p>
            <w:pPr>
              <w:spacing w:after="0" w:line="182" w:lineRule="exact"/>
              <w:rPr>
                <w:sz w:val="20"/>
                <w:szCs w:val="20"/>
                <w:color w:val="auto"/>
              </w:rPr>
            </w:pPr>
            <w:r>
              <w:rPr>
                <w:rFonts w:ascii="Arial" w:cs="Arial" w:eastAsia="Arial" w:hAnsi="Arial"/>
                <w:sz w:val="18"/>
                <w:szCs w:val="18"/>
                <w:color w:val="0000EE"/>
              </w:rPr>
              <w:t>Management</w:t>
            </w: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Executive</w:t>
            </w:r>
          </w:p>
        </w:tc>
        <w:tc>
          <w:tcPr>
            <w:tcW w:w="9520" w:type="dxa"/>
            <w:vAlign w:val="bottom"/>
            <w:gridSpan w:val="17"/>
          </w:tcPr>
          <w:p>
            <w:pPr>
              <w:spacing w:after="0" w:line="182" w:lineRule="exact"/>
              <w:rPr>
                <w:sz w:val="20"/>
                <w:szCs w:val="20"/>
                <w:color w:val="auto"/>
              </w:rPr>
            </w:pPr>
            <w:r>
              <w:rPr>
                <w:rFonts w:ascii="Arial" w:cs="Arial" w:eastAsia="Arial" w:hAnsi="Arial"/>
                <w:sz w:val="18"/>
                <w:szCs w:val="18"/>
                <w:color w:val="0000EE"/>
              </w:rPr>
              <w:t>Compensation</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83"/>
        </w:trPr>
        <w:tc>
          <w:tcPr>
            <w:tcW w:w="198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5"/>
              </w:rPr>
              <w:t>Certain Relationships and</w:t>
            </w:r>
          </w:p>
        </w:tc>
        <w:tc>
          <w:tcPr>
            <w:tcW w:w="8580" w:type="dxa"/>
            <w:vAlign w:val="bottom"/>
            <w:gridSpan w:val="10"/>
          </w:tcPr>
          <w:p>
            <w:pPr>
              <w:ind w:left="120"/>
              <w:spacing w:after="0" w:line="182" w:lineRule="exact"/>
              <w:rPr>
                <w:sz w:val="20"/>
                <w:szCs w:val="20"/>
                <w:color w:val="auto"/>
              </w:rPr>
            </w:pPr>
            <w:r>
              <w:rPr>
                <w:rFonts w:ascii="Arial" w:cs="Arial" w:eastAsia="Arial" w:hAnsi="Arial"/>
                <w:sz w:val="18"/>
                <w:szCs w:val="18"/>
                <w:color w:val="0000EE"/>
              </w:rPr>
              <w:t>Related Person Transactions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83"/>
        </w:trPr>
        <w:tc>
          <w:tcPr>
            <w:tcW w:w="44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Principal Stockholders</w:t>
            </w:r>
          </w:p>
        </w:tc>
        <w:tc>
          <w:tcPr>
            <w:tcW w:w="1160" w:type="dxa"/>
            <w:vAlign w:val="bottom"/>
          </w:tcPr>
          <w:p>
            <w:pPr>
              <w:spacing w:after="0"/>
              <w:rPr>
                <w:sz w:val="15"/>
                <w:szCs w:val="15"/>
                <w:color w:val="auto"/>
              </w:rPr>
            </w:pPr>
          </w:p>
        </w:tc>
        <w:tc>
          <w:tcPr>
            <w:tcW w:w="4980" w:type="dxa"/>
            <w:vAlign w:val="bottom"/>
            <w:gridSpan w:val="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83"/>
        </w:trPr>
        <w:tc>
          <w:tcPr>
            <w:tcW w:w="17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Description of Capital</w:t>
            </w:r>
          </w:p>
        </w:tc>
        <w:tc>
          <w:tcPr>
            <w:tcW w:w="8780" w:type="dxa"/>
            <w:vAlign w:val="bottom"/>
            <w:gridSpan w:val="11"/>
          </w:tcPr>
          <w:p>
            <w:pPr>
              <w:spacing w:after="0" w:line="182" w:lineRule="exact"/>
              <w:rPr>
                <w:sz w:val="20"/>
                <w:szCs w:val="20"/>
                <w:color w:val="auto"/>
              </w:rPr>
            </w:pPr>
            <w:r>
              <w:rPr>
                <w:rFonts w:ascii="Arial" w:cs="Arial" w:eastAsia="Arial" w:hAnsi="Arial"/>
                <w:sz w:val="18"/>
                <w:szCs w:val="18"/>
                <w:color w:val="0000EE"/>
              </w:rPr>
              <w:t>Stock</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line="20" w:lineRule="exact"/>
              <w:rPr>
                <w:sz w:val="1"/>
                <w:szCs w:val="1"/>
                <w:color w:val="auto"/>
              </w:rPr>
            </w:pPr>
          </w:p>
        </w:tc>
      </w:tr>
      <w:tr>
        <w:trPr>
          <w:trHeight w:val="183"/>
        </w:trPr>
        <w:tc>
          <w:tcPr>
            <w:tcW w:w="10560" w:type="dxa"/>
            <w:vAlign w:val="bottom"/>
            <w:gridSpan w:val="22"/>
          </w:tcPr>
          <w:p>
            <w:pPr>
              <w:spacing w:after="0" w:line="182" w:lineRule="exact"/>
              <w:rPr>
                <w:sz w:val="20"/>
                <w:szCs w:val="20"/>
                <w:color w:val="auto"/>
              </w:rPr>
            </w:pPr>
            <w:r>
              <w:rPr>
                <w:rFonts w:ascii="Arial" w:cs="Arial" w:eastAsia="Arial" w:hAnsi="Arial"/>
                <w:sz w:val="18"/>
                <w:szCs w:val="18"/>
                <w:color w:val="0000EE"/>
              </w:rPr>
              <w:t>Shares Eligible for Future Sale</w:t>
            </w: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Material U.S. Federal Income</w:t>
            </w:r>
          </w:p>
        </w:tc>
        <w:tc>
          <w:tcPr>
            <w:tcW w:w="8120" w:type="dxa"/>
            <w:vAlign w:val="bottom"/>
            <w:gridSpan w:val="7"/>
          </w:tcPr>
          <w:p>
            <w:pPr>
              <w:spacing w:after="0" w:line="182" w:lineRule="exact"/>
              <w:rPr>
                <w:sz w:val="20"/>
                <w:szCs w:val="20"/>
                <w:color w:val="auto"/>
              </w:rPr>
            </w:pPr>
            <w:r>
              <w:rPr>
                <w:rFonts w:ascii="Arial" w:cs="Arial" w:eastAsia="Arial" w:hAnsi="Arial"/>
                <w:sz w:val="18"/>
                <w:szCs w:val="18"/>
                <w:color w:val="0000EE"/>
              </w:rPr>
              <w:t>Tax Consequences to Non-U.S. Holders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83"/>
        </w:trPr>
        <w:tc>
          <w:tcPr>
            <w:tcW w:w="558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Underwriting</w:t>
            </w:r>
          </w:p>
        </w:tc>
        <w:tc>
          <w:tcPr>
            <w:tcW w:w="4980" w:type="dxa"/>
            <w:vAlign w:val="bottom"/>
            <w:gridSpan w:val="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83"/>
        </w:trPr>
        <w:tc>
          <w:tcPr>
            <w:tcW w:w="10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1"/>
              </w:rPr>
              <w:t>Legal Matters</w:t>
            </w:r>
          </w:p>
        </w:tc>
        <w:tc>
          <w:tcPr>
            <w:tcW w:w="80" w:type="dxa"/>
            <w:vAlign w:val="bottom"/>
            <w:tcBorders>
              <w:bottom w:val="single" w:sz="8" w:color="0000EE"/>
            </w:tcBorders>
            <w:gridSpan w:val="3"/>
          </w:tcPr>
          <w:p>
            <w:pPr>
              <w:spacing w:after="0"/>
              <w:rPr>
                <w:sz w:val="15"/>
                <w:szCs w:val="15"/>
                <w:color w:val="auto"/>
              </w:rPr>
            </w:pPr>
          </w:p>
        </w:tc>
        <w:tc>
          <w:tcPr>
            <w:tcW w:w="1260" w:type="dxa"/>
            <w:vAlign w:val="bottom"/>
            <w:gridSpan w:val="7"/>
          </w:tcPr>
          <w:p>
            <w:pPr>
              <w:spacing w:after="0"/>
              <w:rPr>
                <w:sz w:val="15"/>
                <w:szCs w:val="15"/>
                <w:color w:val="auto"/>
              </w:rPr>
            </w:pPr>
          </w:p>
        </w:tc>
        <w:tc>
          <w:tcPr>
            <w:tcW w:w="1080" w:type="dxa"/>
            <w:vAlign w:val="bottom"/>
            <w:gridSpan w:val="3"/>
          </w:tcPr>
          <w:p>
            <w:pPr>
              <w:spacing w:after="0"/>
              <w:rPr>
                <w:sz w:val="15"/>
                <w:szCs w:val="15"/>
                <w:color w:val="auto"/>
              </w:rPr>
            </w:pPr>
          </w:p>
        </w:tc>
        <w:tc>
          <w:tcPr>
            <w:tcW w:w="712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3"/>
        </w:trPr>
        <w:tc>
          <w:tcPr>
            <w:tcW w:w="1100" w:type="dxa"/>
            <w:vAlign w:val="bottom"/>
            <w:gridSpan w:val="7"/>
          </w:tcPr>
          <w:p>
            <w:pPr>
              <w:spacing w:after="0" w:line="182" w:lineRule="exact"/>
              <w:rPr>
                <w:sz w:val="20"/>
                <w:szCs w:val="20"/>
                <w:color w:val="auto"/>
              </w:rPr>
            </w:pPr>
            <w:r>
              <w:rPr>
                <w:rFonts w:ascii="Arial" w:cs="Arial" w:eastAsia="Arial" w:hAnsi="Arial"/>
                <w:sz w:val="18"/>
                <w:szCs w:val="18"/>
                <w:color w:val="0000EE"/>
              </w:rPr>
              <w:t>Experts</w:t>
            </w:r>
          </w:p>
        </w:tc>
        <w:tc>
          <w:tcPr>
            <w:tcW w:w="1260" w:type="dxa"/>
            <w:vAlign w:val="bottom"/>
            <w:gridSpan w:val="7"/>
          </w:tcPr>
          <w:p>
            <w:pPr>
              <w:spacing w:after="0"/>
              <w:rPr>
                <w:sz w:val="15"/>
                <w:szCs w:val="15"/>
                <w:color w:val="auto"/>
              </w:rPr>
            </w:pPr>
          </w:p>
        </w:tc>
        <w:tc>
          <w:tcPr>
            <w:tcW w:w="1080" w:type="dxa"/>
            <w:vAlign w:val="bottom"/>
            <w:gridSpan w:val="3"/>
          </w:tcPr>
          <w:p>
            <w:pPr>
              <w:spacing w:after="0"/>
              <w:rPr>
                <w:sz w:val="15"/>
                <w:szCs w:val="15"/>
                <w:color w:val="auto"/>
              </w:rPr>
            </w:pPr>
          </w:p>
        </w:tc>
        <w:tc>
          <w:tcPr>
            <w:tcW w:w="712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2"/>
        </w:trPr>
        <w:tc>
          <w:tcPr>
            <w:tcW w:w="6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Where</w:t>
            </w:r>
          </w:p>
        </w:tc>
        <w:tc>
          <w:tcPr>
            <w:tcW w:w="9960" w:type="dxa"/>
            <w:vAlign w:val="bottom"/>
            <w:gridSpan w:val="21"/>
          </w:tcPr>
          <w:p>
            <w:pPr>
              <w:spacing w:after="0" w:line="182" w:lineRule="exact"/>
              <w:rPr>
                <w:sz w:val="20"/>
                <w:szCs w:val="20"/>
                <w:color w:val="auto"/>
              </w:rPr>
            </w:pPr>
            <w:r>
              <w:rPr>
                <w:rFonts w:ascii="Arial" w:cs="Arial" w:eastAsia="Arial" w:hAnsi="Arial"/>
                <w:sz w:val="18"/>
                <w:szCs w:val="18"/>
                <w:color w:val="0000EE"/>
              </w:rPr>
              <w:t>You Can Find Additional Information</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3"/>
        </w:trPr>
        <w:tc>
          <w:tcPr>
            <w:tcW w:w="34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Index to Financial Statements</w:t>
            </w:r>
          </w:p>
        </w:tc>
        <w:tc>
          <w:tcPr>
            <w:tcW w:w="712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22" w:lineRule="auto"/>
        <w:rPr>
          <w:sz w:val="20"/>
          <w:szCs w:val="20"/>
          <w:color w:val="auto"/>
        </w:rPr>
      </w:pPr>
      <w:r>
        <w:rPr>
          <w:rFonts w:ascii="Arial" w:cs="Arial" w:eastAsia="Arial" w:hAnsi="Arial"/>
          <w:sz w:val="18"/>
          <w:szCs w:val="18"/>
          <w:b w:val="1"/>
          <w:bCs w:val="1"/>
          <w:color w:val="auto"/>
        </w:rPr>
        <w:t>Through and including          , 2025 (the 25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85" w:lineRule="exact"/>
        <w:rPr>
          <w:sz w:val="20"/>
          <w:szCs w:val="20"/>
          <w:color w:val="auto"/>
        </w:rPr>
      </w:pPr>
    </w:p>
    <w:p>
      <w:pPr>
        <w:ind w:left="120" w:right="300" w:firstLine="551"/>
        <w:spacing w:after="0" w:line="244"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76"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8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4" w:lineRule="exact"/>
        <w:rPr>
          <w:sz w:val="20"/>
          <w:szCs w:val="20"/>
          <w:color w:val="auto"/>
        </w:rPr>
      </w:pPr>
    </w:p>
    <w:p>
      <w:pPr>
        <w:ind w:left="300" w:firstLine="532"/>
        <w:spacing w:after="0"/>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and is qualified in its entirety by the more detailed information included elsewhere in this prospectus. This summary does not contain all of the information you should consider before investing in our common stock. You should read this entire prospectus carefully, including the sections of this prospectus titled “Risk Factors,” “Special Note Regarding Forward-Looking Statements” and “Management’s Discussion and Analysis of Financial Condition and Results of Operations,” and our consolidated financial statements and the related notes included elsewhere in this prospectus before making an investment decision. Unless the context otherwise requires, the terms “Odyssey,” “we,” “us,” “our” or similar terms refer to Odyssey Therapeutics, Inc. and its wholly owned subsidiaries.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300" w:right="20" w:firstLine="532"/>
        <w:spacing w:after="0" w:line="242" w:lineRule="auto"/>
        <w:rPr>
          <w:sz w:val="20"/>
          <w:szCs w:val="20"/>
          <w:color w:val="auto"/>
        </w:rPr>
      </w:pPr>
      <w:r>
        <w:rPr>
          <w:rFonts w:ascii="Arial" w:cs="Arial" w:eastAsia="Arial" w:hAnsi="Arial"/>
          <w:sz w:val="18"/>
          <w:szCs w:val="18"/>
          <w:color w:val="auto"/>
        </w:rPr>
        <w:t>Odyssey is a clinical-stage biopharmaceutical company led by a team and board of drug hunters seeking to transform the standard of care for patients suffering from autoimmune and inflammatory diseases. To accomplish this, we are developing medicines that are designed to precisely target disease pathology with an initial emphasis on the innate immune system. We believe our deep understanding of immunobiology, coupled with leading expertise in medicinal, computational and protein chemistry, structural biology, genetics and pharmacology allows us to identify and drug key signaling nodes that drive disease. We have prioritized targets where we believe the underlying disease biology is understood through genetic, clinical or translational evidence.</w:t>
      </w:r>
    </w:p>
    <w:p>
      <w:pPr>
        <w:spacing w:after="0" w:line="179"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Our most advanced programs include OD-07656, a small molecule scaffolding inhibitor of receptor-interacting protein kinase 2, or RIPK2, for which we intend to commence a Phase 2a monotherapy trial for ulcerative colitis, or UC, in the first quarter of 2025 and a Phase 2a combination trial with vedolizumab in the first half of 2026, and two preclinical programs: a small molecule scaffolding inhibitor of interleukin-1 receptor-associated kinase 4, or IRAK4, and OD-00910, an agonistic protein therapeutic targeting tumor necrosis factor receptor 2, or TNFR2, built from camelid heavy chain variable regions, or VHH, domains (which we term a V-body). Our Phase 1 RIPK2 clinical trial was conducted in Australia and we have not yet filed an investigational new drug application, or IND, for our RIPK2 program. We anticipate conducting our RIPK2 Phase 2a trials pursuant to clinical trial applications, or CTAs, at approximately 60 sites globally in the Asia-Pacific region, Europe, the Middle East and Canada and pursuant to an IND in the United States, pending submission of such applications and approval and clearance to proceed under them by the applicable regulatory authority. We currently expect to file a CTA in Australia for both our IRAK4 program and OD-00910 by the end of 2025, and, pending approval to proceed from the Australian Therapeutic Goods Association, or TGA, to commence these trials in the first half of 2026. These programs have the potential to yield treatments for inflammatory diseases that have large addressable patient populations and lack effective treatments, including inflammatory bowel disease, or IBD, atopic dermatitis, or AD, and systemic lupus erythematosus, or SLE, and, where appropriate, we intend to pursue global marketing approval for our programs if we successfully complete the necessary clinical trials.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 to Immunology and Drug Discovery</w:t>
      </w:r>
    </w:p>
    <w:p>
      <w:pPr>
        <w:spacing w:after="0" w:line="104" w:lineRule="exact"/>
        <w:rPr>
          <w:sz w:val="20"/>
          <w:szCs w:val="20"/>
          <w:color w:val="auto"/>
        </w:rPr>
      </w:pPr>
    </w:p>
    <w:p>
      <w:pPr>
        <w:ind w:left="300" w:firstLine="532"/>
        <w:spacing w:after="0" w:line="247" w:lineRule="auto"/>
        <w:rPr>
          <w:sz w:val="20"/>
          <w:szCs w:val="20"/>
          <w:color w:val="auto"/>
        </w:rPr>
      </w:pPr>
      <w:r>
        <w:rPr>
          <w:rFonts w:ascii="Arial" w:cs="Arial" w:eastAsia="Arial" w:hAnsi="Arial"/>
          <w:sz w:val="18"/>
          <w:szCs w:val="18"/>
          <w:color w:val="auto"/>
        </w:rPr>
        <w:t>The human immune system is a complex network of cells, tissues and organs that can be divided into two primary components: the innate immune system and adaptive immune system. The innate immune system, which forms the body’s first line of defense, is a cellular network with highly selective receptors and activators that responds to pathogenic stimuli, both directly and by producing</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47" w:lineRule="auto"/>
        <w:rPr>
          <w:sz w:val="20"/>
          <w:szCs w:val="20"/>
          <w:color w:val="auto"/>
        </w:rPr>
      </w:pPr>
      <w:r>
        <w:rPr>
          <w:rFonts w:ascii="Arial" w:cs="Arial" w:eastAsia="Arial" w:hAnsi="Arial"/>
          <w:sz w:val="18"/>
          <w:szCs w:val="18"/>
          <w:color w:val="auto"/>
        </w:rPr>
        <w:t xml:space="preserve">pro-inflammatory cytokines that activate the secondary line of defense, the adaptive immune system. The adaptive immune system helps eliminate pathogens and retains a memory of them for a more effective immune response to previously encountered pathogens. While these responses are necessary for normal homeostatic function and host defense, </w:t>
      </w:r>
      <w:r>
        <w:rPr>
          <w:rFonts w:ascii="Arial" w:cs="Arial" w:eastAsia="Arial" w:hAnsi="Arial"/>
          <w:sz w:val="18"/>
          <w:szCs w:val="18"/>
          <w:i w:val="1"/>
          <w:iCs w:val="1"/>
          <w:color w:val="auto"/>
        </w:rPr>
        <w:t>chronic</w:t>
      </w:r>
      <w:r>
        <w:rPr>
          <w:rFonts w:ascii="Arial" w:cs="Arial" w:eastAsia="Arial" w:hAnsi="Arial"/>
          <w:sz w:val="18"/>
          <w:szCs w:val="18"/>
          <w:color w:val="auto"/>
        </w:rPr>
        <w:t xml:space="preserve"> pro-inflammatory signaling that remains unresolved propagates inflammatory disease and organ damage,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firstLine="532"/>
        <w:spacing w:after="0" w:line="256" w:lineRule="auto"/>
        <w:rPr>
          <w:sz w:val="20"/>
          <w:szCs w:val="20"/>
          <w:color w:val="auto"/>
        </w:rPr>
      </w:pPr>
      <w:r>
        <w:rPr>
          <w:rFonts w:ascii="Arial" w:cs="Arial" w:eastAsia="Arial" w:hAnsi="Arial"/>
          <w:sz w:val="17"/>
          <w:szCs w:val="17"/>
          <w:color w:val="auto"/>
        </w:rPr>
        <w:t>Current therapies for inflammatory diseases, which are largely focused on the downstream adaptive immune response— specifically, the inhibition of cytokines—have produced meaningful benefits for patients, but also share fundamental limitations despite targeting different cytokines. Because cytokines have redundant function, blocking any one cytokine does not prevent others from activating the adaptive immune response. Cytokines have many functions and therefore inhibiting a cytokine relevant in disease also negatively impacts normal homeostasis and is typically associated with immunosuppression. We believe existing therapeutics will continue to be challenging to combine safely into additive or synergistic multidrug regimens. By targeting innate immune responses, our product candidates have the potential, whether as monotherapies or in combination, to address the issue of downstream cytokine redundancy and mitigate direct damage caused by the innate immune response, while having less immunosuppressive risk.</w:t>
      </w:r>
    </w:p>
    <w:p>
      <w:pPr>
        <w:spacing w:after="0" w:line="168" w:lineRule="exact"/>
        <w:rPr>
          <w:sz w:val="20"/>
          <w:szCs w:val="20"/>
          <w:color w:val="auto"/>
        </w:rPr>
      </w:pPr>
    </w:p>
    <w:p>
      <w:pPr>
        <w:ind w:left="300" w:right="40" w:firstLine="532"/>
        <w:spacing w:after="0" w:line="242" w:lineRule="auto"/>
        <w:rPr>
          <w:sz w:val="20"/>
          <w:szCs w:val="20"/>
          <w:color w:val="auto"/>
        </w:rPr>
      </w:pPr>
      <w:r>
        <w:rPr>
          <w:rFonts w:ascii="Arial" w:cs="Arial" w:eastAsia="Arial" w:hAnsi="Arial"/>
          <w:sz w:val="18"/>
          <w:szCs w:val="18"/>
          <w:color w:val="auto"/>
        </w:rPr>
        <w:t>Our replicable model for drug discovery and development is run by our team of experts who collectively have decades of experience in the field with other companies. We first seek to identify targets that address patient populations with significant unmet need within immunology. In considering targets, we prefer those where the biology is well characterized and where clinical or translational evidence can be combined with human genetics to inform potential safety and efficacy. Following target selection, we leverage internal capabilities to determine which modality, small molecule or protein therapeutic, is optimal for effectively drugging the core biology we aim to address.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Strengths</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the success of our efforts will be driven by the following differentiating factors:</w:t>
      </w:r>
    </w:p>
    <w:p>
      <w:pPr>
        <w:spacing w:after="0" w:line="117" w:lineRule="exact"/>
        <w:rPr>
          <w:sz w:val="20"/>
          <w:szCs w:val="20"/>
          <w:color w:val="auto"/>
        </w:rPr>
      </w:pPr>
    </w:p>
    <w:p>
      <w:pPr>
        <w:ind w:left="1020" w:right="80" w:hanging="195"/>
        <w:spacing w:after="0" w:line="25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Our deep knowledge of human immune biology. </w:t>
      </w:r>
      <w:r>
        <w:rPr>
          <w:rFonts w:ascii="Arial" w:cs="Arial" w:eastAsia="Arial" w:hAnsi="Arial"/>
          <w:sz w:val="18"/>
          <w:szCs w:val="18"/>
          <w:color w:val="auto"/>
        </w:rPr>
        <w:t>Our portfolio leverages our comprehensive grasp of the immune system</w:t>
      </w:r>
      <w:r>
        <w:rPr>
          <w:rFonts w:ascii="Arial" w:cs="Arial" w:eastAsia="Arial" w:hAnsi="Arial"/>
          <w:sz w:val="18"/>
          <w:szCs w:val="18"/>
          <w:b w:val="1"/>
          <w:bCs w:val="1"/>
          <w:color w:val="auto"/>
        </w:rPr>
        <w:t xml:space="preserve"> </w:t>
      </w:r>
      <w:r>
        <w:rPr>
          <w:rFonts w:ascii="Arial" w:cs="Arial" w:eastAsia="Arial" w:hAnsi="Arial"/>
          <w:sz w:val="18"/>
          <w:szCs w:val="18"/>
          <w:color w:val="auto"/>
        </w:rPr>
        <w:t>to address a broader range of targets or mechanisms than have been historically undertaken by biopharmaceutical companies. Our research is driven by our</w:t>
      </w:r>
    </w:p>
    <w:p>
      <w:pPr>
        <w:spacing w:after="0" w:line="2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90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access to differentiated insights, findings and data sets that can help guide target selection and inform clinical trial design.</w:t>
      </w:r>
    </w:p>
    <w:p>
      <w:pPr>
        <w:spacing w:after="0" w:line="117" w:lineRule="exact"/>
        <w:rPr>
          <w:sz w:val="20"/>
          <w:szCs w:val="20"/>
          <w:color w:val="auto"/>
        </w:rPr>
      </w:pPr>
    </w:p>
    <w:p>
      <w:pPr>
        <w:ind w:left="1020" w:right="22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Our expertise in small molecule and protein therapeutics allows us to tackle a broad range of therapeutic targets. </w:t>
      </w:r>
      <w:r>
        <w:rPr>
          <w:rFonts w:ascii="Arial" w:cs="Arial" w:eastAsia="Arial" w:hAnsi="Arial"/>
          <w:sz w:val="18"/>
          <w:szCs w:val="18"/>
          <w:color w:val="auto"/>
        </w:rPr>
        <w:t>We have deep organizational expertise in medicinal and protein chemistry along with structural biology and biophysics, which enables us to take a structure-guided approach across our entire portfolio.</w:t>
      </w:r>
    </w:p>
    <w:p>
      <w:pPr>
        <w:spacing w:after="0" w:line="74" w:lineRule="exact"/>
        <w:rPr>
          <w:rFonts w:ascii="Arial" w:cs="Arial" w:eastAsia="Arial" w:hAnsi="Arial"/>
          <w:sz w:val="18"/>
          <w:szCs w:val="18"/>
          <w:color w:val="auto"/>
        </w:rPr>
      </w:pPr>
    </w:p>
    <w:p>
      <w:pPr>
        <w:ind w:left="1020" w:right="140" w:hanging="195"/>
        <w:spacing w:after="0" w:line="275"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Highly productive and efficient research and development capabilities. </w:t>
      </w:r>
      <w:r>
        <w:rPr>
          <w:rFonts w:ascii="Arial" w:cs="Arial" w:eastAsia="Arial" w:hAnsi="Arial"/>
          <w:sz w:val="17"/>
          <w:szCs w:val="17"/>
          <w:color w:val="auto"/>
        </w:rPr>
        <w:t>Since our founding in 2021, we have internally</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discovered and developed a broad portfolio of product candidates and completed our first clinical trial. In designing our Phase 1 and Phase 2 trials, we strive to efficiently obtain proof-of-mechanism and proof-of-concept readouts, respectively.</w:t>
      </w:r>
    </w:p>
    <w:p>
      <w:pPr>
        <w:spacing w:after="0" w:line="57" w:lineRule="exact"/>
        <w:rPr>
          <w:rFonts w:ascii="Arial" w:cs="Arial" w:eastAsia="Arial" w:hAnsi="Arial"/>
          <w:sz w:val="17"/>
          <w:szCs w:val="17"/>
          <w:color w:val="auto"/>
        </w:rPr>
      </w:pPr>
    </w:p>
    <w:p>
      <w:pPr>
        <w:ind w:left="1020" w:right="260" w:hanging="195"/>
        <w:spacing w:after="0" w:line="275"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Our management team and board of directors have a long track record of therapeutic development and company building. </w:t>
      </w:r>
      <w:r>
        <w:rPr>
          <w:rFonts w:ascii="Arial" w:cs="Arial" w:eastAsia="Arial" w:hAnsi="Arial"/>
          <w:sz w:val="17"/>
          <w:szCs w:val="17"/>
          <w:color w:val="auto"/>
        </w:rPr>
        <w:t>Our management team and our board of directors have played critical roles in the discovery,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multiple blockbuster therapies and in founding and building biopharmaceutical companies.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Small Molecules</w:t>
      </w:r>
    </w:p>
    <w:p>
      <w:pPr>
        <w:spacing w:after="0" w:line="102" w:lineRule="exact"/>
        <w:rPr>
          <w:sz w:val="20"/>
          <w:szCs w:val="20"/>
          <w:color w:val="auto"/>
        </w:rPr>
      </w:pPr>
    </w:p>
    <w:p>
      <w:pPr>
        <w:ind w:left="300" w:right="160" w:firstLine="532"/>
        <w:spacing w:after="0" w:line="253" w:lineRule="auto"/>
        <w:rPr>
          <w:sz w:val="20"/>
          <w:szCs w:val="20"/>
          <w:color w:val="auto"/>
        </w:rPr>
      </w:pPr>
      <w:r>
        <w:rPr>
          <w:rFonts w:ascii="Arial" w:cs="Arial" w:eastAsia="Arial" w:hAnsi="Arial"/>
          <w:sz w:val="18"/>
          <w:szCs w:val="18"/>
          <w:color w:val="auto"/>
        </w:rPr>
        <w:t>Small molecules are preferred to address intracellular targets or provide an oral option where that administration route will be important for prescribers and patients. To support our discovery and development, we have invested in a suite of tools and capabilities, including our artificial intelligence/machine learning, or AI/ML, natural products and covalent chemistry platforms.</w:t>
      </w:r>
    </w:p>
    <w:p>
      <w:pPr>
        <w:spacing w:after="0" w:line="74" w:lineRule="exact"/>
        <w:rPr>
          <w:sz w:val="20"/>
          <w:szCs w:val="20"/>
          <w:color w:val="auto"/>
        </w:rPr>
      </w:pPr>
    </w:p>
    <w:p>
      <w:pPr>
        <w:ind w:left="102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AI/ML platform is designed to support small molecule drug discovery from program initiation through identification of a development candidate. Specifically, our platform can help elucidate cryptic pockets through novel techniques pioneered by our employees, use virtual screening and generative chemistry to identify and optimize hits and be used alongside traditional medicinal chemistry efforts to efficiently progress our programs.</w:t>
      </w:r>
    </w:p>
    <w:p>
      <w:pPr>
        <w:spacing w:after="0" w:line="79" w:lineRule="exact"/>
        <w:rPr>
          <w:rFonts w:ascii="Arial" w:cs="Arial" w:eastAsia="Arial" w:hAnsi="Arial"/>
          <w:sz w:val="18"/>
          <w:szCs w:val="18"/>
          <w:color w:val="auto"/>
        </w:rPr>
      </w:pPr>
    </w:p>
    <w:p>
      <w:pPr>
        <w:ind w:left="1020" w:right="8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natural products platform through which we believe we can discover biologically relevant molecules produced by microbes (e.g., bacteria or fungi) because ligand binding sites are generally conserved through evolution. We use this capability specifically for difficult drug targets where traditional synthetic chemistry has been unsuccessful.</w:t>
      </w:r>
    </w:p>
    <w:p>
      <w:pPr>
        <w:spacing w:after="0" w:line="74"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covalent chemistry platform fuses cutting-edge medicinal chemistry with real-time data integration into our AI/ML engine. Leveraging our proprietary internal library targeting both cysteines and lysines, alongside external DNA-Encoded Libraries, we efficiently uncover chemical starting points and druggable pockets. Using these discoveries, we can further transition to non-covalent approaches. By integrating covalent chemistry, hit and pocket identification and vast proteome-wide selectivity data, our AI/ML platform generates interactive and predictive Connectivity Maps of covalent compounds and ligandable protein sites. With these Connectivity Maps and proprietary libraries, we believe we have created a differentiated solution to finding drug starting points.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Protein Therapeutics</w:t>
      </w:r>
    </w:p>
    <w:p>
      <w:pPr>
        <w:spacing w:after="0" w:line="102" w:lineRule="exact"/>
        <w:rPr>
          <w:sz w:val="20"/>
          <w:szCs w:val="20"/>
          <w:color w:val="auto"/>
        </w:rPr>
      </w:pPr>
    </w:p>
    <w:p>
      <w:pPr>
        <w:ind w:left="300" w:right="180" w:firstLine="532"/>
        <w:spacing w:after="0" w:line="247" w:lineRule="auto"/>
        <w:rPr>
          <w:sz w:val="20"/>
          <w:szCs w:val="20"/>
          <w:color w:val="auto"/>
        </w:rPr>
      </w:pPr>
      <w:r>
        <w:rPr>
          <w:rFonts w:ascii="Arial" w:cs="Arial" w:eastAsia="Arial" w:hAnsi="Arial"/>
          <w:sz w:val="18"/>
          <w:szCs w:val="18"/>
          <w:color w:val="auto"/>
        </w:rPr>
        <w:t>We believe that protein therapeutics are ideal for extracellular targets particularly where multiple targets or receptors must be engaged for desired pharmacology. Within the protein therapeutic class, there are numerous formats that have been used in approved drugs, including monoclonal antibodies or their fragments, or Fab, bispecific antibodies, fusion proteins and VHH and derivatives thereof. We believe VHH provide a superior platform for the development of next-generation protein therapeutics</w:t>
      </w: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47" w:lineRule="auto"/>
        <w:rPr>
          <w:sz w:val="20"/>
          <w:szCs w:val="20"/>
          <w:color w:val="auto"/>
        </w:rPr>
      </w:pPr>
      <w:r>
        <w:rPr>
          <w:rFonts w:ascii="Arial" w:cs="Arial" w:eastAsia="Arial" w:hAnsi="Arial"/>
          <w:sz w:val="18"/>
          <w:szCs w:val="18"/>
          <w:color w:val="auto"/>
        </w:rPr>
        <w:t>compared to conventional antibodies and fusion proteins because of their lower molecular weight, modularity, ease of engineering and manufacturing and developability characteristics. Like our small molecule research, we employ AI and ML models in developing our protein therapeutics. These models enable us to identify favorable combinations of VHH and help guide optimization of affinity, stability and developability.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04" w:lineRule="exact"/>
        <w:rPr>
          <w:sz w:val="20"/>
          <w:szCs w:val="20"/>
          <w:color w:val="auto"/>
        </w:rPr>
      </w:pPr>
    </w:p>
    <w:p>
      <w:pPr>
        <w:ind w:left="300" w:right="840" w:firstLine="532"/>
        <w:spacing w:after="0" w:line="271" w:lineRule="auto"/>
        <w:rPr>
          <w:sz w:val="20"/>
          <w:szCs w:val="20"/>
          <w:color w:val="auto"/>
        </w:rPr>
      </w:pPr>
      <w:r>
        <w:rPr>
          <w:rFonts w:ascii="Arial" w:cs="Arial" w:eastAsia="Arial" w:hAnsi="Arial"/>
          <w:sz w:val="18"/>
          <w:szCs w:val="18"/>
          <w:color w:val="auto"/>
        </w:rPr>
        <w:t>Our wholly owned drug development pipeline is shown below, along with our collaborations with pharmaceutical and biopharmaceutical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RIPK2</w:t>
      </w:r>
    </w:p>
    <w:p>
      <w:pPr>
        <w:spacing w:after="0" w:line="102" w:lineRule="exact"/>
        <w:rPr>
          <w:sz w:val="20"/>
          <w:szCs w:val="20"/>
          <w:color w:val="auto"/>
        </w:rPr>
      </w:pPr>
    </w:p>
    <w:p>
      <w:pPr>
        <w:ind w:left="300" w:right="60" w:firstLine="532"/>
        <w:spacing w:after="0" w:line="242" w:lineRule="auto"/>
        <w:rPr>
          <w:sz w:val="20"/>
          <w:szCs w:val="20"/>
          <w:color w:val="auto"/>
        </w:rPr>
      </w:pPr>
      <w:r>
        <w:rPr>
          <w:rFonts w:ascii="Arial" w:cs="Arial" w:eastAsia="Arial" w:hAnsi="Arial"/>
          <w:sz w:val="18"/>
          <w:szCs w:val="18"/>
          <w:color w:val="auto"/>
        </w:rPr>
        <w:t>OD-07656, our oral small molecule RIPK2 scaffolding inhibitor product candidate, is entering Phase 2a development for the treatment of UC, one of the two main types of IBD. IBD is an autoimmune disease that degrades, damages and can perforate the gastrointestinal, or GI, tract and afflicts two-to-three million people in the United States. Despite there being more than ten approved therapies spanning multiple mechanisms of action, placebo-adjusted remission rates for IBD do not exceed approximately 30% (a so called “therapeutic ceiling”). Moreover, a majority of patients who initially respond to treatment with existing approved therapies are likely to lose response within five years.</w:t>
      </w:r>
    </w:p>
    <w:p>
      <w:pPr>
        <w:spacing w:after="0" w:line="179"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RIPK2 is a critical signaling protein of the innate immune system that responds to bacterial byproducts from the GI tract and has been implicated both as an initiator of IBD and a mechanism of resistance to standard of care therapies, including tumor necrosis factor, or TNF, and integrin blocking therapies. Based on the observations of increased activation of RIPK2 in IBD patients, the linkage of RIPK2-associated gene expression with disease severity and the reduction of disease following RIPK2 knockout or inhibition in preclinical models, we believe that blocking RIPK2 has the potential to address the core pathology of IBD. RIPK2 inhibition blocks the production of multiple cytokines in response to bacterial byproducts, many of which are validated therapeutic targets for IBD treatment, including TNF, TNF-like cytokine 1A, or TL1A, and interleukin 23, or IL-23. By blocking these cytokines, the adaptive immune response is reduced. In addition, by blocking RIPK2, we believe we can also prevent direct</w:t>
      </w:r>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41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39" w:lineRule="auto"/>
        <w:rPr>
          <w:sz w:val="20"/>
          <w:szCs w:val="20"/>
          <w:color w:val="auto"/>
        </w:rPr>
      </w:pPr>
      <w:r>
        <w:rPr>
          <w:rFonts w:ascii="Arial" w:cs="Arial" w:eastAsia="Arial" w:hAnsi="Arial"/>
          <w:sz w:val="18"/>
          <w:szCs w:val="18"/>
          <w:color w:val="auto"/>
        </w:rPr>
        <w:t>damage to the gut epithelial lining by the activation of innate immune cells. We believe that OD -07656, as either monotherapy or in combination with existing therapies, has the potential to break the therapeutic ceiling in IBD. In our Phase 1 healthy volunteer trial conducted in Australia, OD-07656 was well tolerated and provided continuous target coverage. We currently expect to commence a Phase 2a trial assessing OD-07656 as monotherapy in UC patients in the first quarter of 2025 and to release topline induction results in the first half of 2026. We also expect to commence a second Phase 2a trial assessing OD-07656 in combination with the standard of care, integrin blocking therapy, vedolizumab in the first half of 2026 with topline combination induction results expected to be released in mid-2027. We anticipate conducting our RIPK2 Phase 2a trials pursuant to CTAs at approximately 60 sites globally in the Asia-Pacific region, Europe, the Middle East and Canada and pursuant to an IND in the United States, pending submission of such applications and approval and clearance to proceed under them by the applicable regulatory authority.</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IRAK4</w:t>
      </w:r>
    </w:p>
    <w:p>
      <w:pPr>
        <w:spacing w:after="0" w:line="10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Our oral small molecule scaffolding inhibitor of IRAK4 is designed to block inflammatory signaling by the myddosome, a protein complex found in multiple cell types across tissues. The myddosome serves as a key junction of inflammatory signaling where innate immune signals converge to initiate a broad downstream cytokine response. We believe IRAK4 scaffolding inhibition has the potential to be developed for multiple inflammatory diseases, including AD, hidradenitis suppurativa, or HS, and osteoarthritis, or OA. Our program is designed to address the shortcomings of other programs targeting IRAK4, including small molecule kinase inhibitors and degraders, by achieving the desired pharmacology to block cytokine production across disease-relevant cell types, both inside and outside of the immune system (i.e., myeloid and non-myeloid cells). We expect to nominate a development candidate for our IRAK4 program in the fourth quarter of 2024 and, pending an acceptable profile in IND-enabling toxicology studies, to file a CTA in Australia by the end of 2025. The Phase 1 trial in healthy volunteers is expected to consist of a single ascending dose, or SAD, component and a multiple ascending dose, or MAD, component to assess safety, pharmacokinetics and pharmacodynamics. We currently expect to commence this trial in the first half of 2026, pending approval to proceed from the TGA and announce results from this trial in the second half of 2026.</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TNFR2</w:t>
      </w:r>
    </w:p>
    <w:p>
      <w:pPr>
        <w:spacing w:after="0" w:line="102"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OD-00910 is a monospecific, tetravalent V-body that is designed to agonize TNFR2 selectively on regulatory T cells, or Treg. TNFR2 is a receptor that is highly expressed on Treg, with relatively limited expression on other cells. Treg are a subset of T cells that suppress the activation and function of inflammatory immune cells, including T effector cells, or Teff, and both cytotoxic CD8+ and CD4+ T-helper (Th) cells to maintain self-tolerance and prevent the development of autoimmune disease. We believe effective modulation of Treg is a compelling approach to treat autoimmune and inflammatory diseases because of the link between these diseases and Treg dysregulation. OD-00910 has the potential to harness the full capacity of a Treg-targeted therapy, because TNFR2 agonism (unlike historical approaches to induce Treg with IL-2) exerts several favorable effects on Treg. These effects include selective Treg expansion, increase in immunosuppressive function, increase in resistance to a shift to a pathogenic ex-Treg state in an inflammatory environment and induction of a tissue repair phenotype. We believe an effective modulator of Treg has broad applicability across inflammatory diseases, including AD, SLE, vitiligo and type 1 diabetes, or T1D. IND-enabling activities for OD-00910 are ongoing and, pending an acceptable profile in IND-enabling toxicology studies, we currently expect to file a CTA in Australia by the end of 2025. The Phase 1a trial is expected to consist of a SAD portion in healthy volunteers. This will be followed by a MAD portion in patients with an inflammatory disease. The purpose of each study will be to assess safety, pharmacokinetics and pharmacodynamics. We currently expect to commence the SAD portion of the trial in</w:t>
      </w:r>
    </w:p>
    <w:p>
      <w:pPr>
        <w:spacing w:after="0" w:line="3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71" w:lineRule="auto"/>
        <w:rPr>
          <w:sz w:val="20"/>
          <w:szCs w:val="20"/>
          <w:color w:val="auto"/>
        </w:rPr>
      </w:pPr>
      <w:r>
        <w:rPr>
          <w:rFonts w:ascii="Arial" w:cs="Arial" w:eastAsia="Arial" w:hAnsi="Arial"/>
          <w:sz w:val="18"/>
          <w:szCs w:val="18"/>
          <w:color w:val="auto"/>
        </w:rPr>
        <w:t>the first half of 2026, pending approval to proceed from the TGA, and announce results from this portion of the Phase 1a trial in the second half of 2026.</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Additional Programs and Collaborations</w:t>
      </w:r>
    </w:p>
    <w:p>
      <w:pPr>
        <w:spacing w:after="0" w:line="102"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color w:val="auto"/>
        </w:rPr>
        <w:t>We have a portfolio of internally discovered, wholly owned early-stage programs targeting other key signaling nodes that drive disease, including a bispecific protein targeting thymic stromal lymphopoietin, or TSLP, and interleukin-33, or IL-33, a small molecule inhibitor of NLR family pyrin domain containing 1, or NLRP1, and a small molecule inhibitor of melanoma differentiation-associated protein 5, or MDA5.</w:t>
      </w:r>
    </w:p>
    <w:p>
      <w:pPr>
        <w:spacing w:after="0" w:line="174"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color w:val="auto"/>
        </w:rPr>
        <w:t>We also have three ongoing collaborations with pharmaceutical and biopharmaceutical companies. Our collaboration with Janssen Pharmaceutica NV, a Johnson &amp; Johnson company, or J&amp;J, utilizes our artificial intelligence and machine learning capability to develop molecules against multiple therapeutic targets. In our collaboration with Pfizer Inc., or Pfizer, we are identifying product candidates, that target a transcription factor, using our natural product capability. In addition, we are collaborating with Terray Therapeutics, Inc., or Terray, to discover and develop an inhibitor of an immunology transcription factor of mutual interest, interferon regulatory factor 5, or IRF5, for SLE.</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04" w:lineRule="exact"/>
        <w:rPr>
          <w:sz w:val="20"/>
          <w:szCs w:val="20"/>
          <w:color w:val="auto"/>
        </w:rPr>
      </w:pPr>
    </w:p>
    <w:p>
      <w:pPr>
        <w:ind w:left="300" w:right="160" w:firstLine="532"/>
        <w:spacing w:after="0" w:line="275" w:lineRule="auto"/>
        <w:rPr>
          <w:sz w:val="20"/>
          <w:szCs w:val="20"/>
          <w:color w:val="auto"/>
        </w:rPr>
      </w:pPr>
      <w:r>
        <w:rPr>
          <w:rFonts w:ascii="Arial" w:cs="Arial" w:eastAsia="Arial" w:hAnsi="Arial"/>
          <w:sz w:val="17"/>
          <w:szCs w:val="17"/>
          <w:color w:val="auto"/>
        </w:rPr>
        <w:t>Our goal is to continue building a differentiated, global biopharmaceutical company by discovering, developing and commercializing transformative medicines for underserved patient populations. We aim to be an industry leader in immunology and are advancing a diversified portfolio of programs with the intention of efficiently delivering safe and effective medicines to patients.</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key elements of our strategy include:</w:t>
      </w:r>
    </w:p>
    <w:p>
      <w:pPr>
        <w:spacing w:after="0" w:line="117" w:lineRule="exact"/>
        <w:rPr>
          <w:sz w:val="20"/>
          <w:szCs w:val="20"/>
          <w:color w:val="auto"/>
        </w:rPr>
      </w:pPr>
    </w:p>
    <w:p>
      <w:pPr>
        <w:ind w:left="1020" w:hanging="19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our RIPK2 scaffolding inhibitor, OD-07656, to deliver a potentially transformative therapy for patients suffering from IBD.</w:t>
      </w:r>
    </w:p>
    <w:p>
      <w:pPr>
        <w:spacing w:after="0" w:line="59" w:lineRule="exact"/>
        <w:rPr>
          <w:rFonts w:ascii="Arial" w:cs="Arial" w:eastAsia="Arial" w:hAnsi="Arial"/>
          <w:sz w:val="18"/>
          <w:szCs w:val="18"/>
          <w:color w:val="auto"/>
        </w:rPr>
      </w:pPr>
    </w:p>
    <w:p>
      <w:pPr>
        <w:ind w:left="1020" w:right="80" w:hanging="19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our IRAK4 scaffolding inhibitor and our TNFR2 agonist, OD-00910, into clinical development and assess potential benefit across a range of autoimmune and inflammatory indications.</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our early-stage pipeline and enabling capabilities.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on our existing, and pursue additional, collaborations.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our development capabilities to support advancement of candidates into late-stage development.</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 and Company History</w:t>
      </w:r>
    </w:p>
    <w:p>
      <w:pPr>
        <w:spacing w:after="0" w:line="104"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color w:val="auto"/>
        </w:rPr>
        <w:t>We are led by Gary D. Glick, Ph.D., our founder and Chief Executive Officer, and Jeffrey M. Leiden, M.D., Ph.D., the Chair of our board of directors and the former President, Chief Executive Officer and Chairman of the board and current Executive Chairman of Vertex Pharmaceuticals Incorporated, or Vertex. Prior to founding our company, Dr. Glick was the founder and Chief Executive Officer of Scorpion Therapeutics, Inc., or Scorpion, where he led the initiation and early discovery of several programs, including STX-478, a mutant selective PI3K inhibitor. Before Scorpion, Dr. Glick was the founder and Chief Executive Officer of IFM Therapeutics, Inc., or IFM, a company that was the first to target the NLRP3 inflammasome and stimulator of interferon genes, or STING. At IFM, Dr. Glick completed three sales of drug development programs generating proceeds to date of $750 million.</w:t>
      </w: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320" w:top="455"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rPr>
          <w:sz w:val="20"/>
          <w:szCs w:val="20"/>
          <w:color w:val="auto"/>
        </w:rPr>
      </w:pPr>
      <w:r>
        <w:rPr>
          <w:rFonts w:ascii="Arial" w:cs="Arial" w:eastAsia="Arial" w:hAnsi="Arial"/>
          <w:sz w:val="18"/>
          <w:szCs w:val="18"/>
          <w:color w:val="auto"/>
        </w:rPr>
        <w:t>Subject to the achievement of various milestones, proceeds from such sales could reach more than $4.7 billion. Earlier in his career, as Chief Scientific Officer of Lycera Corporation, Dr. Glick successfully completed more than $600 million of program partnering transactions. Drs. Glick and Leiden lead our team of experienced drug hunters and developers with deep experience in identifying, developing and commercializing medicines across indications and drug types.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Mirati Therapeutics, Inc. and Vertex. Since our inception in 2021, we have raised an aggregate of approximately $501.0 million from over 25 investors.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300" w:right="160" w:firstLine="532"/>
        <w:spacing w:after="0" w:line="244" w:lineRule="auto"/>
        <w:rPr>
          <w:sz w:val="20"/>
          <w:szCs w:val="20"/>
          <w:color w:val="auto"/>
        </w:rPr>
      </w:pPr>
      <w:r>
        <w:rPr>
          <w:rFonts w:ascii="Arial" w:cs="Arial" w:eastAsia="Arial" w:hAnsi="Arial"/>
          <w:sz w:val="18"/>
          <w:szCs w:val="18"/>
          <w:color w:val="auto"/>
        </w:rPr>
        <w:t>We were incorporated in Delaware in April 2021. Our principal executive offices are located at 51 Sleeper Street, Boston, Massachusetts 02210, and our telephone number is (617) 865-9628. Our website address is https://odysseytx.com/.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 Summary</w:t>
      </w:r>
    </w:p>
    <w:p>
      <w:pPr>
        <w:spacing w:after="0" w:line="104" w:lineRule="exact"/>
        <w:rPr>
          <w:sz w:val="20"/>
          <w:szCs w:val="20"/>
          <w:color w:val="auto"/>
        </w:rPr>
      </w:pPr>
    </w:p>
    <w:p>
      <w:pPr>
        <w:ind w:left="300" w:firstLine="532"/>
        <w:spacing w:after="0" w:line="244" w:lineRule="auto"/>
        <w:rPr>
          <w:sz w:val="20"/>
          <w:szCs w:val="20"/>
          <w:color w:val="auto"/>
        </w:rPr>
      </w:pPr>
      <w:r>
        <w:rPr>
          <w:rFonts w:ascii="Arial" w:cs="Arial" w:eastAsia="Arial" w:hAnsi="Arial"/>
          <w:sz w:val="18"/>
          <w:szCs w:val="18"/>
          <w:color w:val="auto"/>
        </w:rPr>
        <w:t>Investing in our common stock involves significant risks, including risks that may prevent us from achieving our business objectives or may adversely affect our business, financial condition, results of operations and prospects that you should consider before making a decision to invest in our common stock. These risks are discussed more fully under the section of this prospectus titled “</w:t>
      </w:r>
      <w:r>
        <w:rPr>
          <w:rFonts w:ascii="Arial" w:cs="Arial" w:eastAsia="Arial" w:hAnsi="Arial"/>
          <w:sz w:val="18"/>
          <w:szCs w:val="18"/>
          <w:i w:val="1"/>
          <w:iCs w:val="1"/>
          <w:color w:val="auto"/>
        </w:rPr>
        <w:t>Risk Factors</w:t>
      </w:r>
      <w:r>
        <w:rPr>
          <w:rFonts w:ascii="Arial" w:cs="Arial" w:eastAsia="Arial" w:hAnsi="Arial"/>
          <w:sz w:val="18"/>
          <w:szCs w:val="18"/>
          <w:color w:val="auto"/>
        </w:rPr>
        <w:t>.” You should carefully consider all the information in this prospectus, including under “</w:t>
      </w:r>
      <w:r>
        <w:rPr>
          <w:rFonts w:ascii="Arial" w:cs="Arial" w:eastAsia="Arial" w:hAnsi="Arial"/>
          <w:sz w:val="18"/>
          <w:szCs w:val="18"/>
          <w:i w:val="1"/>
          <w:iCs w:val="1"/>
          <w:color w:val="auto"/>
        </w:rPr>
        <w:t>Risk Factors</w:t>
      </w:r>
      <w:r>
        <w:rPr>
          <w:rFonts w:ascii="Arial" w:cs="Arial" w:eastAsia="Arial" w:hAnsi="Arial"/>
          <w:sz w:val="18"/>
          <w:szCs w:val="18"/>
          <w:color w:val="auto"/>
        </w:rPr>
        <w:t>,” before making an investment decision. These risks include, but are not limited to, the following:</w:t>
      </w:r>
    </w:p>
    <w:p>
      <w:pPr>
        <w:spacing w:after="0" w:line="82" w:lineRule="exact"/>
        <w:rPr>
          <w:sz w:val="20"/>
          <w:szCs w:val="20"/>
          <w:color w:val="auto"/>
        </w:rPr>
      </w:pPr>
    </w:p>
    <w:p>
      <w:pPr>
        <w:ind w:left="1020" w:right="20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an early-stage biotechnology company with a limited operating history and a history of incurring substantial net losses, have no products approved for commercial sale, have never generated revenue from product sales and may never be profitable.</w:t>
      </w:r>
    </w:p>
    <w:p>
      <w:pPr>
        <w:spacing w:after="0" w:line="74" w:lineRule="exact"/>
        <w:rPr>
          <w:rFonts w:ascii="Arial" w:cs="Arial" w:eastAsia="Arial" w:hAnsi="Arial"/>
          <w:sz w:val="18"/>
          <w:szCs w:val="18"/>
          <w:color w:val="auto"/>
        </w:rPr>
      </w:pPr>
    </w:p>
    <w:p>
      <w:pPr>
        <w:jc w:val="both"/>
        <w:ind w:left="1020" w:right="12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74" w:lineRule="exact"/>
        <w:rPr>
          <w:rFonts w:ascii="Arial" w:cs="Arial" w:eastAsia="Arial" w:hAnsi="Arial"/>
          <w:sz w:val="18"/>
          <w:szCs w:val="18"/>
          <w:color w:val="auto"/>
        </w:rPr>
      </w:pPr>
    </w:p>
    <w:p>
      <w:pPr>
        <w:ind w:left="1020" w:right="80" w:hanging="195"/>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fail to remediate this material weakness, or if we experience additional material weaknesses in the future or otherwise fail to maintain effective internal control over financial reporting or disclosure control in the future, we may be unable to produce accurate and timely financial statements or detect acts of fraud, which may adversely affect investor confidence in us, and, as a result, the value of our common stock, or result in delisting, sanctions or other penalties that could harm our business.</w:t>
      </w:r>
    </w:p>
    <w:p>
      <w:pPr>
        <w:spacing w:after="0" w:line="81" w:lineRule="exact"/>
        <w:rPr>
          <w:rFonts w:ascii="Arial" w:cs="Arial" w:eastAsia="Arial" w:hAnsi="Arial"/>
          <w:sz w:val="18"/>
          <w:szCs w:val="18"/>
          <w:color w:val="auto"/>
        </w:rPr>
      </w:pPr>
    </w:p>
    <w:p>
      <w:pPr>
        <w:ind w:left="1020" w:right="140" w:hanging="195"/>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entirely on the success of our product candidates and development programs, including OD-07656, our IRAK4 program candidate and OD-00910,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0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key leaders and to attract, retain and motivate qualified personnel.</w:t>
      </w:r>
    </w:p>
    <w:p>
      <w:pPr>
        <w:spacing w:after="0" w:line="117" w:lineRule="exact"/>
        <w:rPr>
          <w:rFonts w:ascii="Arial" w:cs="Arial" w:eastAsia="Arial" w:hAnsi="Arial"/>
          <w:sz w:val="18"/>
          <w:szCs w:val="18"/>
          <w:color w:val="auto"/>
        </w:rPr>
      </w:pPr>
    </w:p>
    <w:p>
      <w:pPr>
        <w:ind w:left="1020" w:right="140" w:hanging="195"/>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one product candidate currently in clinical development. We have never successfully completed any large-scale or pivotal clinical trials with our product candidates, and we may be unable to do so for any product candidates we develop.</w:t>
      </w:r>
    </w:p>
    <w:p>
      <w:pPr>
        <w:spacing w:after="0" w:line="74" w:lineRule="exact"/>
        <w:rPr>
          <w:rFonts w:ascii="Arial" w:cs="Arial" w:eastAsia="Arial" w:hAnsi="Arial"/>
          <w:sz w:val="18"/>
          <w:szCs w:val="18"/>
          <w:color w:val="auto"/>
        </w:rPr>
      </w:pPr>
    </w:p>
    <w:p>
      <w:pPr>
        <w:ind w:left="1020" w:right="620" w:hanging="195"/>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p>
    <w:p>
      <w:pPr>
        <w:spacing w:after="0" w:line="74" w:lineRule="exact"/>
        <w:rPr>
          <w:rFonts w:ascii="Arial" w:cs="Arial" w:eastAsia="Arial" w:hAnsi="Arial"/>
          <w:sz w:val="18"/>
          <w:szCs w:val="18"/>
          <w:color w:val="auto"/>
        </w:rPr>
      </w:pPr>
    </w:p>
    <w:p>
      <w:pPr>
        <w:ind w:left="1020" w:right="460" w:hanging="195"/>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drugs before or more successfully than we do.</w:t>
      </w:r>
    </w:p>
    <w:p>
      <w:pPr>
        <w:spacing w:after="0" w:line="59" w:lineRule="exact"/>
        <w:rPr>
          <w:rFonts w:ascii="Arial" w:cs="Arial" w:eastAsia="Arial" w:hAnsi="Arial"/>
          <w:sz w:val="18"/>
          <w:szCs w:val="18"/>
          <w:color w:val="auto"/>
        </w:rPr>
      </w:pPr>
    </w:p>
    <w:p>
      <w:pPr>
        <w:ind w:left="1020" w:right="6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9"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79" w:lineRule="exact"/>
        <w:rPr>
          <w:rFonts w:ascii="Arial" w:cs="Arial" w:eastAsia="Arial" w:hAnsi="Arial"/>
          <w:sz w:val="18"/>
          <w:szCs w:val="18"/>
          <w:color w:val="auto"/>
        </w:rPr>
      </w:pPr>
    </w:p>
    <w:p>
      <w:pPr>
        <w:ind w:left="1020" w:right="4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spacing w:after="0" w:line="79" w:lineRule="exact"/>
        <w:rPr>
          <w:rFonts w:ascii="Arial" w:cs="Arial" w:eastAsia="Arial" w:hAnsi="Arial"/>
          <w:sz w:val="18"/>
          <w:szCs w:val="18"/>
          <w:color w:val="auto"/>
        </w:rPr>
      </w:pPr>
    </w:p>
    <w:p>
      <w:pPr>
        <w:ind w:left="1020" w:right="120" w:hanging="195"/>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active and liquid trading market for our common stock may not develop and you may not be able to resell your shares of common stock at or above the initial public offering price, if at all.</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04" w:lineRule="exact"/>
        <w:rPr>
          <w:sz w:val="20"/>
          <w:szCs w:val="20"/>
          <w:color w:val="auto"/>
        </w:rPr>
      </w:pPr>
    </w:p>
    <w:p>
      <w:pPr>
        <w:ind w:left="300" w:right="60" w:firstLine="532"/>
        <w:spacing w:after="0" w:line="238"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relief from the auditor attestation requirements of Section 404 of the Sarbanes-Oxley Act of 2002, as amended, or the Sarbanes-Oxley Act,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are also permitted to present only two years of audited financial statements, in addition to any required unaudited interim financial statements, with correspondingly reduced “Management’s Discussion and Analysis of Financial Condition and Results of Operations” disclosure. We may also elect to take advantage of other reduced reporting requirements in future filings. As a result, our stockholders may not have access to certain information that they may deem important and the information that we</w:t>
      </w:r>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512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5129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7" w:lineRule="auto"/>
        <w:rPr>
          <w:sz w:val="20"/>
          <w:szCs w:val="20"/>
          <w:color w:val="auto"/>
        </w:rPr>
      </w:pPr>
      <w:r>
        <w:rPr>
          <w:rFonts w:ascii="Arial" w:cs="Arial" w:eastAsia="Arial" w:hAnsi="Arial"/>
          <w:sz w:val="17"/>
          <w:szCs w:val="17"/>
          <w:color w:val="auto"/>
        </w:rPr>
        <w:t>provide to our stockholders may be different than, and not comparable to, information presented by other public reporting companies. We could remain an emerging growth company until the earlier of (i) the last day of the year following the fifth anniversary of the completion of this offering, (ii) the last day of the year in which we have total annual gross revenue of at least $1.235 billion, (iii) the last day of the year in which we are deemed to be a “large accelerated filer” as defined in Rule 12b-2 under the Securities Exchange Act of 1934, as amended, or the Exchange Act, which would occur if the market value of our common stock and non-voting common stock held by non -affiliates exceeded $700.0 million as of the last business day of the second fiscal quarter of such year or (iv) the date on which we have issued more than $1.0 billion in non-convertible debt securities during the prior three-year period.</w:t>
      </w:r>
    </w:p>
    <w:p>
      <w:pPr>
        <w:spacing w:after="0" w:line="168" w:lineRule="exact"/>
        <w:rPr>
          <w:sz w:val="20"/>
          <w:szCs w:val="20"/>
          <w:color w:val="auto"/>
        </w:rPr>
      </w:pPr>
    </w:p>
    <w:p>
      <w:pPr>
        <w:ind w:left="300" w:right="220" w:firstLine="532"/>
        <w:spacing w:after="0"/>
        <w:rPr>
          <w:sz w:val="20"/>
          <w:szCs w:val="20"/>
          <w:color w:val="auto"/>
        </w:rPr>
      </w:pPr>
      <w:r>
        <w:rPr>
          <w:rFonts w:ascii="Arial" w:cs="Arial" w:eastAsia="Arial" w:hAnsi="Arial"/>
          <w:sz w:val="18"/>
          <w:szCs w:val="18"/>
          <w:color w:val="auto"/>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 We may choose to early adopt any new or revised accounting standards whenever such early adoption is permitted for private companies.</w:t>
      </w:r>
    </w:p>
    <w:p>
      <w:pPr>
        <w:spacing w:after="0" w:line="185"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 and Service Marks</w:t>
      </w:r>
    </w:p>
    <w:p>
      <w:pPr>
        <w:spacing w:after="0" w:line="104" w:lineRule="exact"/>
        <w:rPr>
          <w:sz w:val="20"/>
          <w:szCs w:val="20"/>
          <w:color w:val="auto"/>
        </w:rPr>
      </w:pPr>
    </w:p>
    <w:p>
      <w:pPr>
        <w:ind w:left="300" w:right="100" w:firstLine="532"/>
        <w:spacing w:after="0" w:line="225" w:lineRule="auto"/>
        <w:rPr>
          <w:sz w:val="20"/>
          <w:szCs w:val="20"/>
          <w:color w:val="auto"/>
        </w:rPr>
      </w:pPr>
      <w:r>
        <w:rPr>
          <w:rFonts w:ascii="Arial" w:cs="Arial" w:eastAsia="Arial" w:hAnsi="Arial"/>
          <w:sz w:val="18"/>
          <w:szCs w:val="18"/>
          <w:color w:val="auto"/>
        </w:rPr>
        <w:t xml:space="preserve">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3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38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8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shares.</w:t>
      </w:r>
    </w:p>
    <w:p>
      <w:pPr>
        <w:spacing w:after="0" w:line="124" w:lineRule="exact"/>
        <w:rPr>
          <w:sz w:val="20"/>
          <w:szCs w:val="20"/>
          <w:color w:val="auto"/>
        </w:rPr>
      </w:pPr>
    </w:p>
    <w:p>
      <w:pPr>
        <w:sectPr>
          <w:pgSz w:w="11900" w:h="16838" w:orient="portrait"/>
          <w:cols w:equalWidth="0" w:num="4">
            <w:col w:w="5100" w:space="720"/>
            <w:col w:w="240" w:space="120"/>
            <w:col w:w="40" w:space="140"/>
            <w:col w:w="456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120"/>
        <w:spacing w:after="0" w:line="271" w:lineRule="auto"/>
        <w:rPr>
          <w:sz w:val="20"/>
          <w:szCs w:val="20"/>
          <w:color w:val="auto"/>
        </w:rPr>
      </w:pPr>
      <w:r>
        <w:rPr>
          <w:rFonts w:ascii="Arial" w:cs="Arial" w:eastAsia="Arial" w:hAnsi="Arial"/>
          <w:sz w:val="18"/>
          <w:szCs w:val="18"/>
          <w:color w:val="auto"/>
        </w:rPr>
        <w:t>        shares (or        shares if the underwriters exercise their option to purchase additional shares in full).</w:t>
      </w:r>
    </w:p>
    <w:p>
      <w:pPr>
        <w:spacing w:after="0" w:line="19" w:lineRule="exact"/>
        <w:rPr>
          <w:sz w:val="20"/>
          <w:szCs w:val="20"/>
          <w:color w:val="auto"/>
        </w:rPr>
      </w:pPr>
    </w:p>
    <w:p>
      <w:pPr>
        <w:sectPr>
          <w:pgSz w:w="11900" w:h="16838" w:orient="portrait"/>
          <w:cols w:equalWidth="0" w:num="2">
            <w:col w:w="5320" w:space="500"/>
            <w:col w:w="510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Option to purchase additional shares of common stock offered in this We have granted the underwriters an option, exercisable for 30</w:t>
      </w:r>
    </w:p>
    <w:p>
      <w:pPr>
        <w:spacing w:after="0" w:line="25" w:lineRule="exact"/>
        <w:rPr>
          <w:sz w:val="20"/>
          <w:szCs w:val="20"/>
          <w:color w:val="auto"/>
        </w:rPr>
      </w:pPr>
    </w:p>
    <w:p>
      <w:pPr>
        <w:ind w:left="5820" w:right="860" w:hanging="5419"/>
        <w:spacing w:after="0" w:line="250" w:lineRule="auto"/>
        <w:tabs>
          <w:tab w:leader="none" w:pos="580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days from the date of this prospectus, to purchase up to        additional shares from us.</w:t>
      </w:r>
    </w:p>
    <w:p>
      <w:pPr>
        <w:sectPr>
          <w:pgSz w:w="11900" w:h="16838" w:orient="portrait"/>
          <w:cols w:equalWidth="0" w:num="1">
            <w:col w:w="10920"/>
          </w:cols>
          <w:pgMar w:left="320" w:top="455" w:right="659"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estimate that the net proceeds to us from the sale of shares of our common stock in this offering will be approximately $    million (or approximately $    million if the underwriters’ option to purchase additional shares is exercised in full) based upon the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48" w:lineRule="exact"/>
        <w:rPr>
          <w:sz w:val="20"/>
          <w:szCs w:val="20"/>
          <w:color w:val="auto"/>
        </w:rPr>
      </w:pPr>
    </w:p>
    <w:p>
      <w:pPr>
        <w:sectPr>
          <w:pgSz w:w="11900" w:h="16838" w:orient="portrait"/>
          <w:cols w:equalWidth="0" w:num="2">
            <w:col w:w="5100" w:space="720"/>
            <w:col w:w="5100"/>
          </w:cols>
          <w:pgMar w:left="320" w:top="455" w:right="659" w:bottom="1440" w:gutter="0" w:footer="0" w:header="0"/>
          <w:type w:val="continuous"/>
        </w:sectPr>
      </w:pPr>
    </w:p>
    <w:p>
      <w:pPr>
        <w:ind w:left="5820"/>
        <w:spacing w:after="0"/>
        <w:rPr>
          <w:sz w:val="20"/>
          <w:szCs w:val="20"/>
          <w:color w:val="auto"/>
        </w:rPr>
      </w:pPr>
      <w:r>
        <w:rPr>
          <w:rFonts w:ascii="Arial" w:cs="Arial" w:eastAsia="Arial" w:hAnsi="Arial"/>
          <w:sz w:val="18"/>
          <w:szCs w:val="18"/>
          <w:color w:val="auto"/>
        </w:rPr>
        <w:t>We intend to use the net proceeds to us from this offering to</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advance clinical development of OD-07656, to advance our</w:t>
      </w:r>
    </w:p>
    <w:p>
      <w:pPr>
        <w:ind w:left="5820"/>
        <w:spacing w:after="0" w:line="234" w:lineRule="auto"/>
        <w:rPr>
          <w:sz w:val="20"/>
          <w:szCs w:val="20"/>
          <w:color w:val="auto"/>
        </w:rPr>
      </w:pPr>
      <w:r>
        <w:rPr>
          <w:rFonts w:ascii="Arial" w:cs="Arial" w:eastAsia="Arial" w:hAnsi="Arial"/>
          <w:sz w:val="18"/>
          <w:szCs w:val="18"/>
          <w:color w:val="auto"/>
        </w:rPr>
        <w:t>IRAK4 and TNFR2 programs through preclinical development</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and IND-enabling activities and into clinical development, and to</w:t>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fund additional discovery, preclinical and clinical activities for</w:t>
      </w:r>
    </w:p>
    <w:p>
      <w:pPr>
        <w:ind w:left="5820"/>
        <w:spacing w:after="0" w:line="234" w:lineRule="auto"/>
        <w:rPr>
          <w:sz w:val="20"/>
          <w:szCs w:val="20"/>
          <w:color w:val="auto"/>
        </w:rPr>
      </w:pPr>
      <w:r>
        <w:rPr>
          <w:rFonts w:ascii="Arial" w:cs="Arial" w:eastAsia="Arial" w:hAnsi="Arial"/>
          <w:sz w:val="18"/>
          <w:szCs w:val="18"/>
          <w:color w:val="auto"/>
        </w:rPr>
        <w:t>our programs, enabling capabilities, and for general corporate</w:t>
      </w:r>
    </w:p>
    <w:p>
      <w:pPr>
        <w:ind w:left="5820"/>
        <w:spacing w:after="0" w:line="235" w:lineRule="auto"/>
        <w:rPr>
          <w:sz w:val="20"/>
          <w:szCs w:val="20"/>
          <w:color w:val="auto"/>
        </w:rPr>
      </w:pPr>
      <w:r>
        <w:rPr>
          <w:rFonts w:ascii="Arial" w:cs="Arial" w:eastAsia="Arial" w:hAnsi="Arial"/>
          <w:sz w:val="18"/>
          <w:szCs w:val="18"/>
          <w:color w:val="auto"/>
        </w:rPr>
        <w:t>purposes, working capital and other capital expenditures. See</w:t>
      </w:r>
    </w:p>
    <w:p>
      <w:pPr>
        <w:ind w:left="5820"/>
        <w:spacing w:after="0" w:line="235" w:lineRule="auto"/>
        <w:rPr>
          <w:sz w:val="20"/>
          <w:szCs w:val="20"/>
          <w:color w:val="auto"/>
        </w:rPr>
      </w:pPr>
      <w:r>
        <w:rPr>
          <w:rFonts w:ascii="Arial" w:cs="Arial" w:eastAsia="Arial" w:hAnsi="Arial"/>
          <w:sz w:val="18"/>
          <w:szCs w:val="18"/>
          <w:color w:val="auto"/>
        </w:rPr>
        <w:t>the section of this prospectus titled “</w:t>
      </w:r>
      <w:r>
        <w:rPr>
          <w:rFonts w:ascii="Arial" w:cs="Arial" w:eastAsia="Arial" w:hAnsi="Arial"/>
          <w:sz w:val="18"/>
          <w:szCs w:val="18"/>
          <w:i w:val="1"/>
          <w:iCs w:val="1"/>
          <w:color w:val="auto"/>
        </w:rPr>
        <w:t>Use of Proceeds</w:t>
      </w:r>
      <w:r>
        <w:rPr>
          <w:rFonts w:ascii="Arial" w:cs="Arial" w:eastAsia="Arial" w:hAnsi="Arial"/>
          <w:sz w:val="18"/>
          <w:szCs w:val="18"/>
          <w:color w:val="auto"/>
        </w:rPr>
        <w:t>” for a</w:t>
      </w:r>
    </w:p>
    <w:p>
      <w:pPr>
        <w:ind w:left="5820"/>
        <w:spacing w:after="0" w:line="235" w:lineRule="auto"/>
        <w:rPr>
          <w:sz w:val="20"/>
          <w:szCs w:val="20"/>
          <w:color w:val="auto"/>
        </w:rPr>
      </w:pPr>
      <w:r>
        <w:rPr>
          <w:rFonts w:ascii="Arial" w:cs="Arial" w:eastAsia="Arial" w:hAnsi="Arial"/>
          <w:sz w:val="18"/>
          <w:szCs w:val="18"/>
          <w:color w:val="auto"/>
        </w:rPr>
        <w:t>more complete description of the intended use of proceeds from</w:t>
      </w:r>
    </w:p>
    <w:p>
      <w:pPr>
        <w:ind w:left="5820"/>
        <w:spacing w:after="0"/>
        <w:rPr>
          <w:sz w:val="20"/>
          <w:szCs w:val="20"/>
          <w:color w:val="auto"/>
        </w:rPr>
      </w:pPr>
      <w:r>
        <w:rPr>
          <w:rFonts w:ascii="Arial" w:cs="Arial" w:eastAsia="Arial" w:hAnsi="Arial"/>
          <w:sz w:val="18"/>
          <w:szCs w:val="18"/>
          <w:color w:val="auto"/>
        </w:rPr>
        <w:t>this offering.</w:t>
      </w:r>
    </w:p>
    <w:p>
      <w:pPr>
        <w:sectPr>
          <w:pgSz w:w="11900" w:h="16838" w:orient="portrait"/>
          <w:cols w:equalWidth="0" w:num="1">
            <w:col w:w="10920"/>
          </w:cols>
          <w:pgMar w:left="320" w:top="455" w:right="659" w:bottom="1440" w:gutter="0" w:footer="0" w:header="0"/>
          <w:type w:val="continuous"/>
        </w:sectPr>
      </w:pPr>
    </w:p>
    <w:p>
      <w:pPr>
        <w:spacing w:after="0" w:line="5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You should read the section of this prospectus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and the other information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for a discussion of some of the risks and uncertainties you should carefully consider before deciding to invest in our common stock.</w:t>
      </w:r>
    </w:p>
    <w:p>
      <w:pPr>
        <w:spacing w:after="0" w:line="41" w:lineRule="exact"/>
        <w:rPr>
          <w:sz w:val="20"/>
          <w:szCs w:val="20"/>
          <w:color w:val="auto"/>
        </w:rPr>
      </w:pPr>
    </w:p>
    <w:p>
      <w:pPr>
        <w:sectPr>
          <w:pgSz w:w="11900" w:h="16838" w:orient="portrait"/>
          <w:cols w:equalWidth="0" w:num="2">
            <w:col w:w="5100" w:space="720"/>
            <w:col w:w="510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Dividend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do not anticipate paying cash dividends.</w:t>
      </w:r>
    </w:p>
    <w:p>
      <w:pPr>
        <w:spacing w:after="0" w:line="101" w:lineRule="exact"/>
        <w:rPr>
          <w:sz w:val="20"/>
          <w:szCs w:val="20"/>
          <w:color w:val="auto"/>
        </w:rPr>
      </w:pPr>
    </w:p>
    <w:p>
      <w:pPr>
        <w:sectPr>
          <w:pgSz w:w="11900" w:h="16838" w:orient="portrait"/>
          <w:cols w:equalWidth="0" w:num="2">
            <w:col w:w="5100" w:space="720"/>
            <w:col w:w="510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“ODTX”</w:t>
      </w:r>
    </w:p>
    <w:p>
      <w:pPr>
        <w:spacing w:after="0" w:line="200" w:lineRule="exact"/>
        <w:rPr>
          <w:sz w:val="20"/>
          <w:szCs w:val="20"/>
          <w:color w:val="auto"/>
        </w:rPr>
      </w:pPr>
    </w:p>
    <w:p>
      <w:pPr>
        <w:sectPr>
          <w:pgSz w:w="11900" w:h="16838" w:orient="portrait"/>
          <w:cols w:equalWidth="0" w:num="2">
            <w:col w:w="5100" w:space="720"/>
            <w:col w:w="5100"/>
          </w:cols>
          <w:pgMar w:left="320" w:top="455" w:right="659" w:bottom="1440" w:gutter="0" w:footer="0" w:header="0"/>
          <w:type w:val="continuous"/>
        </w:sectPr>
      </w:pPr>
    </w:p>
    <w:p>
      <w:pPr>
        <w:spacing w:after="0" w:line="25" w:lineRule="exact"/>
        <w:rPr>
          <w:sz w:val="20"/>
          <w:szCs w:val="20"/>
          <w:color w:val="auto"/>
        </w:rPr>
      </w:pPr>
    </w:p>
    <w:p>
      <w:pPr>
        <w:jc w:val="both"/>
        <w:ind w:left="300" w:right="320" w:firstLine="532"/>
        <w:spacing w:after="0" w:line="253" w:lineRule="auto"/>
        <w:rPr>
          <w:sz w:val="20"/>
          <w:szCs w:val="20"/>
          <w:color w:val="auto"/>
        </w:rPr>
      </w:pPr>
      <w:r>
        <w:rPr>
          <w:rFonts w:ascii="Arial" w:cs="Arial" w:eastAsia="Arial" w:hAnsi="Arial"/>
          <w:sz w:val="18"/>
          <w:szCs w:val="18"/>
          <w:color w:val="auto"/>
        </w:rPr>
        <w:t>The number of shares of our common stock to be outstanding after this offering is based on        shares of our common stock outstanding as of September 30, 2024, including         shares of our unvested restricted common stock, and after giving effect to the conversion of all outstanding shares of our convertible preferred stock into an aggregate of        shares</w:t>
      </w: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5" w:right="6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71" w:lineRule="auto"/>
        <w:rPr>
          <w:sz w:val="20"/>
          <w:szCs w:val="20"/>
          <w:color w:val="auto"/>
        </w:rPr>
      </w:pPr>
      <w:r>
        <w:rPr>
          <w:rFonts w:ascii="Arial" w:cs="Arial" w:eastAsia="Arial" w:hAnsi="Arial"/>
          <w:sz w:val="18"/>
          <w:szCs w:val="18"/>
          <w:color w:val="auto"/>
        </w:rPr>
        <w:t>of common stock immediately prior to the closing of this offering and the automatic conversion of all outstanding shares of our non-voting common stock into an aggregate of        shares of our common stock upon the closing of this offering, and excludes:</w:t>
      </w:r>
    </w:p>
    <w:p>
      <w:pPr>
        <w:spacing w:after="0" w:line="59" w:lineRule="exact"/>
        <w:rPr>
          <w:sz w:val="20"/>
          <w:szCs w:val="20"/>
          <w:color w:val="auto"/>
        </w:rPr>
      </w:pPr>
    </w:p>
    <w:p>
      <w:pPr>
        <w:jc w:val="both"/>
        <w:ind w:left="1020" w:right="120" w:hanging="195"/>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17,432,533 shares of our common stock issuable upon the exercise of stock options outstanding as of September 30, 2024 under our 2021 Equity Incentive Plan, as amended to date, or the 2021 Plan, at a weighted average exercise price of $2.53 per share;</w:t>
      </w:r>
    </w:p>
    <w:p>
      <w:pPr>
        <w:spacing w:after="0" w:line="74" w:lineRule="exact"/>
        <w:rPr>
          <w:rFonts w:ascii="Arial" w:cs="Arial" w:eastAsia="Arial" w:hAnsi="Arial"/>
          <w:sz w:val="18"/>
          <w:szCs w:val="18"/>
          <w:color w:val="auto"/>
        </w:rPr>
      </w:pPr>
    </w:p>
    <w:p>
      <w:pPr>
        <w:ind w:left="1020" w:right="160" w:hanging="195"/>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4,429,876 shares of our common stock reserved for future issuance under the 2021 Plan as of September 30, 2024, which shares will cease to be available for issuance at the time our 2024 Long-Term Incentive Plan, or the 2024 Plan, becomes effective;</w:t>
      </w:r>
    </w:p>
    <w:p>
      <w:pPr>
        <w:spacing w:after="0" w:line="74" w:lineRule="exact"/>
        <w:rPr>
          <w:rFonts w:ascii="Arial" w:cs="Arial" w:eastAsia="Arial" w:hAnsi="Arial"/>
          <w:sz w:val="18"/>
          <w:szCs w:val="18"/>
          <w:color w:val="auto"/>
        </w:rPr>
      </w:pPr>
    </w:p>
    <w:p>
      <w:pPr>
        <w:ind w:left="1020" w:hanging="195"/>
        <w:spacing w:after="0" w:line="261"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shares of our common stock reserved for future issuance under our 2024 Plan, which will become effective on the date immediately preceding the date on which our common stock is listed (or approved for listing) on Nasdaq, as well as any automatic increases in the number of shares of our common stock reserved for future issuance under the 2024 Plan and any shares underlying outstanding stock awards granted under the 2021 Plan that expire or are repurchased, forfeited, cancelled or withheld, as more fully described in the section of this prospectus titled “</w:t>
      </w:r>
      <w:r>
        <w:rPr>
          <w:rFonts w:ascii="Arial" w:cs="Arial" w:eastAsia="Arial" w:hAnsi="Arial"/>
          <w:sz w:val="17"/>
          <w:szCs w:val="17"/>
          <w:i w:val="1"/>
          <w:iCs w:val="1"/>
          <w:color w:val="auto"/>
        </w:rPr>
        <w:t>Executive Compensation—Equity Benefit Plans</w:t>
      </w:r>
      <w:r>
        <w:rPr>
          <w:rFonts w:ascii="Arial" w:cs="Arial" w:eastAsia="Arial" w:hAnsi="Arial"/>
          <w:sz w:val="17"/>
          <w:szCs w:val="17"/>
          <w:color w:val="auto"/>
        </w:rPr>
        <w:t>”;</w:t>
      </w:r>
    </w:p>
    <w:p>
      <w:pPr>
        <w:spacing w:after="0" w:line="71" w:lineRule="exact"/>
        <w:rPr>
          <w:sz w:val="20"/>
          <w:szCs w:val="20"/>
          <w:color w:val="auto"/>
        </w:rPr>
      </w:pPr>
    </w:p>
    <w:p>
      <w:pPr>
        <w:ind w:left="1020" w:right="140" w:hanging="199"/>
        <w:spacing w:after="0" w:line="244" w:lineRule="auto"/>
        <w:tabs>
          <w:tab w:leader="none" w:pos="1000" w:val="left"/>
        </w:tabs>
        <w:rPr>
          <w:sz w:val="20"/>
          <w:szCs w:val="20"/>
          <w:color w:val="auto"/>
        </w:rPr>
      </w:pPr>
      <w:r>
        <w:rPr>
          <w:rFonts w:ascii="Arial" w:cs="Arial" w:eastAsia="Arial" w:hAnsi="Arial"/>
          <w:sz w:val="18"/>
          <w:szCs w:val="18"/>
          <w:color w:val="auto"/>
        </w:rPr>
        <w:t>•</w:t>
        <w:tab/>
        <w:t>        shares of common stock reserved for future issuance under our 2024 Employee Stock Purchase Plan, or the ESPP, which will become effective on the date immediately preceding the date on which our common stock is listed (or approved for listing) on Nasdaq, as well as any automatic increases in the number of shares of common stock reserved for future issuance under the ESPP, as more fully described in the section of this prospectus 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Equity Benefit Plans</w:t>
      </w:r>
      <w:r>
        <w:rPr>
          <w:rFonts w:ascii="Arial" w:cs="Arial" w:eastAsia="Arial" w:hAnsi="Arial"/>
          <w:sz w:val="18"/>
          <w:szCs w:val="18"/>
          <w:color w:val="auto"/>
        </w:rPr>
        <w:t>”; and</w:t>
      </w:r>
    </w:p>
    <w:p>
      <w:pPr>
        <w:spacing w:after="0" w:line="82" w:lineRule="exact"/>
        <w:rPr>
          <w:sz w:val="20"/>
          <w:szCs w:val="20"/>
          <w:color w:val="auto"/>
        </w:rPr>
      </w:pPr>
    </w:p>
    <w:p>
      <w:pPr>
        <w:ind w:left="1020" w:right="100" w:hanging="195"/>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shares of our common stock issuable upon the exercise of an outstanding warrant to purchase Series A-2 convertible preferred stock held by Pacific Western Bank, or the PWB Warrant, at an exercise price of $    per share (after giving effect to the conversion of our convertible preferred stock into common stock).</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this prospectus assumes or gives effect to the following:</w:t>
      </w:r>
    </w:p>
    <w:p>
      <w:pPr>
        <w:spacing w:after="0" w:line="117" w:lineRule="exact"/>
        <w:rPr>
          <w:sz w:val="20"/>
          <w:szCs w:val="20"/>
          <w:color w:val="auto"/>
        </w:rPr>
      </w:pPr>
    </w:p>
    <w:p>
      <w:pPr>
        <w:ind w:left="1020" w:right="140" w:hanging="195"/>
        <w:spacing w:after="0" w:line="25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seventh amended and restated certificate of incorporation, or our Certificate of Incorporation, to be effective immediately prior to the closing of this offering, and the adoption of our amended and restated bylaws, or our Bylaws, to be effective immediately prior to the closing of this offering;</w:t>
      </w:r>
    </w:p>
    <w:p>
      <w:pPr>
        <w:spacing w:after="0" w:line="74" w:lineRule="exact"/>
        <w:rPr>
          <w:rFonts w:ascii="Arial" w:cs="Arial" w:eastAsia="Arial" w:hAnsi="Arial"/>
          <w:sz w:val="18"/>
          <w:szCs w:val="18"/>
          <w:color w:val="auto"/>
        </w:rPr>
      </w:pPr>
    </w:p>
    <w:p>
      <w:pPr>
        <w:ind w:left="1020" w:right="64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shares of our common stock immediately prior to the closing of this offering;</w:t>
      </w:r>
    </w:p>
    <w:p>
      <w:pPr>
        <w:spacing w:after="0" w:line="59" w:lineRule="exact"/>
        <w:rPr>
          <w:rFonts w:ascii="Arial" w:cs="Arial" w:eastAsia="Arial" w:hAnsi="Arial"/>
          <w:sz w:val="18"/>
          <w:szCs w:val="18"/>
          <w:color w:val="auto"/>
        </w:rPr>
      </w:pPr>
    </w:p>
    <w:p>
      <w:pPr>
        <w:ind w:left="1020" w:right="18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non-voting common stock into an aggregate of        shares of our common stock upon the closing of this offering;</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or other securities described above after September 30, 2024;</w:t>
      </w:r>
    </w:p>
    <w:p>
      <w:pPr>
        <w:spacing w:after="0" w:line="117" w:lineRule="exact"/>
        <w:rPr>
          <w:rFonts w:ascii="Arial" w:cs="Arial" w:eastAsia="Arial" w:hAnsi="Arial"/>
          <w:sz w:val="18"/>
          <w:szCs w:val="18"/>
          <w:color w:val="auto"/>
        </w:rPr>
      </w:pPr>
    </w:p>
    <w:p>
      <w:pPr>
        <w:ind w:left="1020" w:right="6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1-for-        reverse stock split of our common stock effected on        and the resulting adjustments to the respective conversion ratios for convertible preferred stock, or the Reverse Stock Split;</w:t>
      </w:r>
    </w:p>
    <w:p>
      <w:pPr>
        <w:spacing w:after="0" w:line="59" w:lineRule="exact"/>
        <w:rPr>
          <w:rFonts w:ascii="Arial" w:cs="Arial" w:eastAsia="Arial" w:hAnsi="Arial"/>
          <w:sz w:val="18"/>
          <w:szCs w:val="18"/>
          <w:color w:val="auto"/>
        </w:rPr>
      </w:pPr>
    </w:p>
    <w:p>
      <w:pPr>
        <w:ind w:left="1020" w:right="42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assumed initial public offering price of $    per share, which is the midpoint of the price range set forth on the cover page of this prospectus; and</w:t>
      </w:r>
    </w:p>
    <w:p>
      <w:pPr>
        <w:spacing w:after="0" w:line="59" w:lineRule="exact"/>
        <w:rPr>
          <w:rFonts w:ascii="Arial" w:cs="Arial" w:eastAsia="Arial" w:hAnsi="Arial"/>
          <w:sz w:val="18"/>
          <w:szCs w:val="18"/>
          <w:color w:val="auto"/>
        </w:rPr>
      </w:pPr>
    </w:p>
    <w:p>
      <w:pPr>
        <w:ind w:left="1020" w:right="50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additional shares of our common stock in this offering.</w:t>
      </w: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6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12" w:lineRule="exact"/>
        <w:rPr>
          <w:sz w:val="20"/>
          <w:szCs w:val="20"/>
          <w:color w:val="auto"/>
        </w:rPr>
      </w:pPr>
    </w:p>
    <w:p>
      <w:pPr>
        <w:ind w:left="300" w:right="260" w:firstLine="532"/>
        <w:spacing w:after="0" w:line="237" w:lineRule="auto"/>
        <w:rPr>
          <w:sz w:val="20"/>
          <w:szCs w:val="20"/>
          <w:color w:val="auto"/>
        </w:rPr>
      </w:pPr>
      <w:r>
        <w:rPr>
          <w:rFonts w:ascii="Arial" w:cs="Arial" w:eastAsia="Arial" w:hAnsi="Arial"/>
          <w:sz w:val="18"/>
          <w:szCs w:val="18"/>
          <w:color w:val="auto"/>
        </w:rPr>
        <w:t>The following tables set forth our summary historical consolidated financial data as of, and for the periods ended on the dates indicated. We have derived the summary consolidated statements of operations and comprehensive loss data for the years ended December 31, 2023 and 2022 from our audited consolidated financial statements appearing elsewhere in this prospectus. We have derived the summary consolidated statements of operations and comprehensive loss data for the nine months ended September 30, 2024 and 2023, and the summary consolidated balance sheet data as of September 30, 2024 from our unaudited condensed consolidated financial statements included elsewhere in this prospectus. The unaudited condensed consolidated financial statements have been prepared on a basis consistent with our audited financial statements included in this prospectus and, in the opinion of management, reflect all adjustments, consisting only of normal recurring adjustments, necessary to fairly state the financial information in those statements. You should read these data together with our financial statements and related notes included elsewhere in this prospectus and the section of the prospectus titled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w:t>
      </w:r>
      <w:r>
        <w:rPr>
          <w:rFonts w:ascii="Arial" w:cs="Arial" w:eastAsia="Arial" w:hAnsi="Arial"/>
          <w:sz w:val="18"/>
          <w:szCs w:val="18"/>
          <w:color w:val="auto"/>
        </w:rPr>
        <w:t>.” The summary consolidated financial data included in this section are not intended to replace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are qualified in their entirety by our consolidated financial statements and the related notes included elsewhere in this prospectus. Our historical results for any prior period are not necessarily indicative of our future results, and our interim results are not necessarily indicative of our expected results for the year ended December 31, 2024.</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2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64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1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6"/>
        </w:trPr>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00" w:type="dxa"/>
            <w:vAlign w:val="bottom"/>
            <w:gridSpan w:val="13"/>
          </w:tcPr>
          <w:p>
            <w:pPr>
              <w:jc w:val="right"/>
              <w:ind w:right="271"/>
              <w:spacing w:after="0" w:line="147"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320" w:type="dxa"/>
            <w:vAlign w:val="bottom"/>
            <w:gridSpan w:val="2"/>
          </w:tcPr>
          <w:p>
            <w:pPr>
              <w:spacing w:after="0"/>
              <w:rPr>
                <w:sz w:val="12"/>
                <w:szCs w:val="12"/>
                <w:color w:val="auto"/>
              </w:rPr>
            </w:pPr>
          </w:p>
        </w:tc>
      </w:tr>
      <w:tr>
        <w:trPr>
          <w:trHeight w:val="171"/>
        </w:trPr>
        <w:tc>
          <w:tcPr>
            <w:tcW w:w="1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(unaudited)</w:t>
            </w:r>
          </w:p>
        </w:tc>
      </w:tr>
      <w:tr>
        <w:trPr>
          <w:trHeight w:val="184"/>
        </w:trPr>
        <w:tc>
          <w:tcPr>
            <w:tcW w:w="180" w:type="dxa"/>
            <w:vAlign w:val="bottom"/>
          </w:tcPr>
          <w:p>
            <w:pPr>
              <w:spacing w:after="0"/>
              <w:rPr>
                <w:sz w:val="15"/>
                <w:szCs w:val="15"/>
                <w:color w:val="auto"/>
              </w:rPr>
            </w:pPr>
          </w:p>
        </w:tc>
        <w:tc>
          <w:tcPr>
            <w:tcW w:w="59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Consolidated Statements of Operations and Comprehensive Loss</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1"/>
        </w:trPr>
        <w:tc>
          <w:tcPr>
            <w:tcW w:w="180" w:type="dxa"/>
            <w:vAlign w:val="bottom"/>
          </w:tcPr>
          <w:p>
            <w:pPr>
              <w:spacing w:after="0"/>
              <w:rPr>
                <w:sz w:val="19"/>
                <w:szCs w:val="19"/>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03"/>
        </w:trPr>
        <w:tc>
          <w:tcPr>
            <w:tcW w:w="18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Collaboration revenue</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— </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2,717</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112,279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101,755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81,100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86,480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5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22,197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19,719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16,886</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59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134,773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127,904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102,234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103,296</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(133,736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(127,904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(99,517)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(102,546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8,792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6,269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20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income, net</w:t>
            </w: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5,817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(125,491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(124,318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(92,967)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(125,938</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(124,665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(93,389</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39"/>
        </w:trPr>
        <w:tc>
          <w:tcPr>
            <w:tcW w:w="180" w:type="dxa"/>
            <w:vAlign w:val="bottom"/>
          </w:tcPr>
          <w:p>
            <w:pPr>
              <w:spacing w:after="0"/>
              <w:rPr>
                <w:sz w:val="20"/>
                <w:szCs w:val="20"/>
                <w:color w:val="auto"/>
              </w:rPr>
            </w:pPr>
          </w:p>
        </w:tc>
        <w:tc>
          <w:tcPr>
            <w:tcW w:w="59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r>
      <w:tr>
        <w:trPr>
          <w:trHeight w:val="136"/>
        </w:trPr>
        <w:tc>
          <w:tcPr>
            <w:tcW w:w="180" w:type="dxa"/>
            <w:vAlign w:val="bottom"/>
            <w:tcBorders>
              <w:bottom w:val="single" w:sz="8" w:color="auto"/>
            </w:tcBorders>
          </w:tcPr>
          <w:p>
            <w:pPr>
              <w:spacing w:after="0"/>
              <w:rPr>
                <w:sz w:val="11"/>
                <w:szCs w:val="11"/>
                <w:color w:val="auto"/>
              </w:rPr>
            </w:pPr>
          </w:p>
        </w:tc>
        <w:tc>
          <w:tcPr>
            <w:tcW w:w="59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r>
        <w:trPr>
          <w:trHeight w:val="365"/>
        </w:trPr>
        <w:tc>
          <w:tcPr>
            <w:tcW w:w="6140" w:type="dxa"/>
            <w:vAlign w:val="bottom"/>
            <w:gridSpan w:val="2"/>
          </w:tcPr>
          <w:p>
            <w:pPr>
              <w:jc w:val="right"/>
              <w:ind w:right="45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0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center"/>
              <w:ind w:left="616"/>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2024</w:t>
            </w:r>
          </w:p>
        </w:tc>
        <w:tc>
          <w:tcPr>
            <w:tcW w:w="5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gridSpan w:val="9"/>
          </w:tcPr>
          <w:p>
            <w:pPr>
              <w:jc w:val="right"/>
              <w:ind w:right="80"/>
              <w:spacing w:after="0" w:line="147"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center"/>
              <w:ind w:left="616"/>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Unrealized gain on marketable securities,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r>
      <w:tr>
        <w:trPr>
          <w:trHeight w:val="217"/>
        </w:trPr>
        <w:tc>
          <w:tcPr>
            <w:tcW w:w="468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loss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5"/>
              <w:spacing w:after="0" w:line="202" w:lineRule="exact"/>
              <w:rPr>
                <w:sz w:val="20"/>
                <w:szCs w:val="20"/>
                <w:color w:val="auto"/>
              </w:rPr>
            </w:pPr>
            <w:r>
              <w:rPr>
                <w:rFonts w:ascii="Arial" w:cs="Arial" w:eastAsia="Arial" w:hAnsi="Arial"/>
                <w:sz w:val="18"/>
                <w:szCs w:val="18"/>
                <w:color w:val="auto"/>
              </w:rPr>
              <w:t>(124,613)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(126,793)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(94,045)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(97,238)</w:t>
            </w:r>
          </w:p>
        </w:tc>
      </w:tr>
      <w:tr>
        <w:trPr>
          <w:trHeight w:val="217"/>
        </w:trPr>
        <w:tc>
          <w:tcPr>
            <w:tcW w:w="46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(130,920</w:t>
            </w:r>
          </w:p>
        </w:tc>
        <w:tc>
          <w:tcPr>
            <w:tcW w:w="320" w:type="dxa"/>
            <w:vAlign w:val="bottom"/>
          </w:tcPr>
          <w:p>
            <w:pPr>
              <w:jc w:val="right"/>
              <w:ind w:right="185"/>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(124,665</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(97,080)</w:t>
            </w:r>
          </w:p>
        </w:tc>
        <w:tc>
          <w:tcPr>
            <w:tcW w:w="120" w:type="dxa"/>
            <w:vAlign w:val="bottom"/>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46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line="221" w:lineRule="exact"/>
              <w:rPr>
                <w:sz w:val="20"/>
                <w:szCs w:val="20"/>
                <w:color w:val="auto"/>
              </w:rPr>
            </w:pPr>
            <w:r>
              <w:rPr>
                <w:rFonts w:ascii="Arial" w:cs="Arial" w:eastAsia="Arial" w:hAnsi="Arial"/>
                <w:sz w:val="17"/>
                <w:szCs w:val="17"/>
                <w:color w:val="auto"/>
              </w:rPr>
              <w:t>basic and diluted</w:t>
            </w:r>
            <w:r>
              <w:rPr>
                <w:rFonts w:ascii="Arial" w:cs="Arial" w:eastAsia="Arial" w:hAnsi="Arial"/>
                <w:sz w:val="25"/>
                <w:szCs w:val="25"/>
                <w:color w:val="auto"/>
                <w:vertAlign w:val="superscript"/>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(20.79)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(28.65)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w:t>
            </w:r>
          </w:p>
        </w:tc>
      </w:tr>
      <w:tr>
        <w:trPr>
          <w:trHeight w:val="191"/>
        </w:trPr>
        <w:tc>
          <w:tcPr>
            <w:tcW w:w="4680" w:type="dxa"/>
            <w:vAlign w:val="bottom"/>
            <w:gridSpan w:val="2"/>
          </w:tcPr>
          <w:p>
            <w:pPr>
              <w:spacing w:after="0" w:line="191" w:lineRule="exact"/>
              <w:rPr>
                <w:sz w:val="20"/>
                <w:szCs w:val="20"/>
                <w:color w:val="auto"/>
              </w:rPr>
            </w:pPr>
            <w:r>
              <w:rPr>
                <w:rFonts w:ascii="Arial" w:cs="Arial" w:eastAsia="Arial" w:hAnsi="Arial"/>
                <w:sz w:val="18"/>
                <w:szCs w:val="18"/>
                <w:color w:val="auto"/>
              </w:rPr>
              <w:t>Weighted-average common shares outstanding, basic</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6,296,641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w w:val="99"/>
              </w:rPr>
              <w:t>4,351,269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7,659,394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6,107,685</w:t>
            </w:r>
          </w:p>
        </w:tc>
        <w:tc>
          <w:tcPr>
            <w:tcW w:w="120" w:type="dxa"/>
            <w:vAlign w:val="bottom"/>
          </w:tcPr>
          <w:p>
            <w:pPr>
              <w:spacing w:after="0"/>
              <w:rPr>
                <w:sz w:val="19"/>
                <w:szCs w:val="19"/>
                <w:color w:val="auto"/>
              </w:rPr>
            </w:pPr>
          </w:p>
        </w:tc>
      </w:tr>
      <w:tr>
        <w:trPr>
          <w:trHeight w:val="184"/>
        </w:trPr>
        <w:tc>
          <w:tcPr>
            <w:tcW w:w="20" w:type="dxa"/>
            <w:vAlign w:val="bottom"/>
          </w:tcPr>
          <w:p>
            <w:pPr>
              <w:spacing w:after="0"/>
              <w:rPr>
                <w:sz w:val="15"/>
                <w:szCs w:val="15"/>
                <w:color w:val="auto"/>
              </w:rPr>
            </w:pPr>
          </w:p>
        </w:tc>
        <w:tc>
          <w:tcPr>
            <w:tcW w:w="46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Pro forma net loss per share, basic and diluted</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line="221" w:lineRule="exact"/>
              <w:rPr>
                <w:sz w:val="20"/>
                <w:szCs w:val="20"/>
                <w:color w:val="auto"/>
              </w:rPr>
            </w:pPr>
            <w:r>
              <w:rPr>
                <w:rFonts w:ascii="Arial" w:cs="Arial" w:eastAsia="Arial" w:hAnsi="Arial"/>
                <w:sz w:val="17"/>
                <w:szCs w:val="17"/>
                <w:color w:val="auto"/>
              </w:rPr>
              <w:t>(unaudited)</w:t>
            </w:r>
            <w:r>
              <w:rPr>
                <w:rFonts w:ascii="Arial" w:cs="Arial" w:eastAsia="Arial" w:hAnsi="Arial"/>
                <w:sz w:val="25"/>
                <w:szCs w:val="25"/>
                <w:color w:val="auto"/>
                <w:vertAlign w:val="superscript"/>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xml:space="preserve">       </w:t>
            </w:r>
          </w:p>
        </w:tc>
      </w:tr>
      <w:tr>
        <w:trPr>
          <w:trHeight w:val="191"/>
        </w:trPr>
        <w:tc>
          <w:tcPr>
            <w:tcW w:w="4680" w:type="dxa"/>
            <w:vAlign w:val="bottom"/>
            <w:gridSpan w:val="2"/>
          </w:tcPr>
          <w:p>
            <w:pPr>
              <w:spacing w:after="0" w:line="191" w:lineRule="exact"/>
              <w:rPr>
                <w:sz w:val="20"/>
                <w:szCs w:val="20"/>
                <w:color w:val="auto"/>
              </w:rPr>
            </w:pPr>
            <w:r>
              <w:rPr>
                <w:rFonts w:ascii="Arial" w:cs="Arial" w:eastAsia="Arial" w:hAnsi="Arial"/>
                <w:sz w:val="18"/>
                <w:szCs w:val="18"/>
                <w:color w:val="auto"/>
              </w:rPr>
              <w:t>Pro forma weighted-average shares of common stock</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4660" w:type="dxa"/>
            <w:vAlign w:val="bottom"/>
          </w:tcPr>
          <w:p>
            <w:pPr>
              <w:ind w:left="160"/>
              <w:spacing w:after="0" w:line="221" w:lineRule="exact"/>
              <w:rPr>
                <w:sz w:val="20"/>
                <w:szCs w:val="20"/>
                <w:color w:val="auto"/>
              </w:rPr>
            </w:pPr>
            <w:r>
              <w:rPr>
                <w:rFonts w:ascii="Arial" w:cs="Arial" w:eastAsia="Arial" w:hAnsi="Arial"/>
                <w:sz w:val="17"/>
                <w:szCs w:val="17"/>
                <w:color w:val="auto"/>
              </w:rPr>
              <w:t>outstanding basic and diluted (unaudited)</w:t>
            </w:r>
            <w:r>
              <w:rPr>
                <w:rFonts w:ascii="Arial" w:cs="Arial" w:eastAsia="Arial" w:hAnsi="Arial"/>
                <w:sz w:val="25"/>
                <w:szCs w:val="25"/>
                <w:color w:val="auto"/>
                <w:vertAlign w:val="superscript"/>
              </w:rPr>
              <w:t>(2)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99,234,758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104,861,968</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188" w:lineRule="exact"/>
        <w:rPr>
          <w:sz w:val="20"/>
          <w:szCs w:val="20"/>
          <w:color w:val="auto"/>
        </w:rPr>
      </w:pPr>
    </w:p>
    <w:p>
      <w:pPr>
        <w:ind w:left="820" w:right="120" w:hanging="522"/>
        <w:spacing w:after="0" w:line="253"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2 and Note 18 to our audited financial statements and to our unaudited condensed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w:t>
      </w:r>
    </w:p>
    <w:p>
      <w:pPr>
        <w:spacing w:after="0" w:line="1" w:lineRule="exact"/>
        <w:rPr>
          <w:rFonts w:ascii="Arial" w:cs="Arial" w:eastAsia="Arial" w:hAnsi="Arial"/>
          <w:sz w:val="16"/>
          <w:szCs w:val="16"/>
          <w:color w:val="auto"/>
        </w:rPr>
      </w:pPr>
    </w:p>
    <w:p>
      <w:pPr>
        <w:ind w:left="820" w:hanging="522"/>
        <w:spacing w:after="0" w:line="249"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Unaudited pro forma net loss per share, basic and diluted, attributable to common stockholders, is calculated giving effect to the conversion of all outstanding shares of our convertible preferred stock and warrants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 ended December 31, 2023 and the nine months ended September 30, 2024 was calculated using the weighted average number of shares of common stock outstanding, including the pro forma effect of the conversion of all outstanding shares of our convertible preferred stock and warrants as of the end of the period into shares of our common stock, as if such conversion had occurred at the beginning of the period.</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center"/>
              <w:ind w:left="45"/>
              <w:spacing w:after="0"/>
              <w:rPr>
                <w:sz w:val="20"/>
                <w:szCs w:val="20"/>
                <w:color w:val="auto"/>
              </w:rPr>
            </w:pPr>
            <w:r>
              <w:rPr>
                <w:rFonts w:ascii="Arial" w:cs="Arial" w:eastAsia="Arial" w:hAnsi="Arial"/>
                <w:sz w:val="14"/>
                <w:szCs w:val="14"/>
                <w:b w:val="1"/>
                <w:bCs w:val="1"/>
                <w:color w:val="auto"/>
              </w:rPr>
              <w:t>As of September 30, 2024</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8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Actual</w:t>
            </w:r>
          </w:p>
        </w:tc>
        <w:tc>
          <w:tcPr>
            <w:tcW w:w="1980" w:type="dxa"/>
            <w:vAlign w:val="bottom"/>
            <w:gridSpan w:val="2"/>
          </w:tcPr>
          <w:p>
            <w:pPr>
              <w:ind w:left="440"/>
              <w:spacing w:after="0" w:line="162"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18"/>
                <w:szCs w:val="18"/>
                <w:b w:val="1"/>
                <w:bCs w:val="1"/>
                <w:color w:val="auto"/>
                <w:vertAlign w:val="superscript"/>
              </w:rPr>
              <w:t>(1)(3)</w:t>
            </w:r>
          </w:p>
        </w:tc>
        <w:tc>
          <w:tcPr>
            <w:tcW w:w="1220" w:type="dxa"/>
            <w:vAlign w:val="bottom"/>
            <w:gridSpan w:val="3"/>
          </w:tcPr>
          <w:p>
            <w:pPr>
              <w:ind w:left="60"/>
              <w:spacing w:after="0" w:line="162"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18"/>
                <w:szCs w:val="18"/>
                <w:b w:val="1"/>
                <w:bCs w:val="1"/>
                <w:color w:val="auto"/>
                <w:vertAlign w:val="superscript"/>
              </w:rPr>
              <w:t>(2)(3)</w:t>
            </w:r>
          </w:p>
        </w:tc>
        <w:tc>
          <w:tcPr>
            <w:tcW w:w="0" w:type="dxa"/>
            <w:vAlign w:val="bottom"/>
          </w:tcPr>
          <w:p>
            <w:pPr>
              <w:spacing w:after="0"/>
              <w:rPr>
                <w:sz w:val="1"/>
                <w:szCs w:val="1"/>
                <w:color w:val="auto"/>
              </w:rPr>
            </w:pPr>
          </w:p>
        </w:tc>
      </w:tr>
      <w:tr>
        <w:trPr>
          <w:trHeight w:val="162"/>
        </w:trPr>
        <w:tc>
          <w:tcPr>
            <w:tcW w:w="1000" w:type="dxa"/>
            <w:vAlign w:val="bottom"/>
            <w:tcBorders>
              <w:top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399"/>
              <w:spacing w:after="0"/>
              <w:rPr>
                <w:sz w:val="20"/>
                <w:szCs w:val="20"/>
                <w:color w:val="auto"/>
              </w:rPr>
            </w:pPr>
            <w:r>
              <w:rPr>
                <w:rFonts w:ascii="Arial" w:cs="Arial" w:eastAsia="Arial" w:hAnsi="Arial"/>
                <w:sz w:val="14"/>
                <w:szCs w:val="14"/>
                <w:b w:val="1"/>
                <w:bCs w:val="1"/>
                <w:color w:val="auto"/>
              </w:rPr>
              <w:t>(unaudited)</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2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$ 154,904</w:t>
            </w:r>
          </w:p>
        </w:tc>
        <w:tc>
          <w:tcPr>
            <w:tcW w:w="6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center"/>
              <w:ind w:right="419"/>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Working capital</w:t>
            </w:r>
            <w:r>
              <w:rPr>
                <w:rFonts w:ascii="Arial" w:cs="Arial" w:eastAsia="Arial" w:hAnsi="Arial"/>
                <w:sz w:val="23"/>
                <w:szCs w:val="23"/>
                <w:color w:val="auto"/>
                <w:vertAlign w:val="superscript"/>
              </w:rPr>
              <w:t>(4)</w:t>
            </w:r>
          </w:p>
        </w:tc>
        <w:tc>
          <w:tcPr>
            <w:tcW w:w="22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134,727</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22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221,535</w:t>
            </w:r>
          </w:p>
        </w:tc>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22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508,212</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deficit</w:t>
            </w:r>
          </w:p>
        </w:tc>
        <w:tc>
          <w:tcPr>
            <w:tcW w:w="22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(382,656)</w:t>
            </w:r>
          </w:p>
        </w:tc>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(349,266)</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820" w:hanging="522"/>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Pro forma amounts give effect to the conversion of all outstanding shares of our convertible preferred stock into an aggregate of          </w:t>
      </w:r>
    </w:p>
    <w:p>
      <w:pPr>
        <w:spacing w:after="0" w:line="21" w:lineRule="exact"/>
        <w:rPr>
          <w:rFonts w:ascii="Arial" w:cs="Arial" w:eastAsia="Arial" w:hAnsi="Arial"/>
          <w:sz w:val="16"/>
          <w:szCs w:val="16"/>
          <w:color w:val="auto"/>
        </w:rPr>
      </w:pPr>
    </w:p>
    <w:p>
      <w:pPr>
        <w:ind w:left="820" w:right="460"/>
        <w:spacing w:after="0" w:line="246" w:lineRule="auto"/>
        <w:rPr>
          <w:rFonts w:ascii="Arial" w:cs="Arial" w:eastAsia="Arial" w:hAnsi="Arial"/>
          <w:sz w:val="16"/>
          <w:szCs w:val="16"/>
          <w:color w:val="auto"/>
        </w:rPr>
      </w:pPr>
      <w:r>
        <w:rPr>
          <w:rFonts w:ascii="Arial" w:cs="Arial" w:eastAsia="Arial" w:hAnsi="Arial"/>
          <w:sz w:val="16"/>
          <w:szCs w:val="16"/>
          <w:color w:val="auto"/>
        </w:rPr>
        <w:t>shares of our common stock and the related reclassification of the carrying value of the convertible preferred stock to permanent equity immediately prior to the closing of this offering.</w:t>
      </w:r>
    </w:p>
    <w:p>
      <w:pPr>
        <w:jc w:val="both"/>
        <w:ind w:left="820" w:right="240" w:hanging="522"/>
        <w:spacing w:after="0" w:line="256"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 forma as adjusted amounts give effect to (i) the pro forma adjustments set forth in footnote (1) above, and (ii) the issuance and sale of shares of our common stock in this offering at the initial public offering price of $    per share, which is the midpoint of the price range set forth on the cover page of this prospectus,</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795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179578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after deducting the underwriting discounts and commissions and estimated offering expenses payable by us. Each $1.00 increase or decrease in the assumed initial public offering price of $    per share would increase or decrease, as applicable, the pro forma as adjusted amount of each of our cash, cash equivalents and marketable securities, working capital, total assets and total stockholders’ (deficit) equity by approximately $        , assuming that the number of shares offered by us, as set forth on the cover page of this prospectus, remains the same and after deducting the underwriting discounts and commissions and estimated offering expenses payable by us. Each increase or decrease of 1.0 million shares in the number of shares offered by us at the assumed initial public offering price of $    per share would increase or decrease, as applicable, the pro forma as adjusted amounts of each of our cash, cash equivalents and marketable securities, working capital, total assets and total stockholders’ (deficit) equity by approximately $    , after deducting the underwriting discounts and commissions and estimated offering expenses payable by us.</w:t>
      </w:r>
    </w:p>
    <w:p>
      <w:pPr>
        <w:spacing w:after="0" w:line="6" w:lineRule="exact"/>
        <w:rPr>
          <w:sz w:val="20"/>
          <w:szCs w:val="20"/>
          <w:color w:val="auto"/>
        </w:rPr>
      </w:pPr>
    </w:p>
    <w:p>
      <w:pPr>
        <w:ind w:left="820" w:right="400" w:hanging="522"/>
        <w:spacing w:after="0" w:line="246"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 forma and pro forma as adjusted information discussed above is illustrative only and will be adjusted based on the actual initial public offering price and other terms of this offering determined at pricing.</w:t>
      </w:r>
    </w:p>
    <w:p>
      <w:pPr>
        <w:ind w:left="820" w:right="120" w:hanging="522"/>
        <w:spacing w:after="0" w:line="265"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 See our unaudited condensed consolidated financial statements and the related notes included elsewhere in this prospectus for further details regarding our current assets and current liabilities.</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320" w:top="455"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i w:val="1"/>
          <w:iCs w:val="1"/>
          <w:color w:val="auto"/>
        </w:rPr>
        <w:t>An investment in our common stock involves a high degree of risk. In deciding whether to invest, you should carefully consider and read the following risk factors, as well as the financial and other information contained in this prospectus, including in the section of this prospectus titled “Management’s Discussion and Analysis of Financial Condition and Results of Operations” and in our consolidated financial statements and related notes included elsewhere in this prospectus.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Limited Operating History and Financial Position</w:t>
      </w:r>
    </w:p>
    <w:p>
      <w:pPr>
        <w:spacing w:after="0" w:line="106" w:lineRule="exact"/>
        <w:rPr>
          <w:sz w:val="20"/>
          <w:szCs w:val="20"/>
          <w:color w:val="auto"/>
        </w:rPr>
      </w:pPr>
    </w:p>
    <w:p>
      <w:pPr>
        <w:ind w:left="120" w:right="60"/>
        <w:spacing w:after="0" w:line="309" w:lineRule="auto"/>
        <w:rPr>
          <w:sz w:val="20"/>
          <w:szCs w:val="20"/>
          <w:color w:val="auto"/>
        </w:rPr>
      </w:pPr>
      <w:r>
        <w:rPr>
          <w:rFonts w:ascii="Arial" w:cs="Arial" w:eastAsia="Arial" w:hAnsi="Arial"/>
          <w:sz w:val="17"/>
          <w:szCs w:val="17"/>
          <w:b w:val="1"/>
          <w:bCs w:val="1"/>
          <w:i w:val="1"/>
          <w:iCs w:val="1"/>
          <w:color w:val="auto"/>
        </w:rPr>
        <w:t>We are an early-stage biotechnology company with a limited operating history and a history of incurring substantial net losses, have no products approved for commercial sale, have never generated revenue from product sales and may never be profitable.</w:t>
      </w:r>
    </w:p>
    <w:p>
      <w:pPr>
        <w:spacing w:after="0" w:line="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are an early clinical-stage biotechnology company with a limited operating history. We were formed in April 2021 and have devoted substantially all of our resources since that time to research and development activities for our product candidates, including OD-07656, our IRAK4 program candidate and OD-00910, and our other development programs, recruiting management and technical staff, raising capital, producing materials for preclinical studies and clinical trials, developing and establishing our intellectual property portfolio, developing our research and development tools and technologies, entering into collaboration agreements, acquiring companies or assets to further our development programs and building infrastructure to support such activities. We have only recently completed a Phase 1 clinical trial for our most advanced product candidate, OD-07656, and all of our other product candidates remain in preclinical development.</w:t>
      </w:r>
    </w:p>
    <w:p>
      <w:pPr>
        <w:spacing w:after="0" w:line="72"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We continue to incur significant research and development and other expenses related to our ongoing operations. The success of our business depends primarily upon our ability to identify, develop and commercialize our product candidates.</w:t>
      </w:r>
    </w:p>
    <w:p>
      <w:pPr>
        <w:spacing w:after="0" w:line="4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do not have any products approved for sale and have not generated any revenue from product sales or royalties to date. We do not know whether we will be able to develop any product candidates that succeed through preclinical and clinical development or products of commercial value. To date, all of our revenue has been generated from our collaboration agreements with Janssen Pharmaceutica NV, a Johnson &amp; Johnson company, or J&amp;J, and Pfizer Inc., or Pfizer. We do not expect to generate product revenues unless and until we obtain marketing approval for a product candidate. Consequently, it may be more difficult to evaluate our business and predictions about our future success and viability may not be as accurate as they could be if we had a longer operating history. Investing in biotechnology product development is highly speculative because of the significant risk that, despite significant investment, any potential product candidate will fail to demonstrate adequate effect or an acceptable safety profile, gain regulatory approval and become commercially viable.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incurred net losses since our inception through September 30, 2024. Net losses and negative cash flows have had,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continue to have, an adverse effect on our stockholders’ equity and working capital. Our net losses for the nine months ended</w:t>
      </w:r>
    </w:p>
    <w:p>
      <w:pPr>
        <w:ind w:left="120"/>
        <w:spacing w:after="0" w:line="234" w:lineRule="auto"/>
        <w:rPr>
          <w:sz w:val="20"/>
          <w:szCs w:val="20"/>
          <w:color w:val="auto"/>
        </w:rPr>
      </w:pPr>
      <w:r>
        <w:rPr>
          <w:rFonts w:ascii="Arial" w:cs="Arial" w:eastAsia="Arial" w:hAnsi="Arial"/>
          <w:sz w:val="18"/>
          <w:szCs w:val="18"/>
          <w:color w:val="auto"/>
        </w:rPr>
        <w:t>September 30, 2024 and 2023 were $93.4 million and $97.1 million, respectively. For the years ended December 31, 2023 and 2022, we</w:t>
      </w:r>
    </w:p>
    <w:p>
      <w:pPr>
        <w:ind w:left="120"/>
        <w:spacing w:after="0" w:line="235" w:lineRule="auto"/>
        <w:rPr>
          <w:sz w:val="20"/>
          <w:szCs w:val="20"/>
          <w:color w:val="auto"/>
        </w:rPr>
      </w:pPr>
      <w:r>
        <w:rPr>
          <w:rFonts w:ascii="Arial" w:cs="Arial" w:eastAsia="Arial" w:hAnsi="Arial"/>
          <w:sz w:val="18"/>
          <w:szCs w:val="18"/>
          <w:color w:val="auto"/>
        </w:rPr>
        <w:t>reported a net loss of $125.9 million and $124.7 million, respectively. As of September 30, 2024, we had an accumulated deficit of</w:t>
      </w:r>
    </w:p>
    <w:p>
      <w:pPr>
        <w:ind w:left="120"/>
        <w:spacing w:after="0" w:line="235" w:lineRule="auto"/>
        <w:rPr>
          <w:sz w:val="20"/>
          <w:szCs w:val="20"/>
          <w:color w:val="auto"/>
        </w:rPr>
      </w:pPr>
      <w:r>
        <w:rPr>
          <w:rFonts w:ascii="Arial" w:cs="Arial" w:eastAsia="Arial" w:hAnsi="Arial"/>
          <w:sz w:val="18"/>
          <w:szCs w:val="18"/>
          <w:color w:val="auto"/>
        </w:rPr>
        <w:t>$382.7 million. We expect to continue to incur significant losses for the foreseeable future, and we expect these losses to increase as we</w:t>
      </w:r>
    </w:p>
    <w:p>
      <w:pPr>
        <w:ind w:left="120"/>
        <w:spacing w:after="0" w:line="235" w:lineRule="auto"/>
        <w:rPr>
          <w:sz w:val="20"/>
          <w:szCs w:val="20"/>
          <w:color w:val="auto"/>
        </w:rPr>
      </w:pPr>
      <w:r>
        <w:rPr>
          <w:rFonts w:ascii="Arial" w:cs="Arial" w:eastAsia="Arial" w:hAnsi="Arial"/>
          <w:sz w:val="18"/>
          <w:szCs w:val="18"/>
          <w:color w:val="auto"/>
        </w:rPr>
        <w:t>continue research and development efforts for our product candidates, advance our product candidates through preclinical studies and</w:t>
      </w:r>
    </w:p>
    <w:p>
      <w:pPr>
        <w:ind w:left="120"/>
        <w:spacing w:after="0"/>
        <w:rPr>
          <w:sz w:val="20"/>
          <w:szCs w:val="20"/>
          <w:color w:val="auto"/>
        </w:rPr>
      </w:pPr>
      <w:r>
        <w:rPr>
          <w:rFonts w:ascii="Arial" w:cs="Arial" w:eastAsia="Arial" w:hAnsi="Arial"/>
          <w:sz w:val="18"/>
          <w:szCs w:val="18"/>
          <w:color w:val="auto"/>
        </w:rPr>
        <w:t>clinical trials and seek regulatory approvals for our product candidates.</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that our expenses will increase substantially as we:</w:t>
      </w:r>
    </w:p>
    <w:p>
      <w:pPr>
        <w:spacing w:after="0" w:line="117" w:lineRule="exact"/>
        <w:rPr>
          <w:sz w:val="20"/>
          <w:szCs w:val="20"/>
          <w:color w:val="auto"/>
        </w:rPr>
      </w:pPr>
    </w:p>
    <w:p>
      <w:pPr>
        <w:ind w:left="880" w:right="200" w:hanging="224"/>
        <w:spacing w:after="0" w:line="27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progress the development of our product candidates, including our three most advanced programs: OD-07656, our IRAK4 program and OD-00910;</w:t>
      </w:r>
    </w:p>
    <w:p>
      <w:pPr>
        <w:spacing w:after="0" w:line="59" w:lineRule="exact"/>
        <w:rPr>
          <w:rFonts w:ascii="Arial" w:cs="Arial" w:eastAsia="Arial" w:hAnsi="Arial"/>
          <w:sz w:val="18"/>
          <w:szCs w:val="18"/>
          <w:color w:val="auto"/>
        </w:rPr>
      </w:pPr>
    </w:p>
    <w:p>
      <w:pPr>
        <w:ind w:left="880" w:right="360" w:hanging="224"/>
        <w:spacing w:after="0" w:line="253"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expand the manufacturing of preclinical and clinical supply of our current and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of our current product candidates or any future product candidates;</w:t>
      </w:r>
    </w:p>
    <w:p>
      <w:pPr>
        <w:spacing w:after="0" w:line="117" w:lineRule="exact"/>
        <w:rPr>
          <w:rFonts w:ascii="Arial" w:cs="Arial" w:eastAsia="Arial" w:hAnsi="Arial"/>
          <w:sz w:val="18"/>
          <w:szCs w:val="18"/>
          <w:color w:val="auto"/>
        </w:rPr>
      </w:pPr>
    </w:p>
    <w:p>
      <w:pPr>
        <w:ind w:left="880" w:right="60" w:hanging="224"/>
        <w:spacing w:after="0" w:line="27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infrastructure to commercialize any product candidates for which we may obtain marketing approval, if any;</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qualified clinical, scientific, operations and management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and maintain operational, financial and information management systems;</w:t>
      </w:r>
    </w:p>
    <w:p>
      <w:pPr>
        <w:spacing w:after="0" w:line="117"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 maintain, enforce and expand our rights in our intellectual property portfolio or acquire or in-license intellectual property and technologies from third parties;</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any delays in our preclinical studies or clinical trials and regulatory approval for our product candidates, including as a result of macroeconomic conditions, geopolitical conflicts or other factors; and</w:t>
      </w:r>
    </w:p>
    <w:p>
      <w:pPr>
        <w:spacing w:after="0" w:line="59"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costs associated with operating as a public company following the completion of this offering.</w:t>
      </w:r>
    </w:p>
    <w:p>
      <w:pPr>
        <w:spacing w:after="0" w:line="4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our value and the price of our common stock, and could impair our ability to raise capital, maintain our research and development efforts, expand our business or continue our operations. A decline in the value of our common stock also could cause you to lose all or part of your investment.</w:t>
      </w:r>
    </w:p>
    <w:p>
      <w:pPr>
        <w:spacing w:after="0" w:line="75"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 Our prior losses and expected future losses have had and will continue to have an adverse effect on our stockholders’ deficit and working capital.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jc w:val="both"/>
        <w:ind w:left="120" w:right="400"/>
        <w:spacing w:after="0" w:line="256"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51"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spending substantial amounts of cash to advance our current and future preclinical and clinical development programs and seek regulatory approval for our product candidates.</w:t>
      </w:r>
    </w:p>
    <w:p>
      <w:pPr>
        <w:spacing w:after="0" w:line="66"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As of September 30, 2024, we had $154.9 million in cash, cash equivalents and marketable securities. We expect that the net proceeds from this offering, together with our existing cash and cash equivalents and short-term marketable securities will be sufficient to fund our operations until        . We have based this estimate on assumptions that may prove to be wrong, and we could utilize our available capital resources sooner than we expect. Additionally, because the design and outcome of our planned and anticipated preclinical studies and clinical trials are highly uncertain, we cannot reasonably estimate the actual amounts necessary to successfully complete the development and commercialization of any product candidate.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17" w:lineRule="exact"/>
        <w:rPr>
          <w:sz w:val="20"/>
          <w:szCs w:val="20"/>
          <w:color w:val="auto"/>
        </w:rPr>
      </w:pPr>
    </w:p>
    <w:p>
      <w:pPr>
        <w:ind w:left="880" w:right="20" w:hanging="224"/>
        <w:spacing w:after="0" w:line="27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planned clinical trials for our current or future product candidates, including additional expenses attributable to adjusting our development plans;</w:t>
      </w:r>
    </w:p>
    <w:p>
      <w:pPr>
        <w:spacing w:after="0" w:line="59" w:lineRule="exact"/>
        <w:rPr>
          <w:rFonts w:ascii="Arial" w:cs="Arial" w:eastAsia="Arial" w:hAnsi="Arial"/>
          <w:sz w:val="18"/>
          <w:szCs w:val="18"/>
          <w:color w:val="auto"/>
        </w:rPr>
      </w:pPr>
    </w:p>
    <w:p>
      <w:pPr>
        <w:ind w:left="880" w:right="700" w:hanging="224"/>
        <w:spacing w:after="0" w:line="27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 and clinical trials required for regulatory approval of our current or future product candidates;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current or future product candidates;</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 or license agreements and the achievement of milestones or occurrence of other developments that trigger payments under any existing or additional collaboration or license agreements;</w:t>
      </w:r>
    </w:p>
    <w:p>
      <w:pPr>
        <w:spacing w:after="0" w:line="59"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acquisitions and licenses;</w:t>
      </w:r>
    </w:p>
    <w:p>
      <w:pPr>
        <w:spacing w:after="0" w:line="59"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continuing to invest in our suite of tools and drug discovery efforts to identify novel targets and drugs;</w:t>
      </w:r>
    </w:p>
    <w:p>
      <w:pPr>
        <w:spacing w:after="0" w:line="117"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increase in the number of our employees and expansion of our physical facilities to support preclinical studies and clinical trials;</w:t>
      </w:r>
    </w:p>
    <w:p>
      <w:pPr>
        <w:spacing w:after="0" w:line="59"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 including our need to implement additional internal systems and infrastructure, including financial and reporting systems, to remediate an existing material weakness;</w:t>
      </w:r>
    </w:p>
    <w:p>
      <w:pPr>
        <w:spacing w:after="0" w:line="59" w:lineRule="exact"/>
        <w:rPr>
          <w:rFonts w:ascii="Arial" w:cs="Arial" w:eastAsia="Arial" w:hAnsi="Arial"/>
          <w:sz w:val="18"/>
          <w:szCs w:val="18"/>
          <w:color w:val="auto"/>
        </w:rPr>
      </w:pPr>
    </w:p>
    <w:p>
      <w:pPr>
        <w:ind w:left="880" w:right="60" w:hanging="224"/>
        <w:spacing w:after="0" w:line="25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460" w:hanging="224"/>
        <w:spacing w:after="0" w:line="27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marketing, sales and distribution, for any of our product candidates for which we receive marketing approval;</w:t>
      </w:r>
    </w:p>
    <w:p>
      <w:pPr>
        <w:spacing w:after="0" w:line="59"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59"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59"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or adequate reimbursement from third-party payors; and</w:t>
      </w:r>
    </w:p>
    <w:p>
      <w:pPr>
        <w:spacing w:after="0" w:line="59"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inflation, as well as other factors, including economic uncertainty and geopolitical tensions, which may exacerbate the magnitude of the factors discussed above.</w:t>
      </w:r>
    </w:p>
    <w:p>
      <w:pPr>
        <w:spacing w:after="0" w:line="46"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Until such time as we can generate significant revenue from sales of our product candidates, if ever,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p>
    <w:p>
      <w:pPr>
        <w:spacing w:after="0" w:line="181"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31"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7"/>
          <w:szCs w:val="17"/>
          <w:color w:val="auto"/>
        </w:rPr>
        <w:t>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57" w:lineRule="exact"/>
        <w:rPr>
          <w:sz w:val="20"/>
          <w:szCs w:val="20"/>
          <w:color w:val="auto"/>
        </w:rPr>
      </w:pPr>
    </w:p>
    <w:p>
      <w:pPr>
        <w:ind w:left="120" w:right="340" w:firstLine="551"/>
        <w:spacing w:after="0" w:line="247" w:lineRule="auto"/>
        <w:rPr>
          <w:sz w:val="20"/>
          <w:szCs w:val="20"/>
          <w:color w:val="auto"/>
        </w:rPr>
      </w:pPr>
      <w:r>
        <w:rPr>
          <w:rFonts w:ascii="Arial" w:cs="Arial" w:eastAsia="Arial" w:hAnsi="Arial"/>
          <w:sz w:val="18"/>
          <w:szCs w:val="18"/>
          <w:color w:val="auto"/>
        </w:rPr>
        <w:t>If we raise funds by entering into collaborations, strategic alliances or licensing arrangements with third parties, we may have to relinquish additional valuable rights to our technologies, future revenue streams, research programs or product candidates, or grant licenses on terms that may not be favorable to us, any of which may harm our business, financial condition, results of operations and prospects.</w:t>
      </w:r>
    </w:p>
    <w:p>
      <w:pPr>
        <w:spacing w:after="0" w:line="66" w:lineRule="exact"/>
        <w:rPr>
          <w:sz w:val="20"/>
          <w:szCs w:val="20"/>
          <w:color w:val="auto"/>
        </w:rPr>
      </w:pPr>
    </w:p>
    <w:p>
      <w:pPr>
        <w:ind w:left="120" w:right="540" w:firstLine="551"/>
        <w:spacing w:after="0" w:line="253" w:lineRule="auto"/>
        <w:rPr>
          <w:sz w:val="20"/>
          <w:szCs w:val="20"/>
          <w:color w:val="auto"/>
        </w:rPr>
      </w:pPr>
      <w:r>
        <w:rPr>
          <w:rFonts w:ascii="Arial" w:cs="Arial" w:eastAsia="Arial" w:hAnsi="Arial"/>
          <w:sz w:val="18"/>
          <w:szCs w:val="18"/>
          <w:color w:val="auto"/>
        </w:rPr>
        <w:t>Further,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financial condition, results of operations and prospects.</w:t>
      </w:r>
    </w:p>
    <w:p>
      <w:pPr>
        <w:spacing w:after="0" w:line="171"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b w:val="1"/>
          <w:bCs w:val="1"/>
          <w:i w:val="1"/>
          <w:iCs w:val="1"/>
          <w:color w:val="auto"/>
        </w:rPr>
        <w:t>Our business depends entirely on the success of our product candidates and development programs, including OD-07656, our IRAK4 product candidate and OD-00910,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6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We currently have no products approved for commercial sale or for which regulatory approval to market has been sought. We have invested the majority of our efforts and financial resources in the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40"/>
        <w:spacing w:after="0" w:line="247" w:lineRule="auto"/>
        <w:rPr>
          <w:sz w:val="20"/>
          <w:szCs w:val="20"/>
          <w:color w:val="auto"/>
        </w:rPr>
      </w:pPr>
      <w:r>
        <w:rPr>
          <w:rFonts w:ascii="Arial" w:cs="Arial" w:eastAsia="Arial" w:hAnsi="Arial"/>
          <w:sz w:val="18"/>
          <w:szCs w:val="18"/>
          <w:color w:val="auto"/>
        </w:rPr>
        <w:t>development of our product candidates and development programs, each of which is still in preclinical or early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then successfully commercialize our product candidates, which may never occur.</w:t>
      </w:r>
    </w:p>
    <w:p>
      <w:pPr>
        <w:spacing w:after="0" w:line="66"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can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spacing w:after="0" w:line="7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Even if our product candidates are successful in clinical trials, we will not be permitted to market or promote any of our product candidates until we receive regulatory approval from the U.S. Food and Drug Administration, or the FDA, or comparable foreign regulatory authorities, and we may never receive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77"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The FDA or comparable foreign regulatory authorities may also consider their approvals of competing products concurrently with their review of our investigational new drug applications, or INDs, clinical trial applications, or CTAs,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INDs, CTAs or other submissions.</w:t>
      </w:r>
    </w:p>
    <w:p>
      <w:pPr>
        <w:spacing w:after="0" w:line="68"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If our product candidates are approved for marketing by applicable regulatory authorities, our ability to generate revenue from any approved products will depend on our ability to:</w:t>
      </w:r>
    </w:p>
    <w:p>
      <w:pPr>
        <w:spacing w:after="0" w:line="59" w:lineRule="exact"/>
        <w:rPr>
          <w:sz w:val="20"/>
          <w:szCs w:val="20"/>
          <w:color w:val="auto"/>
        </w:rPr>
      </w:pPr>
    </w:p>
    <w:p>
      <w:pPr>
        <w:ind w:left="880" w:right="620" w:hanging="224"/>
        <w:spacing w:after="0" w:line="271"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products through contract manufacturing organizations, or CMOs, in sufficient quantities and at acceptable quality and manufacturing cost to meet commercial demand at launch and thereafter;</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our products competitively such that third-party and government reimbursement supports broad product adoption;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the superiority of our products compared to the standard of care, as well as other therapies in development;</w:t>
      </w:r>
    </w:p>
    <w:p>
      <w:pPr>
        <w:spacing w:after="0" w:line="117"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market demand for our products through our own marketing and sales activities, and any other arrangements to promote these products that we may otherwise establish;</w:t>
      </w:r>
    </w:p>
    <w:p>
      <w:pPr>
        <w:spacing w:after="0" w:line="59" w:lineRule="exact"/>
        <w:rPr>
          <w:rFonts w:ascii="Arial" w:cs="Arial" w:eastAsia="Arial" w:hAnsi="Arial"/>
          <w:sz w:val="18"/>
          <w:szCs w:val="18"/>
          <w:color w:val="auto"/>
        </w:rPr>
      </w:pPr>
    </w:p>
    <w:p>
      <w:pPr>
        <w:ind w:left="880" w:right="880" w:hanging="224"/>
        <w:spacing w:after="0" w:line="271"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maintain, protect and enforce patent and other intellectual property rights and regulatory exclusivity for our products;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320" w:hanging="224"/>
        <w:spacing w:after="0" w:line="25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healthcare professionals, patient advocacy groups and communication of healthcare economic information to payors and formularies;</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market acceptance of our products by patients, the medical community and third-party payors;</w:t>
      </w:r>
    </w:p>
    <w:p>
      <w:pPr>
        <w:spacing w:after="0" w:line="117"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that our product will be used as directed and that additional unexpected safety risks will not arise.</w:t>
      </w:r>
    </w:p>
    <w:p>
      <w:pPr>
        <w:spacing w:after="0" w:line="214"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an inability to obtain sufficient insurance coverage for those or other claims could adversely affect our business, financial condition, results of operations and prospects.</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we conduct preclinical studies and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an investigation by the FDA or comparable foreign regulatory authorities focused on the safety and efficacy of our current or future product candidates, our manufacturing processes and facilities or our marketing programs. Such an investigation may potentially result in a recall of our products or a more serious enforcement action, limitations on the approved indications for which the product may be used or suspension or withdrawal of approvals. Regardless of the merits or eventual outcome, product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key leaders and to attract, retain and motivate qualified personnel.</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highly dependent upon Gary D. Glick, Ph.D., our founder, President and Chief Executive Officer, and Jeffrey M. Leiden, M.D., Ph.D., the Chair of our board of directors, and losing the services of either of these individuals could delay or prevent the successful development of our product candidates, the initiation or completion of our preclinical studies and clinical trials or the commercialization of our product candidates. Dr. Glick’s employment agreement with us is terminable by him at will and, therefore, we may not be able to retain his services as expected. Dr. Leiden serves as a director and must be re-elected by our stockholders to continue serving on our board of directors. He may also resign from service as a director at any time. In addition, because we do not currently maintain “key person” life insurance on the lives of our executives or any of our employees, we may not have adequate compensation for the loss of the services of these individuals.</w:t>
      </w:r>
    </w:p>
    <w:p>
      <w:pPr>
        <w:spacing w:after="0" w:line="7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Our success also depends in part on our continued ability to attract, retain and motivate highly qualified management and clinical and scientific personnel. We may not be successful in continuing to</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attract or retain qualified management and scientific and clinical personnel in the future due to the intense competition for qualified personnel among biopharmaceutical, biotechnology and other businesses and academic institutions, particularly in the greater Boston area. If we are not able to attract, integrate, retain and motivate necessary personnel to accomplish our business objectives, we may experience constraints that will significantly impede the achievement of such objectives, our ability to raise additional capital and our ability to implement our business strategy.</w:t>
      </w:r>
    </w:p>
    <w:p>
      <w:pPr>
        <w:spacing w:after="0" w:line="178" w:lineRule="exact"/>
        <w:rPr>
          <w:sz w:val="20"/>
          <w:szCs w:val="20"/>
          <w:color w:val="auto"/>
        </w:rPr>
      </w:pPr>
    </w:p>
    <w:p>
      <w:pPr>
        <w:ind w:left="120" w:right="940"/>
        <w:spacing w:after="0" w:line="278" w:lineRule="auto"/>
        <w:rPr>
          <w:sz w:val="20"/>
          <w:szCs w:val="20"/>
          <w:color w:val="auto"/>
        </w:rPr>
      </w:pPr>
      <w:r>
        <w:rPr>
          <w:rFonts w:ascii="Arial" w:cs="Arial" w:eastAsia="Arial" w:hAnsi="Arial"/>
          <w:sz w:val="18"/>
          <w:szCs w:val="18"/>
          <w:b w:val="1"/>
          <w:bCs w:val="1"/>
          <w:i w:val="1"/>
          <w:iCs w:val="1"/>
          <w:color w:val="auto"/>
        </w:rPr>
        <w:t>We will need to grow our organization, and we may experience difficulties in managing our growth and expanding our operations, which could adversely affect our business, financial condition, results of operations and prospects.</w:t>
      </w:r>
    </w:p>
    <w:p>
      <w:pPr>
        <w:spacing w:after="0" w:line="3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As of September 30, 2024, we had 155 full-time employees. As our development and commercialization plans and strategies progress, and as we transition into operating as a public company, we expect to expand our employee base for managerial, operational, financial and other resources. In addition,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spacing w:after="0" w:line="182" w:lineRule="exact"/>
        <w:rPr>
          <w:sz w:val="20"/>
          <w:szCs w:val="20"/>
          <w:color w:val="auto"/>
        </w:rPr>
      </w:pPr>
    </w:p>
    <w:p>
      <w:pPr>
        <w:ind w:left="120" w:right="280"/>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adversely affect our business, financial condition, results of operations and prospects.</w:t>
      </w:r>
    </w:p>
    <w:p>
      <w:pPr>
        <w:spacing w:after="0" w:line="5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exposed to the risk of fraud or other misconduct by our employees, contractors and partners.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spacing w:after="0" w:line="78"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In the normal course of business, we periodically enter into commercial, service, collaboration, licensing, consulting and other agreements that contain indemnification provisions. With respect to our commercial agreements, we sometimes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If our obligations under an indemnification provision exceed or do not qualify for applicable insurance coverage or if we were denied insurance coverage, our business, financial condition, results of operations and prospects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results of operations and prospects could be adversely affected.</w:t>
      </w:r>
    </w:p>
    <w:p>
      <w:pPr>
        <w:spacing w:after="0" w:line="178"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We may be required to make contingent or deferred payments to collaborators or in connection with acquisitions and in-licenses of technology. Such payments may have an adverse impact on our business, financial condition, results of operations and prospects.</w:t>
      </w:r>
    </w:p>
    <w:p>
      <w:pPr>
        <w:spacing w:after="0" w:line="51"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We have entered into, and may in the future enter into, collaborations, acquisitions and in-licensing arrangements that contemplate contingent or deferred payments. In the event we are deemed to have achieved certain milestones in connection with such contingent or deferred payments, we may be required to pay such amounts in full or in part. For example, if certain contingencies are satisfied, we may be required to make a payment of up to $ 30.0 million to the former shareholders of Rahko Limited, or Rahko, a company we acquired in 2021. Additionally, upon the achievement of certain development, commercial, regulatory and sale milestones for each of our NLRP1 and MDA5 programs, we may be required to pay up to $30.0 million in contingent payments once for each such program to the former members of IFM Discovery, LLC, or IFM, a company we acquired in 2022. See the section of this prospectus titled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Operations—Contractual Obligations and Commitments</w:t>
      </w:r>
      <w:r>
        <w:rPr>
          <w:rFonts w:ascii="Arial" w:cs="Arial" w:eastAsia="Arial" w:hAnsi="Arial"/>
          <w:sz w:val="18"/>
          <w:szCs w:val="18"/>
          <w:color w:val="auto"/>
        </w:rPr>
        <w:t>”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our deferred consideration obligations. Contingent or deferred payments may have an adverse impact on our business, financial condition, results of operations and prospects.</w:t>
      </w:r>
    </w:p>
    <w:p>
      <w:pPr>
        <w:spacing w:after="0" w:line="182"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We may become subject to litigation, which could result in substantial costs and divert management’s attention and resources from our business.</w:t>
      </w:r>
    </w:p>
    <w:p>
      <w:pPr>
        <w:spacing w:after="0" w:line="31"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or otherwise, including claims related to employment matters, security of patient and employee personal data, product liability, intellectual property rights and contractual relations with current or past collaborators or licensors. For example, we and the former shareholders of Rahko may disagree about whether this offering satisfies the contractual prerequisites that would require us to make a substantial contingent consideration payment to them. In the event of a disagreement, the former Rahko shareholders could seek to recover for non-payment through litigation. See the section of this prospectus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Operations—Contractual Obligations and Commitments</w:t>
      </w:r>
      <w:r>
        <w:rPr>
          <w:rFonts w:ascii="Arial" w:cs="Arial" w:eastAsia="Arial" w:hAnsi="Arial"/>
          <w:sz w:val="18"/>
          <w:szCs w:val="18"/>
          <w:color w:val="auto"/>
        </w:rPr>
        <w:t>” for additional information regarding our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obligations.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spacing w:after="0" w:line="182" w:lineRule="exact"/>
        <w:rPr>
          <w:sz w:val="20"/>
          <w:szCs w:val="20"/>
          <w:color w:val="auto"/>
        </w:rPr>
      </w:pPr>
    </w:p>
    <w:p>
      <w:pPr>
        <w:ind w:left="120" w:right="340"/>
        <w:spacing w:after="0" w:line="278" w:lineRule="auto"/>
        <w:rPr>
          <w:sz w:val="20"/>
          <w:szCs w:val="20"/>
          <w:color w:val="auto"/>
        </w:rPr>
      </w:pPr>
      <w:r>
        <w:rPr>
          <w:rFonts w:ascii="Arial" w:cs="Arial" w:eastAsia="Arial" w:hAnsi="Arial"/>
          <w:sz w:val="18"/>
          <w:szCs w:val="18"/>
          <w:b w:val="1"/>
          <w:bCs w:val="1"/>
          <w:i w:val="1"/>
          <w:iCs w:val="1"/>
          <w:color w:val="auto"/>
        </w:rPr>
        <w:t>Our current operations are concentrated predominantly in three locations, and we or the third parties upon whom we depend may be adversely affected by natural or manmade disasters.</w:t>
      </w:r>
    </w:p>
    <w:p>
      <w:pPr>
        <w:spacing w:after="0" w:line="31"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color w:val="auto"/>
        </w:rPr>
        <w:t>Our current operations are concentrated predominantly in Boston, Massachusetts, Ann Arbor, Michigan and Frankfurt, Germany. Any unplanned event, such as a flood, explosion, extreme weather condition, epidemic or pandemic, power outage, telecommunications failure or other natural or manmade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contract research organizations, or CROs, or other third parties on whom we rely could cause delays in our clinical trials and may have a material and adverse effect on our ability to operate our business and have significant negative consequences on our financial condition, results of operations and prospects. If any such natural or manmade accidents or incidents occurred and prevented us from using our clinical sites, impacted clinical supply or the conduct of our clinical trials, damaged critical infrastructure, such as the manufacturing facilities of our third-party CMOs,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191" w:lineRule="exact"/>
        <w:rPr>
          <w:sz w:val="20"/>
          <w:szCs w:val="20"/>
          <w:color w:val="auto"/>
        </w:rPr>
      </w:pPr>
    </w:p>
    <w:p>
      <w:pPr>
        <w:jc w:val="both"/>
        <w:ind w:left="120" w:right="140"/>
        <w:spacing w:after="0" w:line="256" w:lineRule="auto"/>
        <w:rPr>
          <w:sz w:val="20"/>
          <w:szCs w:val="20"/>
          <w:color w:val="auto"/>
        </w:rPr>
      </w:pPr>
      <w:r>
        <w:rPr>
          <w:rFonts w:ascii="Arial" w:cs="Arial" w:eastAsia="Arial" w:hAnsi="Arial"/>
          <w:sz w:val="18"/>
          <w:szCs w:val="18"/>
          <w:b w:val="1"/>
          <w:bCs w:val="1"/>
          <w:i w:val="1"/>
          <w:iCs w:val="1"/>
          <w:color w:val="auto"/>
        </w:rPr>
        <w:t>Our artificial intelligence, or AI, and machine learning, or ML, platform leverages internal data as well as data from third parties. Defects in, or loss of access to, our databases or those of third parties may impair our ability to discover additional targets and develop our product candidates.</w:t>
      </w:r>
    </w:p>
    <w:p>
      <w:pPr>
        <w:spacing w:after="0" w:line="5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use our AI/ML platform to improve our target discovery programs by improving the hit finding and lead optimization process for our small molecule product candidates. Our AI/ML platform accesses third-party databases. If access to this data is lost or limited, or if this data becomes outdated,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p>
    <w:p>
      <w:pPr>
        <w:spacing w:after="0" w:line="7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proprietary software tools and data sets are inherently complex and may contain defects or errors. Errors may result from the interface of our hardware or proprietary software tools with our data or third-party systems and data. The risk of errors is particularly significant when new software or hardware is first introduced or when new versions or enhancements of existing software or hardware are implemented. Any errors, defects, disruptions or other performance problems with our software, hardware or data sets could hurt our ability to gather valuable insights that we intend to use to assist in developing our current and future product candidates and drive our drug discoveries. We outsource all of the core network infrastructure relating to our AI/ML platform to third-party hosting services. We have limited control, if any, over any of these third parties, and we cannot guarantee that such third-party providers will not experience system interruptions, outages or delays or deterioration in their performance.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w:t>
      </w:r>
    </w:p>
    <w:p>
      <w:pPr>
        <w:spacing w:after="0" w:line="7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Furthermore, the development and use of AI/ML present various privacy and security risks that may impact our business. AI/ML are subject to privacy and data security laws, as well as increasing regulation and scrutiny. For example, several jurisdictions around the globe, including Europe and certain U.S. states, have proposed, enacted or are considering laws governing the development and use of AI/ML. We expect other jurisdictions will adopt similar laws. Additionally, certain privacy laws extend rights to consumers (such as the right to delete certain personal data) and regulate automated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decision making, which may be incompatible with our use of AI/ML. These obligations may make it harder for us to conduct our business using AI/ML, lead to regulatory fines or penalties, require us to change our business practices or retrain our AI/ML or prevent or limit our use of AI/ML. For example, the Federal Trade Commission, or the FTC, has required other companies to turn over (or disgorge) valuable insights or trainings generated through the use of AI/ML where they allege the company has violated privacy and consumer protection laws. If we cannot use AI/ML or our use is restricted, our preclinical research and development programs may be less efficient, or we may be at a competitive disadvantage.</w:t>
      </w:r>
    </w:p>
    <w:p>
      <w:pPr>
        <w:spacing w:after="0" w:line="71"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The occurrence of any of these events could prevent us from leveraging our AI/ML capability and software to help us develop our product candidates more efficiently than existing industry tools and have a material adverse effect on our business, financial condition, results of operations or prospects.</w:t>
      </w:r>
    </w:p>
    <w:p>
      <w:pPr>
        <w:spacing w:after="0" w:line="171" w:lineRule="exact"/>
        <w:rPr>
          <w:sz w:val="20"/>
          <w:szCs w:val="20"/>
          <w:color w:val="auto"/>
        </w:rPr>
      </w:pPr>
    </w:p>
    <w:p>
      <w:pPr>
        <w:ind w:left="120" w:right="680"/>
        <w:spacing w:after="0" w:line="278" w:lineRule="auto"/>
        <w:rPr>
          <w:sz w:val="20"/>
          <w:szCs w:val="20"/>
          <w:color w:val="auto"/>
        </w:rPr>
      </w:pPr>
      <w:r>
        <w:rPr>
          <w:rFonts w:ascii="Arial" w:cs="Arial" w:eastAsia="Arial" w:hAnsi="Arial"/>
          <w:sz w:val="18"/>
          <w:szCs w:val="18"/>
          <w:b w:val="1"/>
          <w:bCs w:val="1"/>
          <w:i w:val="1"/>
          <w:iCs w:val="1"/>
          <w:color w:val="auto"/>
        </w:rPr>
        <w:t>Unfavorable global economic conditions, including any adverse macroeconomic conditions or geopolitical events, could adversely affect our business, financial condition, results of operations or prospects.</w:t>
      </w:r>
    </w:p>
    <w:p>
      <w:pPr>
        <w:spacing w:after="0" w:line="3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A severe or prolonged economic downturn, or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continued market volatility or a general economic downturn could cause our stock price to decline.</w:t>
      </w:r>
    </w:p>
    <w:p>
      <w:pPr>
        <w:spacing w:after="0" w:line="7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If any of the banks that hold our cash deposits were to be placed into receivership, we may be unable to access our cash and cash equivalents and short-term marketable securities, which would adversely affect our business. In addition, if any of the third parties on whom we rely to conduct certain aspects of our preclinical studies or clinical trials are unable to access funds through certain financial institutions, such parties’ ability to fulfill their obligations to us could be adversely affected.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Research, Development and Commercialization</w:t>
      </w:r>
    </w:p>
    <w:p>
      <w:pPr>
        <w:spacing w:after="0" w:line="106" w:lineRule="exact"/>
        <w:rPr>
          <w:sz w:val="20"/>
          <w:szCs w:val="20"/>
          <w:color w:val="auto"/>
        </w:rPr>
      </w:pPr>
    </w:p>
    <w:p>
      <w:pPr>
        <w:jc w:val="both"/>
        <w:ind w:left="120" w:right="120"/>
        <w:spacing w:after="0" w:line="256" w:lineRule="auto"/>
        <w:rPr>
          <w:sz w:val="20"/>
          <w:szCs w:val="20"/>
          <w:color w:val="auto"/>
        </w:rPr>
      </w:pPr>
      <w:r>
        <w:rPr>
          <w:rFonts w:ascii="Arial" w:cs="Arial" w:eastAsia="Arial" w:hAnsi="Arial"/>
          <w:sz w:val="18"/>
          <w:szCs w:val="18"/>
          <w:b w:val="1"/>
          <w:bCs w:val="1"/>
          <w:i w:val="1"/>
          <w:iCs w:val="1"/>
          <w:color w:val="auto"/>
        </w:rPr>
        <w:t>We are early in our development efforts and have only one product candidate currently in clinical development. We have never successfully completed any large-scale or pivotal clinical trials with our product candidates, and we may be unable to do so for any product candidates we develop.</w:t>
      </w:r>
    </w:p>
    <w:p>
      <w:pPr>
        <w:spacing w:after="0" w:line="51" w:lineRule="exact"/>
        <w:rPr>
          <w:sz w:val="20"/>
          <w:szCs w:val="20"/>
          <w:color w:val="auto"/>
        </w:rPr>
      </w:pPr>
    </w:p>
    <w:p>
      <w:pPr>
        <w:jc w:val="both"/>
        <w:ind w:left="120" w:right="100" w:firstLine="551"/>
        <w:spacing w:after="0" w:line="271" w:lineRule="auto"/>
        <w:rPr>
          <w:sz w:val="20"/>
          <w:szCs w:val="20"/>
          <w:color w:val="auto"/>
        </w:rPr>
      </w:pPr>
      <w:r>
        <w:rPr>
          <w:rFonts w:ascii="Arial" w:cs="Arial" w:eastAsia="Arial" w:hAnsi="Arial"/>
          <w:sz w:val="18"/>
          <w:szCs w:val="18"/>
          <w:color w:val="auto"/>
        </w:rPr>
        <w:t>We are in the early stages of our development efforts and have only one product candidate in clinical development. All of our other development programs are in the preclinical or drug discovery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stage. Odyssey has not yet successfully completed any large-scale or pivotal clinical trials, obtained regulatory approvals, manufactured a commercial scale product (or arranged for a third party to do so on our behalf) or conducted sales and marketing activities necessary for successful commercialization of any of our product candidates. Odyssey’s experience conducting clinical trials with its product candidates is limited. Aside from OD-07656, our product candidate currently in clinical development for the treatment of ulcerative colitis, or UC, which completed a Phase 1 clinical trial in the fourth quarter of 2024, all of our other development programs will need to progress through IND-enabling studies and receive authorization from the FDA or a comparable foreign regulatory authority to proceed under an IND, CTA or other submission prior to initiating clinical development. We may not be able to file INDs, CTAs or other submissions for any of our other product candidates on the timelines we expect, or at all. Even if we submit an IND, CTA or other submission for a product candidate, the FDA or a comparable foreign regulatory authority may not clear the IND, CTA or other submission and allow us to begin clinical trials in a timely manner or at all. The timing of submissions of INDs, CTAs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spacing w:after="0" w:line="80"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4"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post-marketing requirements;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required to have the product removed from the market after obtaining marketing approval.</w:t>
      </w:r>
    </w:p>
    <w:p>
      <w:pPr>
        <w:spacing w:after="0" w:line="214" w:lineRule="exact"/>
        <w:rPr>
          <w:sz w:val="20"/>
          <w:szCs w:val="20"/>
          <w:color w:val="auto"/>
        </w:rPr>
      </w:pPr>
    </w:p>
    <w:p>
      <w:pPr>
        <w:jc w:val="both"/>
        <w:ind w:left="120" w:right="960"/>
        <w:spacing w:after="0" w:line="256"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p>
    <w:p>
      <w:pPr>
        <w:spacing w:after="0" w:line="51"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All of our product candidates are either in preclinical or early clinical development. The risk that our product candidates fail to successfully proceed through clinical development is high. We expect it will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Commencing any future clinical trials is subject to finalizing the trial design and submitting an application to the FDA or a comparable foreign regulatory authority. Even after we make our submission, the FDA or comparable foreign regulatory authority could disagree that we have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satisfied their requirements to commence our clinical trials or disagree with our trial design, which may require us to complete additional studies or trials, amend our protocols or impose stricter conditions on the commencement of clinical trials.</w:t>
      </w:r>
    </w:p>
    <w:p>
      <w:pPr>
        <w:spacing w:after="0" w:line="46"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spacing w:after="0" w:line="79" w:lineRule="exact"/>
        <w:rPr>
          <w:sz w:val="20"/>
          <w:szCs w:val="20"/>
          <w:color w:val="auto"/>
        </w:rPr>
      </w:pPr>
    </w:p>
    <w:p>
      <w:pPr>
        <w:ind w:left="880" w:right="540" w:hanging="224"/>
        <w:spacing w:after="0" w:line="24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such as the FDA or comparable foreign regulatory authorities,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spacing w:after="0" w:line="79" w:lineRule="exact"/>
        <w:rPr>
          <w:rFonts w:ascii="Arial" w:cs="Arial" w:eastAsia="Arial" w:hAnsi="Arial"/>
          <w:sz w:val="18"/>
          <w:szCs w:val="18"/>
          <w:color w:val="auto"/>
        </w:rPr>
      </w:pPr>
    </w:p>
    <w:p>
      <w:pPr>
        <w:ind w:left="880" w:right="480" w:hanging="224"/>
        <w:spacing w:after="0" w:line="271"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trial sites and CROs, the terms of which can be subject to extensive negotiation and may vary significantly;</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880" w:right="120" w:hanging="224"/>
        <w:spacing w:after="0" w:line="301"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36" w:lineRule="exact"/>
        <w:rPr>
          <w:rFonts w:ascii="Arial" w:cs="Arial" w:eastAsia="Arial" w:hAnsi="Arial"/>
          <w:sz w:val="17"/>
          <w:szCs w:val="17"/>
          <w:color w:val="auto"/>
        </w:rPr>
      </w:pPr>
    </w:p>
    <w:p>
      <w:pPr>
        <w:ind w:left="880" w:hanging="224"/>
        <w:spacing w:after="0" w:line="25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 or we may have insufficient funds for a clinical trial or to pay the substantial user fees required by the FDA upon the submission of a biologic license application, or BLA, or new drug application, or NDA;</w:t>
      </w:r>
    </w:p>
    <w:p>
      <w:pPr>
        <w:spacing w:after="0" w:line="74"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or quantity of data relating to our product candidates or other materials necessary to conduct our clinical trials may be inadequate to initiate or complete a given clinical trial;</w:t>
      </w:r>
    </w:p>
    <w:p>
      <w:pPr>
        <w:spacing w:after="0" w:line="59" w:lineRule="exact"/>
        <w:rPr>
          <w:rFonts w:ascii="Arial" w:cs="Arial" w:eastAsia="Arial" w:hAnsi="Arial"/>
          <w:sz w:val="18"/>
          <w:szCs w:val="18"/>
          <w:color w:val="auto"/>
        </w:rPr>
      </w:pPr>
    </w:p>
    <w:p>
      <w:pPr>
        <w:ind w:left="880" w:right="280" w:hanging="224"/>
        <w:spacing w:after="0" w:line="271"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from clinical testing of other therapies may raise safety, tolerability or efficacy concerns about our product candidates; and</w:t>
      </w:r>
    </w:p>
    <w:p>
      <w:pPr>
        <w:spacing w:after="0" w:line="59" w:lineRule="exact"/>
        <w:rPr>
          <w:rFonts w:ascii="Arial" w:cs="Arial" w:eastAsia="Arial" w:hAnsi="Arial"/>
          <w:sz w:val="18"/>
          <w:szCs w:val="18"/>
          <w:color w:val="auto"/>
        </w:rPr>
      </w:pPr>
    </w:p>
    <w:p>
      <w:pPr>
        <w:ind w:left="880" w:right="340" w:hanging="224"/>
        <w:spacing w:after="0" w:line="25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61"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We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68" w:lineRule="exact"/>
        <w:rPr>
          <w:sz w:val="20"/>
          <w:szCs w:val="20"/>
          <w:color w:val="auto"/>
        </w:rPr>
      </w:pPr>
    </w:p>
    <w:p>
      <w:pPr>
        <w:ind w:left="120" w:right="180" w:firstLine="551"/>
        <w:spacing w:after="0" w:line="259" w:lineRule="auto"/>
        <w:rPr>
          <w:sz w:val="20"/>
          <w:szCs w:val="20"/>
          <w:color w:val="auto"/>
        </w:rPr>
      </w:pPr>
      <w:r>
        <w:rPr>
          <w:rFonts w:ascii="Arial" w:cs="Arial" w:eastAsia="Arial" w:hAnsi="Arial"/>
          <w:sz w:val="17"/>
          <w:szCs w:val="17"/>
          <w:color w:val="auto"/>
        </w:rPr>
        <w:t>We could also encounter delays if a clinical trial is suspended, put on clinical hold or terminated by us, the IRBs of the institutions where such trials are being conducted, the FDA or comparable foreign regulatory authorities, or if a clinical trial is recommended for suspension or termination by a data safety monitoring board or data monitoring committee, or DSMB, for such trial. A suspension or termination may be imposed due to a number of factors, including failure to conduct the clinical trial in accordance with regulatory requirements or our clinical protocols, failure by our CROs to perform in accordance with good clinical practices, or GCPs, or applicable regulatory guidelines in other countries, inspection of the clinical trial operations or trial site by the FDA or comparable foreign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77"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the need to obtain agreement from multiple parties and may increase our future costs and expenses.</w:t>
      </w:r>
    </w:p>
    <w:p>
      <w:pPr>
        <w:spacing w:after="0" w:line="66"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181"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or obtain limited regulatory approval, our business will be substantially harmed.</w:t>
      </w:r>
    </w:p>
    <w:p>
      <w:pPr>
        <w:spacing w:after="0" w:line="51"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 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spacing w:after="0" w:line="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Odyssey has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BLA from the FDA or similar marketing application in another jurisdiction. The FDA and other comparable foreign regulatory authorities may delay, limit or deny approval of our product candidates for many reasons, including:</w:t>
      </w:r>
    </w:p>
    <w:p>
      <w:pPr>
        <w:spacing w:after="0" w:line="90" w:lineRule="exact"/>
        <w:rPr>
          <w:sz w:val="20"/>
          <w:szCs w:val="20"/>
          <w:color w:val="auto"/>
        </w:rPr>
      </w:pPr>
    </w:p>
    <w:p>
      <w:pPr>
        <w:ind w:left="880" w:right="180" w:hanging="224"/>
        <w:spacing w:after="0" w:line="271"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or other comparable foreign regulatory authorities that any of our product candidates are safe and effective for any indication;</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700" w:hanging="224"/>
        <w:spacing w:after="0" w:line="27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or comparable foreign regulatory authorities for approval;</w:t>
      </w:r>
    </w:p>
    <w:p>
      <w:pPr>
        <w:spacing w:after="0" w:line="59"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implementation of our clinical trials;</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find the data from preclinical studies and clinical trials sufficient to demonstrate that the benefits of any of our product candidates outweigh their safety risks;</w:t>
      </w:r>
    </w:p>
    <w:p>
      <w:pPr>
        <w:spacing w:after="0" w:line="59"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 or may not accept data generated at our clinical trial sites;</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any of our product candidates may not be sufficient to support the submission of an IND, CTA or other application for regulatory approval;</w:t>
      </w:r>
    </w:p>
    <w:p>
      <w:pPr>
        <w:spacing w:after="0" w:line="59" w:lineRule="exact"/>
        <w:rPr>
          <w:rFonts w:ascii="Arial" w:cs="Arial" w:eastAsia="Arial" w:hAnsi="Arial"/>
          <w:sz w:val="18"/>
          <w:szCs w:val="18"/>
          <w:color w:val="auto"/>
        </w:rPr>
      </w:pPr>
    </w:p>
    <w:p>
      <w:pPr>
        <w:ind w:left="880" w:right="220" w:hanging="224"/>
        <w:spacing w:after="0" w:line="25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4" w:lineRule="exact"/>
        <w:rPr>
          <w:rFonts w:ascii="Arial" w:cs="Arial" w:eastAsia="Arial" w:hAnsi="Arial"/>
          <w:sz w:val="18"/>
          <w:szCs w:val="18"/>
          <w:color w:val="auto"/>
        </w:rPr>
      </w:pPr>
    </w:p>
    <w:p>
      <w:pPr>
        <w:ind w:left="880" w:right="160" w:hanging="224"/>
        <w:spacing w:after="0" w:line="301"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and foreign regulatory authorities may require a risk management plan, or RMP, as a condition of approval for new products, among other additional requirements;</w:t>
      </w:r>
    </w:p>
    <w:p>
      <w:pPr>
        <w:spacing w:after="0" w:line="36" w:lineRule="exact"/>
        <w:rPr>
          <w:rFonts w:ascii="Arial" w:cs="Arial" w:eastAsia="Arial" w:hAnsi="Arial"/>
          <w:sz w:val="17"/>
          <w:szCs w:val="17"/>
          <w:color w:val="auto"/>
        </w:rPr>
      </w:pPr>
    </w:p>
    <w:p>
      <w:pPr>
        <w:ind w:left="880" w:right="400" w:hanging="224"/>
        <w:spacing w:after="0" w:line="27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the manufacturing processes or facilities of third-party manufacturers with which we enter into agreements for clinical and commercial supplies;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 and</w:t>
      </w:r>
    </w:p>
    <w:p>
      <w:pPr>
        <w:spacing w:after="0" w:line="117" w:lineRule="exact"/>
        <w:rPr>
          <w:rFonts w:ascii="Arial" w:cs="Arial" w:eastAsia="Arial" w:hAnsi="Arial"/>
          <w:sz w:val="18"/>
          <w:szCs w:val="18"/>
          <w:color w:val="auto"/>
        </w:rPr>
      </w:pPr>
    </w:p>
    <w:p>
      <w:pPr>
        <w:ind w:left="880" w:right="380" w:hanging="224"/>
        <w:spacing w:after="0" w:line="25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simultaneous approval for both adults and for children and adolescents, which may delay approval, or we may have successful clinical trial results for adults but not children and adolescents, or vice versa.</w:t>
      </w:r>
    </w:p>
    <w:p>
      <w:pPr>
        <w:spacing w:after="0" w:line="61"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p>
    <w:p>
      <w:pPr>
        <w:spacing w:after="0" w:line="77"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RMP or comparable foreign risk management approaches. The FDA or comparable foreign regulatory authorities may not accept the labeling claims that we believe would be necessary or desirable for the successful commercialization of our product candidates.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p>
    <w:p>
      <w:pPr>
        <w:spacing w:after="0" w:line="6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also subject to numerous foreign regulatory requirements governing the conduct of clinical trials, manufacturing and marketing authorization, pricing and third-party reimbursement, and may in the future become subject to additional ones.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87" w:lineRule="exact"/>
        <w:rPr>
          <w:sz w:val="20"/>
          <w:szCs w:val="20"/>
          <w:color w:val="auto"/>
        </w:rPr>
      </w:pPr>
    </w:p>
    <w:p>
      <w:pPr>
        <w:ind w:left="120" w:right="160"/>
        <w:spacing w:after="0" w:line="309" w:lineRule="auto"/>
        <w:rPr>
          <w:sz w:val="20"/>
          <w:szCs w:val="20"/>
          <w:color w:val="auto"/>
        </w:rPr>
      </w:pPr>
      <w:r>
        <w:rPr>
          <w:rFonts w:ascii="Arial" w:cs="Arial" w:eastAsia="Arial" w:hAnsi="Arial"/>
          <w:sz w:val="17"/>
          <w:szCs w:val="17"/>
          <w:b w:val="1"/>
          <w:bCs w:val="1"/>
          <w:i w:val="1"/>
          <w:iCs w:val="1"/>
          <w:color w:val="auto"/>
        </w:rPr>
        <w:t>If we encounter difficulties enrolling patients in clinical trials, our clinical development activities could be delayed or otherwise adversely affected, which could adversely affect our business, financial condition, results of operations and prospects.</w:t>
      </w:r>
    </w:p>
    <w:p>
      <w:pPr>
        <w:spacing w:after="0" w:line="8"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82"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eligibility criteria for the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clinical protocol;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 combination study with another product, the ability of such product to be used as a combination therapy;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the administration of our product candidates or trial completion;</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competing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new drugs approved for the indication the clinical trial is investigating;</w:t>
      </w:r>
    </w:p>
    <w:p>
      <w:pPr>
        <w:spacing w:after="0" w:line="117" w:lineRule="exact"/>
        <w:rPr>
          <w:rFonts w:ascii="Arial" w:cs="Arial" w:eastAsia="Arial" w:hAnsi="Arial"/>
          <w:sz w:val="18"/>
          <w:szCs w:val="18"/>
          <w:color w:val="auto"/>
        </w:rPr>
      </w:pPr>
    </w:p>
    <w:p>
      <w:pPr>
        <w:ind w:left="880" w:right="680" w:hanging="224"/>
        <w:spacing w:after="0" w:line="27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being studied in relation to other available therapies; and</w:t>
      </w:r>
    </w:p>
    <w:p>
      <w:pPr>
        <w:spacing w:after="0" w:line="59" w:lineRule="exact"/>
        <w:rPr>
          <w:rFonts w:ascii="Arial" w:cs="Arial" w:eastAsia="Arial" w:hAnsi="Arial"/>
          <w:sz w:val="18"/>
          <w:szCs w:val="18"/>
          <w:color w:val="auto"/>
        </w:rPr>
      </w:pPr>
    </w:p>
    <w:p>
      <w:pPr>
        <w:ind w:left="880" w:right="400" w:hanging="224"/>
        <w:spacing w:after="0" w:line="301"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factors outside of our control, such as the effects of global economic conditions and volatility in the credit and financial markets, inflationary pressures, the Russian invasion of Ukraine, the Israel-Hamas war and other geopolitical conditions.</w:t>
      </w:r>
    </w:p>
    <w:p>
      <w:pPr>
        <w:spacing w:after="0" w:line="23"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For example, we currently plan to enroll a small number of patients in our Phase 2a signal seeking trial for OD-07656 at a single site in Ukraine, in addition to sites in Australia and other countries. To the extent the conflict between Ukraine and Russia, political unrest, unstable economic</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conditions or other events adversely impact our ability to enroll patients or complete enrollments in process or adversely impacts the ability of our suppliers to produce and distribute the supplies we need for our OD-07656 Phase 2a clinical trial in those regions, we may be required to enroll patients at other sites which could increase the cost or delay the timing for completing such trial.</w:t>
      </w:r>
    </w:p>
    <w:p>
      <w:pPr>
        <w:spacing w:after="0" w:line="6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spacing w:after="0" w:line="72" w:lineRule="exact"/>
        <w:rPr>
          <w:sz w:val="20"/>
          <w:szCs w:val="20"/>
          <w:color w:val="auto"/>
        </w:rPr>
      </w:pPr>
    </w:p>
    <w:p>
      <w:pPr>
        <w:jc w:val="both"/>
        <w:ind w:left="120" w:right="360" w:firstLine="551"/>
        <w:spacing w:after="0" w:line="244" w:lineRule="auto"/>
        <w:rPr>
          <w:sz w:val="20"/>
          <w:szCs w:val="20"/>
          <w:color w:val="auto"/>
        </w:rPr>
      </w:pPr>
      <w:r>
        <w:rPr>
          <w:rFonts w:ascii="Arial" w:cs="Arial" w:eastAsia="Arial" w:hAnsi="Arial"/>
          <w:sz w:val="18"/>
          <w:szCs w:val="18"/>
          <w:color w:val="auto"/>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ind w:left="120" w:right="160"/>
        <w:spacing w:after="0" w:line="249" w:lineRule="auto"/>
        <w:rPr>
          <w:sz w:val="20"/>
          <w:szCs w:val="20"/>
          <w:color w:val="auto"/>
        </w:rPr>
      </w:pPr>
      <w:r>
        <w:rPr>
          <w:rFonts w:ascii="Arial" w:cs="Arial" w:eastAsia="Arial" w:hAnsi="Arial"/>
          <w:sz w:val="18"/>
          <w:szCs w:val="18"/>
          <w:b w:val="1"/>
          <w:bCs w:val="1"/>
          <w:i w:val="1"/>
          <w:iCs w:val="1"/>
          <w:color w:val="auto"/>
        </w:rPr>
        <w:t>Positive results from preclinical studies and early clinical trials of our current or future product candidates are not necessarily predictive of the results of later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5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current RIPK2 Phase 2a development plans utilize an “open-label” trial design and we may utilize this for future clinical trials for this or future product candidates. An “open-label” clinical trial is one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82"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72"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6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value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or prospects.</w:t>
      </w:r>
    </w:p>
    <w:p>
      <w:pPr>
        <w:spacing w:after="0" w:line="182" w:lineRule="exact"/>
        <w:rPr>
          <w:sz w:val="20"/>
          <w:szCs w:val="20"/>
          <w:color w:val="auto"/>
        </w:rPr>
      </w:pPr>
    </w:p>
    <w:p>
      <w:pPr>
        <w:ind w:left="120" w:right="80"/>
        <w:spacing w:after="0" w:line="249" w:lineRule="auto"/>
        <w:rPr>
          <w:sz w:val="20"/>
          <w:szCs w:val="20"/>
          <w:color w:val="auto"/>
        </w:rPr>
      </w:pPr>
      <w:r>
        <w:rPr>
          <w:rFonts w:ascii="Arial" w:cs="Arial" w:eastAsia="Arial" w:hAnsi="Arial"/>
          <w:sz w:val="18"/>
          <w:szCs w:val="18"/>
          <w:b w:val="1"/>
          <w:bCs w:val="1"/>
          <w:i w:val="1"/>
          <w:iCs w:val="1"/>
          <w:color w:val="auto"/>
        </w:rPr>
        <w:t>Our approach to clinical development relies on developing product candidates across a number of inflammatory diseases. We may not be successful in our efforts to discover additional product candidates or 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57"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Given our broad approach seeking to identify multiple novel targets in a wide variety of indications, we will need to carefully allocate our limited financial and managerial resources among our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5" w:lineRule="exact"/>
        <w:rPr>
          <w:sz w:val="20"/>
          <w:szCs w:val="20"/>
          <w:color w:val="auto"/>
        </w:rPr>
      </w:pPr>
    </w:p>
    <w:p>
      <w:pPr>
        <w:ind w:left="120" w:right="160"/>
        <w:spacing w:after="0" w:line="278" w:lineRule="auto"/>
        <w:rPr>
          <w:sz w:val="20"/>
          <w:szCs w:val="20"/>
          <w:color w:val="auto"/>
        </w:rPr>
      </w:pPr>
      <w:r>
        <w:rPr>
          <w:rFonts w:ascii="Arial" w:cs="Arial" w:eastAsia="Arial" w:hAnsi="Arial"/>
          <w:sz w:val="18"/>
          <w:szCs w:val="18"/>
          <w:b w:val="1"/>
          <w:bCs w:val="1"/>
          <w:i w:val="1"/>
          <w:iCs w:val="1"/>
          <w:color w:val="auto"/>
        </w:rPr>
        <w:t>If our product candidates, if approved, do not achieve broad market acceptance, the revenue that we generate from their sales will be limited.</w:t>
      </w:r>
    </w:p>
    <w:p>
      <w:pPr>
        <w:spacing w:after="0" w:line="31" w:lineRule="exact"/>
        <w:rPr>
          <w:sz w:val="20"/>
          <w:szCs w:val="20"/>
          <w:color w:val="auto"/>
        </w:rPr>
      </w:pPr>
    </w:p>
    <w:p>
      <w:pPr>
        <w:ind w:left="120" w:right="20" w:firstLine="551"/>
        <w:spacing w:after="0" w:line="259" w:lineRule="auto"/>
        <w:rPr>
          <w:sz w:val="20"/>
          <w:szCs w:val="20"/>
          <w:color w:val="auto"/>
        </w:rPr>
      </w:pPr>
      <w:r>
        <w:rPr>
          <w:rFonts w:ascii="Arial" w:cs="Arial" w:eastAsia="Arial" w:hAnsi="Arial"/>
          <w:sz w:val="17"/>
          <w:szCs w:val="17"/>
          <w:color w:val="auto"/>
        </w:rPr>
        <w:t>We are currently developing product candidates targeting inflammatory bowel disease, or IBD, and a number of autoimmune diseases, including atopic dermatitis, or AD. In the future, we may develop additional product candidates targeting a range of other inflammatory and autoimmune diseases. However, Odyssey has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57"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The degree of market acceptance of any of our product candidates will depend on a number of factors, some of which are beyond our control, including:</w:t>
      </w:r>
    </w:p>
    <w:p>
      <w:pPr>
        <w:spacing w:after="0" w:line="59" w:lineRule="exact"/>
        <w:rPr>
          <w:sz w:val="20"/>
          <w:szCs w:val="20"/>
          <w:color w:val="auto"/>
        </w:rPr>
      </w:pPr>
    </w:p>
    <w:p>
      <w:pPr>
        <w:ind w:left="880" w:right="22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safety, side effect profile, efficacy, tolerability, cost and ease of administration of our product candidates and any approved products we use as part of a combination treatment, if any;</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approved claims that we may make for the products;</w:t>
      </w:r>
    </w:p>
    <w:p>
      <w:pPr>
        <w:spacing w:after="0" w:line="117" w:lineRule="exact"/>
        <w:rPr>
          <w:rFonts w:ascii="Arial" w:cs="Arial" w:eastAsia="Arial" w:hAnsi="Arial"/>
          <w:sz w:val="18"/>
          <w:szCs w:val="18"/>
          <w:color w:val="auto"/>
        </w:rPr>
      </w:pPr>
    </w:p>
    <w:p>
      <w:pPr>
        <w:ind w:left="880" w:right="36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spacing w:after="0" w:line="59" w:lineRule="exact"/>
        <w:rPr>
          <w:rFonts w:ascii="Arial" w:cs="Arial" w:eastAsia="Arial" w:hAnsi="Arial"/>
          <w:sz w:val="18"/>
          <w:szCs w:val="18"/>
          <w:color w:val="auto"/>
        </w:rPr>
      </w:pPr>
    </w:p>
    <w:p>
      <w:pPr>
        <w:ind w:left="880" w:right="20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such product candidates or to which we agree as part of a mandatory REMS or RMP or voluntary risk management plan;</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117"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117"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of, and availability of, alternative treatments already used or that may later be approved for any of our intended indications;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reluctance of physicians to switch their patients’ current standard of care;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5"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about our product or favorable publicity about competitive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81"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b w:val="1"/>
          <w:bCs w:val="1"/>
          <w:i w:val="1"/>
          <w:iCs w:val="1"/>
          <w:color w:val="auto"/>
        </w:rPr>
        <w:t>The market opportunities for our product candidates and forecasts of market growth may not be accurate, and the actual market for our product candidates may be smaller than we estimate. Even if the markets in which we compete achieve the forecasted growth, our business may not grow at similar rates, or at all.</w:t>
      </w:r>
    </w:p>
    <w:p>
      <w:pPr>
        <w:spacing w:after="0" w:line="5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p>
    <w:p>
      <w:pPr>
        <w:spacing w:after="0" w:line="190"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31" w:lineRule="exact"/>
        <w:rPr>
          <w:sz w:val="20"/>
          <w:szCs w:val="20"/>
          <w:color w:val="auto"/>
        </w:rPr>
      </w:pPr>
    </w:p>
    <w:p>
      <w:pPr>
        <w:ind w:left="120" w:right="300" w:firstLine="551"/>
        <w:spacing w:after="0" w:line="244" w:lineRule="auto"/>
        <w:rPr>
          <w:sz w:val="20"/>
          <w:szCs w:val="20"/>
          <w:color w:val="auto"/>
        </w:rPr>
      </w:pPr>
      <w:r>
        <w:rPr>
          <w:rFonts w:ascii="Arial" w:cs="Arial" w:eastAsia="Arial" w:hAnsi="Arial"/>
          <w:sz w:val="18"/>
          <w:szCs w:val="18"/>
          <w:color w:val="auto"/>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68" w:lineRule="exact"/>
        <w:rPr>
          <w:sz w:val="20"/>
          <w:szCs w:val="20"/>
          <w:color w:val="auto"/>
        </w:rPr>
      </w:pPr>
    </w:p>
    <w:p>
      <w:pPr>
        <w:jc w:val="both"/>
        <w:ind w:left="120" w:right="320" w:firstLine="551"/>
        <w:spacing w:after="0" w:line="253" w:lineRule="auto"/>
        <w:rPr>
          <w:sz w:val="20"/>
          <w:szCs w:val="20"/>
          <w:color w:val="auto"/>
        </w:rPr>
      </w:pPr>
      <w:r>
        <w:rPr>
          <w:rFonts w:ascii="Arial" w:cs="Arial" w:eastAsia="Arial" w:hAnsi="Arial"/>
          <w:sz w:val="18"/>
          <w:szCs w:val="18"/>
          <w:color w:val="auto"/>
        </w:rPr>
        <w:t>Many of our competitors have significantly greater financial, technical, manufacturing, supply, marketing and sales resources or experience than we have. If we obtain regulatory approval for any product candidate, we will face competition based on many different factors, including the safety and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effectiveness of our current or any future product candidates, the ease with which our current or any future product candidates can be administered,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185"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programs may be delayed and our expenses may increase and, as a result, our stock price may decline.</w:t>
      </w:r>
    </w:p>
    <w:p>
      <w:pPr>
        <w:spacing w:after="0" w:line="3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182" w:lineRule="exact"/>
        <w:rPr>
          <w:sz w:val="20"/>
          <w:szCs w:val="20"/>
          <w:color w:val="auto"/>
        </w:rPr>
      </w:pPr>
    </w:p>
    <w:p>
      <w:pPr>
        <w:jc w:val="both"/>
        <w:ind w:left="120" w:right="320"/>
        <w:spacing w:after="0" w:line="249" w:lineRule="auto"/>
        <w:rPr>
          <w:sz w:val="20"/>
          <w:szCs w:val="20"/>
          <w:color w:val="auto"/>
        </w:rPr>
      </w:pPr>
      <w:r>
        <w:rPr>
          <w:rFonts w:ascii="Arial" w:cs="Arial" w:eastAsia="Arial" w:hAnsi="Arial"/>
          <w:sz w:val="18"/>
          <w:szCs w:val="18"/>
          <w:b w:val="1"/>
          <w:bCs w:val="1"/>
          <w:i w:val="1"/>
          <w:iCs w:val="1"/>
          <w:color w:val="auto"/>
        </w:rPr>
        <w:t>Use of our product candidates could be associated with side effects, adverse events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financial condition and prospects.</w:t>
      </w:r>
    </w:p>
    <w:p>
      <w:pPr>
        <w:spacing w:after="0" w:line="5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Before obtaining regulatory approvals for the commercial sale of any of our product candidates, we must demonstrate through lengthy, complex and expensive preclinical studies and clinical trials that our current product candidates, including our lead product candidates, and any future product candidate are both safe, pure and potent and effective for use in such product candidate’s target indication. Clinical testing is expensive, can take many years to complete and its outcome is inherently uncertain. Failure can occur at any time during the clinical trial process.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p>
    <w:p>
      <w:pPr>
        <w:spacing w:after="0" w:line="72"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p>
    <w:p>
      <w:pPr>
        <w:spacing w:after="0" w:line="6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preclinical studies or previous clinical trials. For example, while no serious adverse effects, or SAEs, have been observed to date, OD-07656 has only been tested in healthy volunteers and has not yet been tested in patients with IBD. It is possible that human subjects with IBD may experience greater side effects in our clinical program for OD-07656 than observed in healthy volunteers.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impact the success of our clinical trials.</w:t>
      </w:r>
    </w:p>
    <w:p>
      <w:pPr>
        <w:spacing w:after="0" w:line="7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results of operations and prospects.</w:t>
      </w:r>
    </w:p>
    <w:p>
      <w:pPr>
        <w:spacing w:after="0" w:line="68"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w:t>
      </w:r>
    </w:p>
    <w:p>
      <w:pPr>
        <w:spacing w:after="0" w:line="84"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from the marketplace,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or change their approvals of that product;</w:t>
      </w:r>
    </w:p>
    <w:p>
      <w:pPr>
        <w:spacing w:after="0" w:line="117" w:lineRule="exact"/>
        <w:rPr>
          <w:rFonts w:ascii="Arial" w:cs="Arial" w:eastAsia="Arial" w:hAnsi="Arial"/>
          <w:sz w:val="18"/>
          <w:szCs w:val="18"/>
          <w:color w:val="auto"/>
        </w:rPr>
      </w:pPr>
    </w:p>
    <w:p>
      <w:pPr>
        <w:jc w:val="both"/>
        <w:ind w:left="880" w:right="40" w:hanging="224"/>
        <w:spacing w:after="0" w:line="25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74"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the product for patients, or to conduct post-marketing studies;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17" w:lineRule="exact"/>
        <w:rPr>
          <w:rFonts w:ascii="Arial" w:cs="Arial" w:eastAsia="Arial" w:hAnsi="Arial"/>
          <w:sz w:val="18"/>
          <w:szCs w:val="18"/>
          <w:color w:val="auto"/>
        </w:rPr>
      </w:pPr>
    </w:p>
    <w:p>
      <w:pPr>
        <w:ind w:left="880" w:right="580" w:hanging="224"/>
        <w:spacing w:after="0" w:line="271"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be sued and held liable for harm caused to subjects or patients;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04"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Changes in product candidate manufacturing, formulation or analytical methods may result in additional costs or delay, which could adversely affect our business, financial condition, results of operations and prospects.</w:t>
      </w:r>
    </w:p>
    <w:p>
      <w:pPr>
        <w:spacing w:after="0" w:line="3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product candidates are developed through preclinical studies to later-stage clinical trials toward approval and future commercialization, it is common that various aspects of the development program, such as manufacturing methods, formulation or analytical methods, are altered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spacing w:after="0" w:line="182"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including in China and Ukraine, and seeking to market our product candidates internationally, could materially adversely affect our business, financial condition, results of operations and prospects.</w:t>
      </w:r>
    </w:p>
    <w:p>
      <w:pPr>
        <w:spacing w:after="0" w:line="51" w:lineRule="exact"/>
        <w:rPr>
          <w:sz w:val="20"/>
          <w:szCs w:val="20"/>
          <w:color w:val="auto"/>
        </w:rPr>
      </w:pPr>
    </w:p>
    <w:p>
      <w:pPr>
        <w:ind w:left="120" w:right="380" w:firstLine="551"/>
        <w:spacing w:after="0" w:line="253" w:lineRule="auto"/>
        <w:rPr>
          <w:sz w:val="20"/>
          <w:szCs w:val="20"/>
          <w:color w:val="auto"/>
        </w:rPr>
      </w:pPr>
      <w:r>
        <w:rPr>
          <w:rFonts w:ascii="Arial" w:cs="Arial" w:eastAsia="Arial" w:hAnsi="Arial"/>
          <w:sz w:val="18"/>
          <w:szCs w:val="18"/>
          <w:color w:val="auto"/>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74"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standards with respect to data integrity;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standards and privacy requirements for the conduct of clinical trials;</w:t>
      </w:r>
    </w:p>
    <w:p>
      <w:pPr>
        <w:spacing w:after="0" w:line="117" w:lineRule="exact"/>
        <w:rPr>
          <w:rFonts w:ascii="Arial" w:cs="Arial" w:eastAsia="Arial" w:hAnsi="Arial"/>
          <w:sz w:val="18"/>
          <w:szCs w:val="18"/>
          <w:color w:val="auto"/>
        </w:rPr>
      </w:pPr>
    </w:p>
    <w:p>
      <w:pPr>
        <w:ind w:left="880" w:right="60" w:hanging="224"/>
        <w:spacing w:after="0" w:line="27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to the patient at the relevant trial site abroad;</w:t>
      </w:r>
    </w:p>
    <w:p>
      <w:pPr>
        <w:spacing w:after="0" w:line="59" w:lineRule="exact"/>
        <w:rPr>
          <w:rFonts w:ascii="Arial" w:cs="Arial" w:eastAsia="Arial" w:hAnsi="Arial"/>
          <w:sz w:val="18"/>
          <w:szCs w:val="18"/>
          <w:color w:val="auto"/>
        </w:rPr>
      </w:pPr>
    </w:p>
    <w:p>
      <w:pPr>
        <w:ind w:left="880" w:right="280" w:hanging="224"/>
        <w:spacing w:after="0" w:line="25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imposition of new laws and regulations, including those relating to labor conditions, quality, and safety standards, imports, duties, taxes, and other charges on imports, as well as trade restrictions, tariffs and restrictions on currency exchange or the transfer of funds;</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right="280" w:hanging="224"/>
        <w:spacing w:after="0" w:line="27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staffing, workforce uncertainty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the FCPA, or comparable foreign regulations;</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300" w:hanging="224"/>
        <w:spacing w:after="0" w:line="27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with obtaining any local supply of drugs or agents used with our product candidates, which are required by certain local clinical trial sites before conducting any study;</w:t>
      </w:r>
    </w:p>
    <w:p>
      <w:pPr>
        <w:spacing w:after="0" w:line="59"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health epidemics or pandemics, or natural or man-made disasters, including earthquakes, tsunamis, fires, medical epidemics or geo-political developments, including war and terrorism;</w:t>
      </w:r>
    </w:p>
    <w:p>
      <w:pPr>
        <w:spacing w:after="0" w:line="59"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observe local or international GCPs, including data integrity, rules leading to rejection of safety or effectiveness data by drug regulatory authorities;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observe local data privacy or security rules leading to prohibitions on data transfer.</w:t>
      </w:r>
    </w:p>
    <w:p>
      <w:pPr>
        <w:spacing w:after="0" w:line="104"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For example, our Phase 1 healthy volunteer trial for OD-07656 was conducted in Australia and we currently plan to enroll a small number of patients in our Phase 2a signal seeking trial for OD-07656 at a single site in Ukraine, in addition to sites in Australia and other countries. To the extent the conflict between Ukraine and Russia, political unrest, unstable economic conditions or other events adversely impact our ability to enroll patients or complete enrollments in process or adversely impact the ability of our suppliers to produce and distribute the supplies we need for our OD-07656 Phase 2a clinical trial in those regions, we may be required to enroll patients at other sites which could increase the cost or delay the timing for completing such trial.</w:t>
      </w:r>
    </w:p>
    <w:p>
      <w:pPr>
        <w:spacing w:after="0" w:line="7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also engaged CROs in China and Ukraine to assist with discovery and research activities. Disruptions to our preclinical development programs or increased costs have in the past and may in the future result from changes in the policies of the U.S. or Chinese governments, political unrest, unstable economic conditions in China or Ukraine and disruption from the war in Ukraine. For example, a further trade war between the U.S. and China could lead to tariffs, legislation or regulations that impact our ability to continue relying on these CROs or increase the cost of doing so. Additionally, legislation and regulations, such as the proposed BIOSECURE Act, a draft of which is in the legislative process in the U.S. Congress, could restrict our ability to enter into long-term commercial agreements with certain CMOs if the proposed legislation and regulations are enacted into law.</w:t>
      </w:r>
    </w:p>
    <w:p>
      <w:pPr>
        <w:spacing w:after="0" w:line="187"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i w:val="1"/>
          <w:iCs w:val="1"/>
          <w:color w:val="auto"/>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p>
    <w:p>
      <w:pPr>
        <w:spacing w:after="0" w:line="5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Phase 1 healthy volunteer trial for OD-07656 was conducted in Australia and we intend to conduct our Phase 2a signal seeking trial for OD-07656 and other future clinical trials in a number of countries around the world.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i w:val="1"/>
          <w:iCs w:val="1"/>
          <w:color w:val="auto"/>
        </w:rPr>
        <w:t>The manufacturing process for any products that we may develop is subject to the FDA or comparable foreign regulatory authority approval process, and we currently, and will need to continue to, contract with manufacturers who can meet our and all applicable FDA or comparable foreign regulatory authority requirements on an ongoing basis.</w:t>
      </w:r>
    </w:p>
    <w:p>
      <w:pPr>
        <w:spacing w:after="0" w:line="5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manufacturing process for any products that we may develop is subject to the FDA or comparable foreign authority approval process, and any contractors with which we contract for manufacturing must meet all applicable FDA or comparable foreign regulatory authority requirements on an ongoing basis. If we or our CMOs are unable to reliably produce products to specifications acceptable to the FDA or comparable foreign regulatory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restrictions and criminal prosecutions), delay approval of our product candidates, impair commercialization efforts,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or build and install equipment, all of which would require additional capital expenditures.</w:t>
      </w:r>
    </w:p>
    <w:p>
      <w:pPr>
        <w:spacing w:after="0" w:line="76"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We rely on third party CMOs to manufacture and supply drug substance and drug product for our clinical trial for OD-07656 and we expect to rely on third party CMOs for our future clinical trials.</w:t>
      </w:r>
    </w:p>
    <w:p>
      <w:pPr>
        <w:spacing w:after="0" w:line="46"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our product candidates ourselves, including:</w:t>
      </w:r>
    </w:p>
    <w:p>
      <w:pPr>
        <w:spacing w:after="0" w:line="59"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negotiate manufacturing and quality agreements with third parties under commercially reasonable terms;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spacing w:after="0" w:line="117" w:lineRule="exact"/>
        <w:rPr>
          <w:rFonts w:ascii="Arial" w:cs="Arial" w:eastAsia="Arial" w:hAnsi="Arial"/>
          <w:sz w:val="18"/>
          <w:szCs w:val="18"/>
          <w:color w:val="auto"/>
        </w:rPr>
      </w:pPr>
    </w:p>
    <w:p>
      <w:pPr>
        <w:ind w:left="880" w:right="74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59" w:lineRule="exact"/>
        <w:rPr>
          <w:rFonts w:ascii="Arial" w:cs="Arial" w:eastAsia="Arial" w:hAnsi="Arial"/>
          <w:sz w:val="18"/>
          <w:szCs w:val="18"/>
          <w:color w:val="auto"/>
        </w:rPr>
      </w:pPr>
    </w:p>
    <w:p>
      <w:pPr>
        <w:ind w:left="880" w:right="40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59"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59"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synchronize operations and standards to ensure that all aspects of manufacturing are consistent without deviations across facilities.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spacing w:after="0" w:line="7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recall, operating restrictions, suits under the civil False Claims Act, or FCA, corporate integrity agreements, consent decrees or withdrawal of product approval.</w:t>
      </w:r>
    </w:p>
    <w:p>
      <w:pPr>
        <w:spacing w:after="0" w:line="187"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51"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have explored and may continue to explore the use of certain of our product candidates in combination with other therapies, including those that may not yet be approved. For example, we are planning to assess, as part of our planned Phase 2a signal seeking trial, the effect of OD-07656 in combination with vedolizumab.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75"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While vedolizumab is approved by regulatory authorities in major markets, including the FDA and EMA, it has not received marketing approval in some countries where we intend to conduct our clinical trials. If we are unable to use vedolizumab in our planned Phase 2a combination trial for OD-07656 in countries where vedolizumab has not been approved, we may be required to enroll additional patients at existing sites or identify new trial sites. As a result, our clinical development activities could be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color w:val="auto"/>
        </w:rPr>
        <w:t>delayed or otherwise adversely affected, which could adversely affect our business, financial condition, results of operations and prospects.</w:t>
      </w:r>
    </w:p>
    <w:p>
      <w:pPr>
        <w:spacing w:after="0" w:line="46"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6" w:lineRule="exact"/>
        <w:rPr>
          <w:sz w:val="20"/>
          <w:szCs w:val="20"/>
          <w:color w:val="auto"/>
        </w:rPr>
      </w:pPr>
    </w:p>
    <w:p>
      <w:pPr>
        <w:ind w:left="120" w:right="80"/>
        <w:spacing w:after="0" w:line="249"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any future issued patents will afford sufficient protection of our product candidates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p>
    <w:p>
      <w:pPr>
        <w:spacing w:after="0" w:line="7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Obtaining and enforcing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p>
    <w:p>
      <w:pPr>
        <w:spacing w:after="0" w:line="7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or the USPTO, or by patent offices in foreign countries, or that the claims in any of our issued patents will be considered valid and enforceable by courts in the United States or foreign countries. Method of use patents protect the use of a product for the methods claimed in the patents. This type of patent does not prevent a competitor from making and marketing a product that is identical to our product candidates for an indication that is outside the scope of the patented method. Moreover, even if competitors do not actively promote their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301" w:lineRule="auto"/>
        <w:rPr>
          <w:sz w:val="20"/>
          <w:szCs w:val="20"/>
          <w:color w:val="auto"/>
        </w:rPr>
      </w:pPr>
      <w:r>
        <w:rPr>
          <w:rFonts w:ascii="Arial" w:cs="Arial" w:eastAsia="Arial" w:hAnsi="Arial"/>
          <w:sz w:val="17"/>
          <w:szCs w:val="17"/>
          <w:color w:val="auto"/>
        </w:rPr>
        <w:t>product for our patented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2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7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collaborators or licensors)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p>
    <w:p>
      <w:pPr>
        <w:spacing w:after="0" w:line="7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pending patent applications, and those of any collaborators or licensors, may be challenged in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72"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future owned or in-licensed patents at risk of being invalidated or interpreted narrowly and could allow third parties to commercialize our products and compete directly with us, without payment to us.</w:t>
      </w:r>
    </w:p>
    <w:p>
      <w:pPr>
        <w:spacing w:after="0" w:line="46" w:lineRule="exact"/>
        <w:rPr>
          <w:sz w:val="20"/>
          <w:szCs w:val="20"/>
          <w:color w:val="auto"/>
        </w:rPr>
      </w:pPr>
    </w:p>
    <w:p>
      <w:pPr>
        <w:ind w:left="120" w:right="420" w:firstLine="551"/>
        <w:spacing w:after="0" w:line="244"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68" w:lineRule="exact"/>
        <w:rPr>
          <w:sz w:val="20"/>
          <w:szCs w:val="20"/>
          <w:color w:val="auto"/>
        </w:rPr>
      </w:pPr>
    </w:p>
    <w:p>
      <w:pPr>
        <w:jc w:val="both"/>
        <w:ind w:left="120" w:right="440" w:firstLine="551"/>
        <w:spacing w:after="0" w:line="253" w:lineRule="auto"/>
        <w:rPr>
          <w:sz w:val="20"/>
          <w:szCs w:val="20"/>
          <w:color w:val="auto"/>
        </w:rPr>
      </w:pPr>
      <w:r>
        <w:rPr>
          <w:rFonts w:ascii="Arial" w:cs="Arial" w:eastAsia="Arial" w:hAnsi="Arial"/>
          <w:sz w:val="18"/>
          <w:szCs w:val="18"/>
          <w:color w:val="auto"/>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w:t>
      </w:r>
    </w:p>
    <w:p>
      <w:pPr>
        <w:spacing w:after="0" w:line="171"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We cannot ensure that patent rights relating to inventions described and claimed in our pending patent applications will issue, or that patents that issue in the future will not be challenged and rendered invalid or unenforceable.</w:t>
      </w:r>
    </w:p>
    <w:p>
      <w:pPr>
        <w:spacing w:after="0" w:line="31"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We have several patent applications in our portfolio; however, we cannot predict:</w:t>
      </w:r>
    </w:p>
    <w:p>
      <w:pPr>
        <w:spacing w:after="0" w:line="74"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and when patents may issue based on our patent applications;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protection of any patent issuing based on our patent applications;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claims of any issued patent will provide protection against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or not third parties will find ways to invalidate or circumvent our patent rights;</w:t>
      </w:r>
    </w:p>
    <w:p>
      <w:pPr>
        <w:spacing w:after="0" w:line="117" w:lineRule="exact"/>
        <w:rPr>
          <w:rFonts w:ascii="Arial" w:cs="Arial" w:eastAsia="Arial" w:hAnsi="Arial"/>
          <w:sz w:val="18"/>
          <w:szCs w:val="18"/>
          <w:color w:val="auto"/>
        </w:rPr>
      </w:pPr>
    </w:p>
    <w:p>
      <w:pPr>
        <w:ind w:left="880" w:right="280" w:hanging="224"/>
        <w:spacing w:after="0" w:line="271"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enforce and/or defend our patent rights which will be costly whether we win or lose; or</w:t>
      </w:r>
    </w:p>
    <w:p>
      <w:pPr>
        <w:spacing w:after="0" w:line="59"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patent applications will result in issued patents with claims that cover each of our product candidates or uses thereof in the United States or in other foreign countries.</w:t>
      </w:r>
    </w:p>
    <w:p>
      <w:pPr>
        <w:spacing w:after="0" w:line="4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may be subject to a third-party pre-issuance submission of prior art to the USPTO or become involved in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72" w:lineRule="exact"/>
        <w:rPr>
          <w:sz w:val="20"/>
          <w:szCs w:val="20"/>
          <w:color w:val="auto"/>
        </w:rPr>
      </w:pPr>
    </w:p>
    <w:p>
      <w:pPr>
        <w:jc w:val="both"/>
        <w:ind w:left="120" w:firstLine="551"/>
        <w:spacing w:after="0" w:line="275" w:lineRule="auto"/>
        <w:rPr>
          <w:sz w:val="20"/>
          <w:szCs w:val="20"/>
          <w:color w:val="auto"/>
        </w:rPr>
      </w:pPr>
      <w:r>
        <w:rPr>
          <w:rFonts w:ascii="Arial" w:cs="Arial" w:eastAsia="Arial" w:hAnsi="Arial"/>
          <w:sz w:val="17"/>
          <w:szCs w:val="17"/>
          <w:color w:val="auto"/>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Our pending and future patent applications may not result in patents being issued that protect our product candidates, in whole or in part, or which effectively prevent others from commercializing competitive products.</w:t>
      </w:r>
    </w:p>
    <w:p>
      <w:pPr>
        <w:spacing w:after="0" w:line="31"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 derivation proceeding in the United States can be initiated by a third party to determine who invented any of the subject matter covered by the claims of our patent applications. Therefore, we cannot be certain that we were the first to make the inventions claimed in our patents or pending patent applications, or that we were the first to file for patent protection of such inventions.</w:t>
      </w:r>
    </w:p>
    <w:p>
      <w:pPr>
        <w:spacing w:after="0" w:line="72"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future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7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1"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develop current and any future product candidates on acceptable terms.</w:t>
      </w:r>
    </w:p>
    <w:p>
      <w:pPr>
        <w:spacing w:after="0" w:line="31"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Because some of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the sub-license. If this were to occur, we would no longer have rights to the applicable intellectual property unless we are able to secure our own direct license with the owner of the relevant rights, which we may not be able to do on reasonable terms, or at all.</w:t>
      </w:r>
    </w:p>
    <w:p>
      <w:pPr>
        <w:spacing w:after="0" w:line="75"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p>
    <w:p>
      <w:pPr>
        <w:spacing w:after="0" w:line="7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product candidates licensed from third parties may be subject to retained rights.</w:t>
      </w:r>
    </w:p>
    <w:p>
      <w:pPr>
        <w:spacing w:after="0" w:line="10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color w:val="auto"/>
        </w:rPr>
        <w:t>Third-parties who have collaborated with us by contributing intellectual property or with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spacing w:after="0" w:line="68"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We may also at times choose to collaborate with academic institutions to accelerate our preclinical research or development. The United States federal government retains certain rights in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 -in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78" w:lineRule="exact"/>
        <w:rPr>
          <w:sz w:val="20"/>
          <w:szCs w:val="20"/>
          <w:color w:val="auto"/>
        </w:rPr>
      </w:pPr>
    </w:p>
    <w:p>
      <w:pPr>
        <w:ind w:left="120" w:right="160"/>
        <w:spacing w:after="0" w:line="249"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spacing w:after="0" w:line="57" w:lineRule="exact"/>
        <w:rPr>
          <w:sz w:val="20"/>
          <w:szCs w:val="20"/>
          <w:color w:val="auto"/>
        </w:rPr>
      </w:pPr>
    </w:p>
    <w:p>
      <w:pPr>
        <w:jc w:val="both"/>
        <w:ind w:left="120" w:right="220" w:firstLine="551"/>
        <w:spacing w:after="0" w:line="241"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w:t>
      </w:r>
    </w:p>
    <w:p>
      <w:pPr>
        <w:spacing w:after="0" w:line="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7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8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spacing w:after="0" w:line="58"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Third parties may assert that we are employing their proprietary technology without authorization and may sue us for patent or other intellectual property infringement.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spacing w:after="0" w:line="7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enter into licensing arrangements or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p>
    <w:p>
      <w:pPr>
        <w:spacing w:after="0" w:line="190" w:lineRule="exact"/>
        <w:rPr>
          <w:sz w:val="20"/>
          <w:szCs w:val="20"/>
          <w:color w:val="auto"/>
        </w:rPr>
      </w:pPr>
    </w:p>
    <w:p>
      <w:pPr>
        <w:ind w:left="120" w:right="140"/>
        <w:spacing w:after="0" w:line="278"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other intellectual property, which could be expensive, time-consuming and unsuccessful.</w:t>
      </w:r>
    </w:p>
    <w:p>
      <w:pPr>
        <w:spacing w:after="0" w:line="31"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Competitors or other third parties may infringe our patents, trademarks or other intellectual property, or those of our collaborators or licensing partners.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 -enablement,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spacing w:after="0" w:line="77"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We may not be able to detect infringement against our future owned or in-licensed patents, as the case may be, which may be especially difficult for manufacturing processes or formulation patents. Even if we detect infringement by a third party of our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future owned or in-licensed patents, as the case may be, against such third party.</w:t>
      </w:r>
    </w:p>
    <w:p>
      <w:pPr>
        <w:spacing w:after="0" w:line="71"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If another party questions the patentability of any of our claims in our future owned or in-licensed U.S. patents, the third party can request that the USPTO review the patent claims such as in an IPR,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future owned or in-licensed foreign patents are challenged.</w:t>
      </w:r>
    </w:p>
    <w:p>
      <w:pPr>
        <w:spacing w:after="0" w:line="66"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p>
    <w:p>
      <w:pPr>
        <w:spacing w:after="0" w:line="181" w:lineRule="exact"/>
        <w:rPr>
          <w:sz w:val="20"/>
          <w:szCs w:val="20"/>
          <w:color w:val="auto"/>
        </w:rPr>
      </w:pPr>
    </w:p>
    <w:p>
      <w:pPr>
        <w:jc w:val="both"/>
        <w:ind w:left="120" w:right="240"/>
        <w:spacing w:after="0" w:line="256" w:lineRule="auto"/>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 or claims asserting that our employees, consultants or advisors have wrongfully used or disclosed alleged trade secrets of their current or former employers.</w:t>
      </w:r>
    </w:p>
    <w:p>
      <w:pPr>
        <w:spacing w:after="0" w:line="51"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or those of our collaborators or licensors,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financial condition, results of operations and prospects. Even if we are successful in defending against such claims, litigation could result in substantial costs and be a distraction to management and other employees.</w:t>
      </w:r>
    </w:p>
    <w:p>
      <w:pPr>
        <w:spacing w:after="0" w:line="7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spacing w:after="0" w:line="77"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60" w:firstLine="551"/>
        <w:spacing w:after="0" w:line="253" w:lineRule="auto"/>
        <w:rPr>
          <w:sz w:val="20"/>
          <w:szCs w:val="20"/>
          <w:color w:val="auto"/>
        </w:rPr>
      </w:pPr>
      <w:r>
        <w:rPr>
          <w:rFonts w:ascii="Arial" w:cs="Arial" w:eastAsia="Arial" w:hAnsi="Arial"/>
          <w:sz w:val="18"/>
          <w:szCs w:val="18"/>
          <w:color w:val="auto"/>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enforceability of our future patents throughout the world.</w:t>
      </w:r>
    </w:p>
    <w:p>
      <w:pPr>
        <w:spacing w:after="0" w:line="171" w:lineRule="exact"/>
        <w:rPr>
          <w:sz w:val="20"/>
          <w:szCs w:val="20"/>
          <w:color w:val="auto"/>
        </w:rPr>
      </w:pPr>
    </w:p>
    <w:p>
      <w:pPr>
        <w:ind w:left="120" w:right="100"/>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products or product candidates for an adequate amount of time. If we do not obtain patent term extension for our product candidates, our business may be materially harmed.</w:t>
      </w:r>
    </w:p>
    <w:p>
      <w:pPr>
        <w:spacing w:after="0" w:line="3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any patents we may own or license may not provide us with sufficient and continuing rights to exclude others from commercializing products similar or identical to ours.</w:t>
      </w:r>
    </w:p>
    <w:p>
      <w:pPr>
        <w:spacing w:after="0" w:line="7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Depending upon the timing, duration and specifics of any FDA marketing approval of any of our product candidates, any issued U.S. patents that we may own in the future may be eligible for limited patent term restoration, or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90" w:lineRule="exact"/>
        <w:rPr>
          <w:sz w:val="20"/>
          <w:szCs w:val="20"/>
          <w:color w:val="auto"/>
        </w:rPr>
      </w:pPr>
    </w:p>
    <w:p>
      <w:pPr>
        <w:ind w:left="120" w:right="16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spacing w:after="0" w:line="51"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to help us comply,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76" w:lineRule="exact"/>
        <w:rPr>
          <w:sz w:val="20"/>
          <w:szCs w:val="20"/>
          <w:color w:val="auto"/>
        </w:rPr>
      </w:pPr>
    </w:p>
    <w:p>
      <w:pPr>
        <w:ind w:left="120" w:right="660"/>
        <w:spacing w:after="0" w:line="278"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3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p>
    <w:p>
      <w:pPr>
        <w:spacing w:after="0" w:line="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and patents that we might obtain in the future. For example, in the case, </w:t>
      </w:r>
      <w:r>
        <w:rPr>
          <w:rFonts w:ascii="Arial" w:cs="Arial" w:eastAsia="Arial" w:hAnsi="Arial"/>
          <w:sz w:val="18"/>
          <w:szCs w:val="18"/>
          <w:i w:val="1"/>
          <w:iCs w:val="1"/>
          <w:color w:val="auto"/>
        </w:rPr>
        <w:t>Assoc. for Molecular Pathology v. Myriad Genetics, Inc.</w:t>
      </w:r>
      <w:r>
        <w:rPr>
          <w:rFonts w:ascii="Arial" w:cs="Arial" w:eastAsia="Arial" w:hAnsi="Arial"/>
          <w:sz w:val="18"/>
          <w:szCs w:val="18"/>
          <w:color w:val="auto"/>
        </w:rPr>
        <w:t xml:space="preserve">, the U.S. Supreme Court held that claims to certain DNA molecules are not patentable. In </w:t>
      </w:r>
      <w:r>
        <w:rPr>
          <w:rFonts w:ascii="Arial" w:cs="Arial" w:eastAsia="Arial" w:hAnsi="Arial"/>
          <w:sz w:val="18"/>
          <w:szCs w:val="18"/>
          <w:i w:val="1"/>
          <w:iCs w:val="1"/>
          <w:color w:val="auto"/>
        </w:rPr>
        <w:t>Amgen Inc. v. Sanofi</w:t>
      </w:r>
      <w:r>
        <w:rPr>
          <w:rFonts w:ascii="Arial" w:cs="Arial" w:eastAsia="Arial" w:hAnsi="Arial"/>
          <w:sz w:val="18"/>
          <w:szCs w:val="18"/>
          <w:color w:val="auto"/>
        </w:rPr>
        <w:t>, the Federal Circuit held that claims with functional language may pose high hurdles in fulfilling the enablement requirement. Recent decisions raise questions regarding the award of patent term adjustment, or PTA, for patents where related patents have issued without PTA. Thus, it cannot be said with certainty how PTA will or will not be viewed in future and whether patent expiration dates may be impacted.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7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significantly impacts European patents, including those granted before the introduction of the system. Under the Unitary Patent system, after a European patent is granted, the default is that the patent will be a part of the Unitary Patent system, thereby resulting in a Unitary Patent having unitary effect; the patent proprietor, however, can, in some instances, opt out of</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and we may require a license from the competitor to use our own know-how.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spacing w:after="0" w:line="191"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brand and name recognition in our markets of interest and our business may be adversely affected.</w:t>
      </w:r>
    </w:p>
    <w:p>
      <w:pPr>
        <w:spacing w:after="0" w:line="31"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merely descriptive or generic or determined to be infringing on other marks. The use of our registered and unregistered marks may also be limited by certain agreements with third parties.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6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may not be able to protect our rights to these trademarks and trade names, which we need to build brand and name recognition among potential partners or future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brand and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02"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9" w:lineRule="exact"/>
        <w:rPr>
          <w:sz w:val="20"/>
          <w:szCs w:val="20"/>
          <w:color w:val="auto"/>
        </w:rPr>
      </w:pPr>
    </w:p>
    <w:p>
      <w:pPr>
        <w:ind w:left="880" w:right="220" w:hanging="224"/>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our patent applications and any patents that we may own or license;</w:t>
      </w:r>
    </w:p>
    <w:p>
      <w:pPr>
        <w:spacing w:after="0" w:line="59"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may own or license;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880" w:right="860" w:hanging="224"/>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may own or license may be held invalid or unenforceable, as a result of legal challenges by our competitors;</w:t>
      </w:r>
    </w:p>
    <w:p>
      <w:pPr>
        <w:spacing w:after="0" w:line="59"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17" w:lineRule="exact"/>
        <w:rPr>
          <w:rFonts w:ascii="Arial" w:cs="Arial" w:eastAsia="Arial" w:hAnsi="Arial"/>
          <w:sz w:val="18"/>
          <w:szCs w:val="18"/>
          <w:color w:val="auto"/>
        </w:rPr>
      </w:pPr>
    </w:p>
    <w:p>
      <w:pPr>
        <w:ind w:left="880" w:right="480" w:hanging="224"/>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46" w:lineRule="exact"/>
        <w:rPr>
          <w:sz w:val="20"/>
          <w:szCs w:val="20"/>
          <w:color w:val="auto"/>
        </w:rPr>
      </w:pPr>
    </w:p>
    <w:p>
      <w:pPr>
        <w:jc w:val="center"/>
        <w:ind w:left="840" w:right="140"/>
        <w:spacing w:after="0" w:line="443"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 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3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6"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Even if we commercialize any product candidates, such product may become subject to unfavorable pricing regulations, third-party reimbursement practices or healthcare reform initiatives, which could harm our business.</w:t>
      </w:r>
    </w:p>
    <w:p>
      <w:pPr>
        <w:spacing w:after="0" w:line="31" w:lineRule="exact"/>
        <w:rPr>
          <w:sz w:val="20"/>
          <w:szCs w:val="20"/>
          <w:color w:val="auto"/>
        </w:rPr>
      </w:pPr>
    </w:p>
    <w:p>
      <w:pPr>
        <w:jc w:val="both"/>
        <w:ind w:left="120" w:right="120" w:firstLine="551"/>
        <w:spacing w:after="0" w:line="253" w:lineRule="auto"/>
        <w:rPr>
          <w:sz w:val="20"/>
          <w:szCs w:val="20"/>
          <w:color w:val="auto"/>
        </w:rPr>
      </w:pPr>
      <w:r>
        <w:rPr>
          <w:rFonts w:ascii="Arial" w:cs="Arial" w:eastAsia="Arial" w:hAnsi="Arial"/>
          <w:sz w:val="18"/>
          <w:szCs w:val="18"/>
          <w:color w:val="auto"/>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81"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3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spacing w:after="0" w:line="77"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p>
    <w:p>
      <w:pPr>
        <w:spacing w:after="0" w:line="75" w:lineRule="exact"/>
        <w:rPr>
          <w:sz w:val="20"/>
          <w:szCs w:val="20"/>
          <w:color w:val="auto"/>
        </w:rPr>
      </w:pPr>
    </w:p>
    <w:p>
      <w:pPr>
        <w:jc w:val="both"/>
        <w:ind w:left="120" w:right="200" w:firstLine="551"/>
        <w:spacing w:after="0" w:line="253"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bring more transparency to drug pricing, reduce the cost of prescription drugs under Medicare, review the relationship between pricing and manufacturer patient programs and reform government program reimbursement methodologies for drugs.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w:t>
      </w:r>
    </w:p>
    <w:p>
      <w:pPr>
        <w:spacing w:after="0" w:line="7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Inflation Reduction Act of 2022, or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Specifically, with respect to price negotiations, the Centers for Medicare &amp; Medicaid Services, or CMS, has negotiated prices for the first ten high-cost drugs paid for by Medicare Part D starting in 2026, which will be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Nonetheless, since CMS has established and will continue to establish maximum prices for these products in price negotiations, we would be fully at risk of government action if our products become the subject of Medicare price negotiations. These provisions of the IRA further heighten the risk that we would not be able to achieve the expected return on our drug products or full value of our patents protecting our products. Various industry stakeholders, including certain pharmaceutical companies and industry groups have initiated lawsuits against the federal government asserting that the price negotiation provisions of the IRA are unconstitutional. The effects of the IRA on our business and the healthcare industry in general is not yet known.</w:t>
      </w:r>
    </w:p>
    <w:p>
      <w:pPr>
        <w:spacing w:after="0" w:line="78"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In January 2024, FDA authorized Florida’s Agency for Health Care Administration’s drug importation program, which is the first step toward Florida facilitating importation of certain prescription drugs from Canada. Authorization of other state programs may follow.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77"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left="120" w:right="240"/>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51"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fraud and abuse and other healthcare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spacing w:after="0" w:line="91" w:lineRule="exact"/>
        <w:rPr>
          <w:sz w:val="20"/>
          <w:szCs w:val="20"/>
          <w:color w:val="auto"/>
        </w:rPr>
      </w:pPr>
    </w:p>
    <w:p>
      <w:pPr>
        <w:ind w:left="880" w:right="2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90"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individuals or entities from knowingly presenting, or causing to be presented, false or fraudulent claims for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20"/>
        <w:spacing w:after="0"/>
        <w:rPr>
          <w:sz w:val="20"/>
          <w:szCs w:val="20"/>
          <w:color w:val="auto"/>
        </w:rPr>
      </w:pPr>
      <w:r>
        <w:rPr>
          <w:rFonts w:ascii="Arial" w:cs="Arial" w:eastAsia="Arial" w:hAnsi="Arial"/>
          <w:sz w:val="18"/>
          <w:szCs w:val="18"/>
          <w:color w:val="auto"/>
        </w:rPr>
        <w:t>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86" w:lineRule="exact"/>
        <w:rPr>
          <w:sz w:val="20"/>
          <w:szCs w:val="20"/>
          <w:color w:val="auto"/>
        </w:rPr>
      </w:pPr>
    </w:p>
    <w:p>
      <w:pPr>
        <w:ind w:left="880" w:right="6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85" w:lineRule="exact"/>
        <w:rPr>
          <w:rFonts w:ascii="Arial" w:cs="Arial" w:eastAsia="Arial" w:hAnsi="Arial"/>
          <w:sz w:val="18"/>
          <w:szCs w:val="18"/>
          <w:color w:val="auto"/>
        </w:rPr>
      </w:pPr>
    </w:p>
    <w:p>
      <w:pPr>
        <w:ind w:left="880" w:right="60" w:hanging="224"/>
        <w:spacing w:after="0" w:line="24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81" w:lineRule="exact"/>
        <w:rPr>
          <w:rFonts w:ascii="Arial" w:cs="Arial" w:eastAsia="Arial" w:hAnsi="Arial"/>
          <w:sz w:val="18"/>
          <w:szCs w:val="18"/>
          <w:color w:val="auto"/>
        </w:rPr>
      </w:pPr>
    </w:p>
    <w:p>
      <w:pPr>
        <w:ind w:left="880" w:right="20" w:hanging="224"/>
        <w:spacing w:after="0" w:line="24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9" w:lineRule="exact"/>
        <w:rPr>
          <w:rFonts w:ascii="Arial" w:cs="Arial" w:eastAsia="Arial" w:hAnsi="Arial"/>
          <w:sz w:val="18"/>
          <w:szCs w:val="18"/>
          <w:color w:val="auto"/>
        </w:rPr>
      </w:pPr>
    </w:p>
    <w:p>
      <w:pPr>
        <w:ind w:left="880" w:right="720" w:hanging="224"/>
        <w:spacing w:after="0" w:line="271"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that may be used in the calculation of reimbursement or discounts on approved products;</w:t>
      </w:r>
    </w:p>
    <w:p>
      <w:pPr>
        <w:spacing w:after="0" w:line="59"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spacing w:after="0" w:line="84" w:lineRule="exact"/>
        <w:rPr>
          <w:rFonts w:ascii="Arial" w:cs="Arial" w:eastAsia="Arial" w:hAnsi="Arial"/>
          <w:sz w:val="18"/>
          <w:szCs w:val="18"/>
          <w:color w:val="auto"/>
        </w:rPr>
      </w:pPr>
    </w:p>
    <w:p>
      <w:pPr>
        <w:ind w:left="880" w:right="640" w:hanging="224"/>
        <w:spacing w:after="0" w:line="271"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line="257"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60" w:lineRule="exact"/>
        <w:rPr>
          <w:sz w:val="20"/>
          <w:szCs w:val="20"/>
          <w:color w:val="auto"/>
        </w:rPr>
      </w:pPr>
    </w:p>
    <w:p>
      <w:pPr>
        <w:ind w:left="120" w:right="640" w:firstLine="551"/>
        <w:spacing w:after="0" w:line="301" w:lineRule="auto"/>
        <w:rPr>
          <w:sz w:val="20"/>
          <w:szCs w:val="20"/>
          <w:color w:val="auto"/>
        </w:rPr>
      </w:pPr>
      <w:r>
        <w:rPr>
          <w:rFonts w:ascii="Arial" w:cs="Arial" w:eastAsia="Arial" w:hAnsi="Arial"/>
          <w:sz w:val="17"/>
          <w:szCs w:val="17"/>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23"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spacing w:after="0" w:line="7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w:t>
      </w:r>
    </w:p>
    <w:p>
      <w:pPr>
        <w:spacing w:after="0" w:line="182" w:lineRule="exact"/>
        <w:rPr>
          <w:sz w:val="20"/>
          <w:szCs w:val="20"/>
          <w:color w:val="auto"/>
        </w:rPr>
      </w:pPr>
    </w:p>
    <w:p>
      <w:pPr>
        <w:ind w:left="120" w:right="140"/>
        <w:spacing w:after="0" w:line="243" w:lineRule="auto"/>
        <w:rPr>
          <w:sz w:val="20"/>
          <w:szCs w:val="20"/>
          <w:color w:val="auto"/>
        </w:rPr>
      </w:pPr>
      <w:r>
        <w:rPr>
          <w:rFonts w:ascii="Arial" w:cs="Arial" w:eastAsia="Arial" w:hAnsi="Arial"/>
          <w:sz w:val="18"/>
          <w:szCs w:val="18"/>
          <w:b w:val="1"/>
          <w:bCs w:val="1"/>
          <w:i w:val="1"/>
          <w:iCs w:val="1"/>
          <w:color w:val="auto"/>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64" w:lineRule="exact"/>
        <w:rPr>
          <w:sz w:val="20"/>
          <w:szCs w:val="20"/>
          <w:color w:val="auto"/>
        </w:rPr>
      </w:pPr>
    </w:p>
    <w:p>
      <w:pPr>
        <w:ind w:left="120" w:right="60" w:firstLine="551"/>
        <w:spacing w:after="0" w:line="259" w:lineRule="auto"/>
        <w:rPr>
          <w:sz w:val="20"/>
          <w:szCs w:val="20"/>
          <w:color w:val="auto"/>
        </w:rPr>
      </w:pPr>
      <w:r>
        <w:rPr>
          <w:rFonts w:ascii="Arial" w:cs="Arial" w:eastAsia="Arial" w:hAnsi="Arial"/>
          <w:sz w:val="17"/>
          <w:szCs w:val="17"/>
          <w:color w:val="auto"/>
        </w:rPr>
        <w:t>We may in the future seek an accelerated approval for one or more of our product candidates. Under the accelerated approval pathway, the FDA may approve a product candidate for a serious or life-threatening disease or condition with unmet medical need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Products granted accelerated approval are subject to certain post-marketing requirements, which typically include a requirement to conduct one or more post-approval studies to confirm the clinical benefit of the product.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addition, during the pre-approval review period, FDA regulations require that sponsors of products granted accelerated approval submit copies of all promotional materials intended to be used within 120 days following marketing approval. After 120 days following marketing approval, unless otherwise informed by the FDA, the sponsor must submit all promotional materials at least 30 days prior to use. There can be no assurance that we will be able to use the accelerated approval pathway or any other form of expedited development, review or approval for any of our product candidates. For example,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Also, if any of our competitors were to receive full approval for an indication for which we are seeking accelerated approval before we receive accelerated approval for any one of our product candidates, the indication we are seeking may no longer qualify as a condition for which there is an unmet medical need, and our product candidate may become ineligible for accelerated approval.</w:t>
      </w:r>
    </w:p>
    <w:p>
      <w:pPr>
        <w:spacing w:after="0" w:line="7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A failure to obtain accelerated approval would result in a longer time period to commercialization of such product candidate, if any,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p>
    <w:p>
      <w:pPr>
        <w:spacing w:after="0" w:line="178" w:lineRule="exact"/>
        <w:rPr>
          <w:sz w:val="20"/>
          <w:szCs w:val="20"/>
          <w:color w:val="auto"/>
        </w:rPr>
      </w:pPr>
    </w:p>
    <w:p>
      <w:pPr>
        <w:ind w:left="120" w:right="340"/>
        <w:spacing w:after="0" w:line="249" w:lineRule="auto"/>
        <w:rPr>
          <w:sz w:val="20"/>
          <w:szCs w:val="20"/>
          <w:color w:val="auto"/>
        </w:rPr>
      </w:pPr>
      <w:r>
        <w:rPr>
          <w:rFonts w:ascii="Arial" w:cs="Arial" w:eastAsia="Arial" w:hAnsi="Arial"/>
          <w:sz w:val="18"/>
          <w:szCs w:val="18"/>
          <w:b w:val="1"/>
          <w:bCs w:val="1"/>
          <w:i w:val="1"/>
          <w:iCs w:val="1"/>
          <w:color w:val="auto"/>
        </w:rPr>
        <w:t>We may seek a Breakthrough Therapy or Fast Track designation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p>
    <w:p>
      <w:pPr>
        <w:spacing w:after="0" w:line="5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the disease or condition. Fast Track designation applies to the combination of the product and the specific indication for which it is being studied.</w:t>
      </w:r>
    </w:p>
    <w:p>
      <w:pPr>
        <w:spacing w:after="0" w:line="75"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FDA has broad discretion whether or not to grant Breakthrough Therapy or Fast Track designation to any product candidate. Accordingly, even if we believe that a product candidate meets the criteria for designation as a Breakthrough Therapy or a Fast Track designation, the FDA may disagree and instead determine not to make such a designation. Even if we receive a Breakthrough Therapy or Fast Track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the FDA may later decide that it no longer meets the conditions for qualification or decide that the time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period for FDA review or approval will not be shortened. The failure to obtain a Breakthrough Therapy or Fast Track designation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w:t>
      </w:r>
    </w:p>
    <w:p>
      <w:pPr>
        <w:spacing w:after="0" w:line="176"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31"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68"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IRA into law, which extends enhanced subsidies for individuals purchasing health insurance coverage in ACA marketplaces through plan year 2025. The IRA also eliminated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other such challenges, and healthcare reform measures, will impact the ACA and our business.</w:t>
      </w:r>
    </w:p>
    <w:p>
      <w:pPr>
        <w:spacing w:after="0" w:line="267"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on August 2, 2011, the Budget Control Act of 2011 was signed into law, which resulted in reductions to Medicare payments to providers of 2% per fiscal year, which went into effect on April 1, 2013, and, due to subsequent legislative amendments to the statute, will remain in effect through 2032.</w:t>
      </w:r>
    </w:p>
    <w:p>
      <w:pPr>
        <w:spacing w:after="0" w:line="66"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We cannot predict the likelihood, nature or extent of healthcare reform initiatives that may arise from future legislation or administrative action, particularly as a result of the 2024 U.S. election. Any reduction in reimbursement from Medicare or other government programs may result in a similar reduction in payments from private payors.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implementation of cost containment measures or other healthcare reforms may prevent us from being able to generate revenue, attain profitability or commercialize our product candidates, if approved.</w:t>
      </w:r>
    </w:p>
    <w:p>
      <w:pPr>
        <w:spacing w:after="0" w:line="156"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outside of the United States.</w:t>
      </w:r>
    </w:p>
    <w:p>
      <w:pPr>
        <w:spacing w:after="0" w:line="3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0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88" w:lineRule="exact"/>
        <w:rPr>
          <w:sz w:val="20"/>
          <w:szCs w:val="20"/>
          <w:color w:val="auto"/>
        </w:rPr>
      </w:pPr>
    </w:p>
    <w:p>
      <w:pPr>
        <w:ind w:left="120" w:right="40"/>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3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expect our non-U.S.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 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p>
    <w:p>
      <w:pPr>
        <w:spacing w:after="0" w:line="78"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6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spacing w:after="0" w:line="71"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The failure to comply with Trade Laws may result in substantial civil and criminal fines and penalties, imprisonment, the loss of trade privileges, suspension or debarment from government contracting, reputational harm and other consequences. The Securities and Exchange Commission, or the SEC, also may suspend or bar issuers from trading securities on U.S. exchanges for violations of the FCPA’s accounting provisions.</w:t>
      </w:r>
    </w:p>
    <w:p>
      <w:pPr>
        <w:spacing w:after="0" w:line="176"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adversely affect our business, financial condition, results of operations and prospects.</w:t>
      </w:r>
    </w:p>
    <w:p>
      <w:pPr>
        <w:spacing w:after="0" w:line="3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 Furthermore, environmental laws and regulations are complex,</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6"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51" w:lineRule="exact"/>
        <w:rPr>
          <w:sz w:val="20"/>
          <w:szCs w:val="20"/>
          <w:color w:val="auto"/>
        </w:rPr>
      </w:pPr>
    </w:p>
    <w:p>
      <w:pPr>
        <w:ind w:left="120" w:right="320" w:firstLine="551"/>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68"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or approved by necessary government agencies, which would adversely affect our business, financial condition, results of operations and prospects.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Data Privacy and Information Security</w:t>
      </w:r>
    </w:p>
    <w:p>
      <w:pPr>
        <w:spacing w:after="0" w:line="106"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or those used by our CROs, CMOs, clinical sites or other contractors or consultants with whom we work, or our data, are or were compromised again, we could experience adverse consequences resulting from such compromise, including but not limited to regulatory investigations or action, litigation, fines and penalties, disruptions of our business operations, reputational harm and other adverse consequences.</w:t>
      </w:r>
    </w:p>
    <w:p>
      <w:pPr>
        <w:spacing w:after="0" w:line="5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ordinary course of our business, we, and the third parties with whom we work, collect, receive, store, process, generate, use, transfer, disclose, make accessible, protect, secure, dispose of, transmit and share,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As a result, we and the third parties with whom we work face a variety of evolving threats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w:t>
      </w:r>
    </w:p>
    <w:p>
      <w:pPr>
        <w:spacing w:after="0" w:line="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information technology systems and those of our CROs, CMOs, clinical sites and other contractors and consultants with whom we work are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supply chain attacks and vulnerabilities through our third-party service providers, denial-of-service attacks, credential stuffing, credential harvesting, personnel misconduct or error, supply-chain attacks, software bugs, server malfunctions, software or hardware failures, loss of data or other information technology assets, adware, attacks facilitated or enhanced by AI,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telecommunications failures, earthquakes, fires, floods and other similar threats. The increase in remote work has increased these risks to our information technology systems and sensitive data, as more of our employees utilize network connections, computers and devices outside our premises or network, including working at home, while in transit, and in public locations.</w:t>
      </w:r>
    </w:p>
    <w:p>
      <w:pPr>
        <w:spacing w:after="0" w:line="6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and severe and can lead to significant interruptions, delays or outages in our operations, loss of sensitive data,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spacing w:after="0" w:line="75"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During times of war and other major conflicts, we and the third parties with whom we work may be vulnerable to a heightened risk of attacks for geopolitical reasons, including retaliatory cyberattacks, that could materially disrupt our systems and operations, supply chain and ability to continue our research and development efforts or produce, sell and distribute our product candidates, if approved. For example, third parties with whom we work to support our business are located in potentially unstable regions and regions experiencing (or expected to experience) geopolitical or other conflicts, including Ukraine, which was attacked by Russia in February 2022 through various means, including cyberattacks.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72" w:lineRule="exact"/>
        <w:rPr>
          <w:sz w:val="20"/>
          <w:szCs w:val="20"/>
          <w:color w:val="auto"/>
        </w:rPr>
      </w:pPr>
    </w:p>
    <w:p>
      <w:pPr>
        <w:ind w:left="120" w:right="340" w:firstLine="551"/>
        <w:spacing w:after="0" w:line="247" w:lineRule="auto"/>
        <w:rPr>
          <w:sz w:val="20"/>
          <w:szCs w:val="20"/>
          <w:color w:val="auto"/>
        </w:rPr>
      </w:pPr>
      <w:r>
        <w:rPr>
          <w:rFonts w:ascii="Arial" w:cs="Arial" w:eastAsia="Arial" w:hAnsi="Arial"/>
          <w:sz w:val="18"/>
          <w:szCs w:val="18"/>
          <w:color w:val="auto"/>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issues that were not found during due diligence of such acquired entities, and it may be difficult to integrate companies into our information technology environment and security program.</w:t>
      </w:r>
    </w:p>
    <w:p>
      <w:pPr>
        <w:spacing w:after="0" w:line="66"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6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our reliance on third-party partners could introduce new cybersecurity risks and vulnerabilities. We rely on third-party partners and technologies to operate critical business systems and to process sensitive data in a variety of contexts, including cloud-based infrastructure,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or other interruption, we could experience adverse consequences. While we may be entitled to damages if our third-party service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6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actively implement measures designed to identify, protect, detect, respond to and recover from vulnerabilities within our information systems, including those related to hardware, software and third-party providers. However, despite our efforts, not all vulnerabilities may be detected or resolved promptly. In some cases, there may be delays in developing and deploying necessary remediation measures and security patches. These undetected or unaddressed vulnerabilities could be exploited, potentially leading to security incidents, which could have a material adverse effect on our business, financial condition, results of operations and prospects. We have experienced one known security incident in the past. Although we quickly identified the incident and contained the breach to a small number of devices and Company identities without experiencing any known loss of data or fraud as a result, such an event, or other threats in the future, could cause another security incident or other interruption that could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p>
    <w:p>
      <w:pPr>
        <w:spacing w:after="0" w:line="78"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We have expended significant resources and modified our business activities (including our clinical trial activities) to try to protect against security incidents and may continue to do so. Certain data privacy and security obligations may require us to implement and maintain specific security measures or industry-standard or reasonable security measures to protect our information technology systems and sensitive data.</w:t>
      </w:r>
    </w:p>
    <w:p>
      <w:pPr>
        <w:spacing w:after="0" w:line="66"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The costs related to significant security breaches or disruptions could be material and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6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If any such incidents were to occur and cause interruptions in our operations,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the further development of any product candidates could be delayed. Applicable data privacy and security obligations may require us, or we may voluntarily choose, to notify relevant stakeholders, including affected individuals, future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Any such event could also result in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and attendant consequences may negatively impact our ability to grow and operate our business and may result in a loss of confidence in us and our ability to conduct clinical trials, which could delay the clinical development of our product candidates.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Our contracts may not always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technologies.</w:t>
      </w:r>
    </w:p>
    <w:p>
      <w:pPr>
        <w:spacing w:after="0" w:line="181"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Any actual or perceived failure to comply with such obligations could lead to government enforcement actions (which could include civil or criminal penalties), private litigation (including class claims), negative publicity or other adverse consequences that could negatively affect our operating results and business.</w:t>
      </w:r>
    </w:p>
    <w:p>
      <w:pPr>
        <w:spacing w:after="0" w:line="6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ordinary course of business, we and our partners process sensitive data. As a result, we and our partners may be subject to numerous data privacy and security obligations, such as various federal, state and foreign laws and regulations, guidance, industry standards, external and internal privacy and security policies, contractual requirements and other obligations relating to data privacy and security. In the United States, numerous federal, state and local governments have enacted laws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sensitive data, including health-related information. For example, HIPAA, as amended by HITECH, imposes specific requirements relating to the privacy, security and transmission of individually identifiable protected health information.</w:t>
      </w:r>
    </w:p>
    <w:p>
      <w:pPr>
        <w:spacing w:after="0" w:line="7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6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addition,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information, such as conducting data privacy impact assessments. Failure to comply with these laws, where applicable, can result in significant statutory fines. For example, the California Consumer Privacy Act, as amended by the California Privacy Rights Act of 2020, or CPRA, collectively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complicate compliance efforts, and increase legal risk and compliance costs for us and the third parties with whom we work. A number of similar privacy laws are also being considered in several other states as well as at the federal level,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77"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Outside the United States, an increasing number of laws and regulations, including Australia’s Privacy Act, the European Union’s General Data Protection Regulation, or the EU GDPR, and the United Kingdom’s General Data Protection Regulation, or UK GDPR, together with the EU GDPR, the GDPR, may also apply to our processing of sensitive data, including health-related and other personal data.</w:t>
      </w:r>
    </w:p>
    <w:p>
      <w:pPr>
        <w:spacing w:after="0" w:line="6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 xml:space="preserve">The GDPR imposes stringent requirements for processing personal data.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temporary or definitive bans on data processing, private litigation related to processing of personal data brought by classes of data subjects or consumer protection organizations authorized at law to represent their interests, and potential fines for noncompliance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(£17.5 million) or 4% of the annual global revenues of the noncompliant company, whichever is greater.</w:t>
      </w:r>
    </w:p>
    <w:p>
      <w:pPr>
        <w:spacing w:after="0" w:line="8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we may be unable to transfer personal data from the EEA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jurisdictions, particularly to the United States, are subject to increased scrutiny from regulators, individual litigants and activist groups.</w:t>
      </w:r>
    </w:p>
    <w:p>
      <w:pPr>
        <w:spacing w:after="0" w:line="104"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p>
    <w:p>
      <w:pPr>
        <w:spacing w:after="0" w:line="68"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Our employees and personnel use AI and ML generative modeling tools to assist in our discovery efforts and product development. The disclosure and use of personal data in AI and ML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our drug discovery efforts may be less efficient and our ability to further expand our pipeline may be impaired.</w:t>
      </w:r>
    </w:p>
    <w:p>
      <w:pPr>
        <w:spacing w:after="0" w:line="68"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We are bound by other contractual obligations related to data privacy and security, and our efforts to comply with such obligations may not be successful.</w:t>
      </w:r>
    </w:p>
    <w:p>
      <w:pPr>
        <w:spacing w:after="0" w:line="46" w:lineRule="exact"/>
        <w:rPr>
          <w:sz w:val="20"/>
          <w:szCs w:val="20"/>
          <w:color w:val="auto"/>
        </w:rPr>
      </w:pPr>
    </w:p>
    <w:p>
      <w:pPr>
        <w:ind w:left="120" w:right="360" w:firstLine="551"/>
        <w:spacing w:after="0" w:line="247" w:lineRule="auto"/>
        <w:rPr>
          <w:sz w:val="20"/>
          <w:szCs w:val="20"/>
          <w:color w:val="auto"/>
        </w:rPr>
      </w:pPr>
      <w:r>
        <w:rPr>
          <w:rFonts w:ascii="Arial" w:cs="Arial" w:eastAsia="Arial" w:hAnsi="Arial"/>
          <w:sz w:val="18"/>
          <w:szCs w:val="18"/>
          <w:color w:val="auto"/>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66"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6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Compliance with U.S. and foreign data privacy and security laws, rules and regulations could require us to take on more onerous obligations in our contracts, require us to engage in costly compliance exercises, restrict our ability to collect, use and disclose sensitive data, or, in some cases, impact our or our partners’ or suppliers’ ability to operate in certain jurisdictions. Each of these constantly evolving laws can be subject to varying interpretations.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6"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57"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 For example, we rely on CROs located in China and Ukraine, among others, to conduct certain of our preclinical research and discovery activities. It is unknown how the status of current or future U.S.-China relations or the ongoing conflict in Ukraine will affect our ability to rely on these CROs to conduct our current and future preclinical studies.</w:t>
      </w:r>
    </w:p>
    <w:p>
      <w:pPr>
        <w:spacing w:after="0" w:line="75" w:lineRule="exact"/>
        <w:rPr>
          <w:sz w:val="20"/>
          <w:szCs w:val="20"/>
          <w:color w:val="auto"/>
        </w:rPr>
      </w:pPr>
    </w:p>
    <w:p>
      <w:pPr>
        <w:ind w:left="120" w:right="480" w:firstLine="551"/>
        <w:spacing w:after="0" w:line="247" w:lineRule="auto"/>
        <w:rPr>
          <w:sz w:val="20"/>
          <w:szCs w:val="20"/>
          <w:color w:val="auto"/>
        </w:rPr>
      </w:pPr>
      <w:r>
        <w:rPr>
          <w:rFonts w:ascii="Arial" w:cs="Arial" w:eastAsia="Arial" w:hAnsi="Arial"/>
          <w:sz w:val="18"/>
          <w:szCs w:val="18"/>
          <w:color w:val="auto"/>
        </w:rPr>
        <w:t>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spacing w:after="0" w:line="66"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7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301" w:lineRule="auto"/>
        <w:rPr>
          <w:sz w:val="20"/>
          <w:szCs w:val="20"/>
          <w:color w:val="auto"/>
        </w:rPr>
      </w:pPr>
      <w:r>
        <w:rPr>
          <w:rFonts w:ascii="Arial" w:cs="Arial" w:eastAsia="Arial" w:hAnsi="Arial"/>
          <w:sz w:val="17"/>
          <w:szCs w:val="17"/>
          <w:color w:val="auto"/>
        </w:rPr>
        <w:t>clinical trials complies with GCPs. Moreover, our business may be significantly impacted if our CROs, clinical investigators or other third parties violate federal or state healthcare fraud and abuse or false claims laws and regulations or healthcare privacy and security laws.</w:t>
      </w:r>
    </w:p>
    <w:p>
      <w:pPr>
        <w:spacing w:after="0" w:line="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7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7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87" w:lineRule="exact"/>
        <w:rPr>
          <w:sz w:val="20"/>
          <w:szCs w:val="20"/>
          <w:color w:val="auto"/>
        </w:rPr>
      </w:pPr>
    </w:p>
    <w:p>
      <w:pPr>
        <w:ind w:left="120" w:right="80"/>
        <w:spacing w:after="0" w:line="249" w:lineRule="auto"/>
        <w:rPr>
          <w:sz w:val="20"/>
          <w:szCs w:val="20"/>
          <w:color w:val="auto"/>
        </w:rPr>
      </w:pPr>
      <w:r>
        <w:rPr>
          <w:rFonts w:ascii="Arial" w:cs="Arial" w:eastAsia="Arial" w:hAnsi="Arial"/>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spacing w:after="0" w:line="57"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We currently rely, and expect to continue to rely, on third-party contract developers and manufacturers to manufacture bulk drug substances, drug products, raw materials, samples, components and other materials for our product candidates.</w:t>
      </w:r>
    </w:p>
    <w:p>
      <w:pPr>
        <w:spacing w:after="0" w:line="46" w:lineRule="exact"/>
        <w:rPr>
          <w:sz w:val="20"/>
          <w:szCs w:val="20"/>
          <w:color w:val="auto"/>
        </w:rPr>
      </w:pPr>
    </w:p>
    <w:p>
      <w:pPr>
        <w:ind w:left="120" w:right="60" w:firstLine="551"/>
        <w:spacing w:after="0" w:line="266" w:lineRule="auto"/>
        <w:rPr>
          <w:sz w:val="20"/>
          <w:szCs w:val="20"/>
          <w:color w:val="auto"/>
        </w:rPr>
      </w:pPr>
      <w:r>
        <w:rPr>
          <w:rFonts w:ascii="Arial" w:cs="Arial" w:eastAsia="Arial" w:hAnsi="Arial"/>
          <w:sz w:val="17"/>
          <w:szCs w:val="17"/>
          <w:color w:val="auto"/>
        </w:rPr>
        <w:t>Reliance on third-party manufacturers may expose us to different risks than if we were to manufacture product candidates ourselves. There can be no assurance that our preclinical and clinical development supplies will not be limited, interrupted, terminated or will be of satisfactory quality or be available at acceptable prices, including as we expand the size and number of clinical trials. In addition, replacing a manufacturer could require significant effort and time because there may be a limited number of qualified replacements.</w:t>
      </w:r>
    </w:p>
    <w:p>
      <w:pPr>
        <w:spacing w:after="0" w:line="51"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The manufacturing process for our product candidates is subject to review by the FDA and other foreign regulatory authorities to the extent applicable. We and our suppliers and manufacturers must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meet applicable manufacturing requirements and undergo rigorous facility and process validation tests required by regulatory authorities in order to comply with regulatory standards, such as current good manufacturing practices, or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timely or on reasonable terms, or at all. In some cases, the technical skills or technology required to manufacture our product candidates may be unique or proprietary to the original manufacturer and we may have difficulty transferring such to another third party.</w:t>
      </w:r>
    </w:p>
    <w:p>
      <w:pPr>
        <w:spacing w:after="0" w:line="75"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These factors would increase our reliance on such manufacturer or require us to obtain a license from such manufacturer in order to enable us to manufacture, or to have another third party manufacture, our product candidates.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spacing w:after="0" w:line="7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p>
    <w:p>
      <w:pPr>
        <w:spacing w:after="0" w:line="85"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initiate or continue preclinical studies or clinical trials of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loss of the cooperation of existing or future collaborators;</w:t>
      </w:r>
    </w:p>
    <w:p>
      <w:pPr>
        <w:spacing w:after="0" w:line="117"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product candidate, an inability to meet commercial demands for our products; and</w:t>
      </w:r>
    </w:p>
    <w:p>
      <w:pPr>
        <w:spacing w:after="0" w:line="59" w:lineRule="exact"/>
        <w:rPr>
          <w:rFonts w:ascii="Arial" w:cs="Arial" w:eastAsia="Arial" w:hAnsi="Arial"/>
          <w:sz w:val="18"/>
          <w:szCs w:val="18"/>
          <w:color w:val="auto"/>
        </w:rPr>
      </w:pPr>
    </w:p>
    <w:p>
      <w:pPr>
        <w:ind w:left="880" w:right="160" w:hanging="224"/>
        <w:spacing w:after="0" w:line="24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140"/>
        <w:spacing w:after="0" w:line="271" w:lineRule="auto"/>
        <w:rPr>
          <w:sz w:val="20"/>
          <w:szCs w:val="20"/>
          <w:color w:val="auto"/>
        </w:rPr>
      </w:pPr>
      <w:r>
        <w:rPr>
          <w:rFonts w:ascii="Arial" w:cs="Arial" w:eastAsia="Arial" w:hAnsi="Arial"/>
          <w:sz w:val="18"/>
          <w:szCs w:val="18"/>
          <w:color w:val="auto"/>
        </w:rPr>
        <w:t>seizure, detention or recall, operating restrictions, suits under the civil FCA, corporate integrity agreements, consent decrees or withdrawal of product approval.</w:t>
      </w:r>
    </w:p>
    <w:p>
      <w:pPr>
        <w:spacing w:after="0" w:line="46"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if approved, would be jeopardized.</w:t>
      </w:r>
    </w:p>
    <w:p>
      <w:pPr>
        <w:spacing w:after="0" w:line="171"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The operations of our suppliers, some of which are located outside of the United States, are subject to additional risks that are beyond our control and that could harm our business, financial condition, results of operations and prospects.</w:t>
      </w:r>
    </w:p>
    <w:p>
      <w:pPr>
        <w:spacing w:after="0" w:line="31"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Certain of our suppliers are located outside of the United States. As a result, we are subject to risks associated with doing business abroad, including:</w:t>
      </w:r>
    </w:p>
    <w:p>
      <w:pPr>
        <w:spacing w:after="0" w:line="59" w:lineRule="exact"/>
        <w:rPr>
          <w:sz w:val="20"/>
          <w:szCs w:val="20"/>
          <w:color w:val="auto"/>
        </w:rPr>
      </w:pPr>
    </w:p>
    <w:p>
      <w:pPr>
        <w:ind w:left="880" w:right="420" w:hanging="224"/>
        <w:spacing w:after="0" w:line="271"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political unrest, terrorism, labor disputes and economic instability resulting in the disruption of trade from foreign countries in which our products are manufactured;</w:t>
      </w:r>
    </w:p>
    <w:p>
      <w:pPr>
        <w:spacing w:after="0" w:line="59" w:lineRule="exact"/>
        <w:rPr>
          <w:rFonts w:ascii="Arial" w:cs="Arial" w:eastAsia="Arial" w:hAnsi="Arial"/>
          <w:sz w:val="18"/>
          <w:szCs w:val="18"/>
          <w:color w:val="auto"/>
        </w:rPr>
      </w:pPr>
    </w:p>
    <w:p>
      <w:pPr>
        <w:ind w:left="880" w:right="120" w:hanging="224"/>
        <w:spacing w:after="0" w:line="25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74"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challenges and increased costs with enforcing and periodically auditing or reviewing our suppliers’ and manufacturers’ compliance with cGMPs or status acceptable to the FDA or foreign regulatory authorities;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trademark protection, in some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in operations due to global, regional, or local public health crises or other emergencies or natural disasters;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or delays in shipments;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local economic conditions in countries where our manufacturers or suppliers are located.</w:t>
      </w:r>
    </w:p>
    <w:p>
      <w:pPr>
        <w:spacing w:after="0" w:line="10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p>
    <w:p>
      <w:pPr>
        <w:spacing w:after="0" w:line="171" w:lineRule="exact"/>
        <w:rPr>
          <w:sz w:val="20"/>
          <w:szCs w:val="20"/>
          <w:color w:val="auto"/>
        </w:rPr>
      </w:pPr>
    </w:p>
    <w:p>
      <w:pPr>
        <w:ind w:left="120" w:right="60"/>
        <w:spacing w:after="0" w:line="249" w:lineRule="auto"/>
        <w:rPr>
          <w:sz w:val="20"/>
          <w:szCs w:val="20"/>
          <w:color w:val="auto"/>
        </w:rPr>
      </w:pPr>
      <w:r>
        <w:rPr>
          <w:rFonts w:ascii="Arial" w:cs="Arial" w:eastAsia="Arial" w:hAnsi="Arial"/>
          <w:sz w:val="18"/>
          <w:szCs w:val="18"/>
          <w:b w:val="1"/>
          <w:bCs w:val="1"/>
          <w:i w:val="1"/>
          <w:iCs w:val="1"/>
          <w:color w:val="auto"/>
        </w:rPr>
        <w:t>We have entered, and may in the future enter into additional, collaborations or licensing arrangements, which are important to our business. If we are unable to enter into new collaborations or licenses, or if we fail to realize the benefits of any current or future collaborations or licensing arrangements, our business, financial condition, results of operations and prospects could be adversely affected.</w:t>
      </w:r>
    </w:p>
    <w:p>
      <w:pPr>
        <w:spacing w:after="0" w:line="5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key part of our strategy is to strategically evaluate and, as we deem appropriate, enter into collaborations or partnerships, including with major biotechnology or pharmaceutical companies to advance our current or future product candidates. We have entered into collaborations with J&amp;J, Pfizer and Terray to conduct various research and development activities. We have limited capabilities for product development and do not yet have any capability for commercialization. Accordingly, we may continue to enter into collaborations with other companies in the future to provide us with funding for our programs and technology. Any of our existing or future collaborations that we enter into may not be successful. The success of our collaboration arrangements will depend heavily on the efforts and activities of our collaborators. Our current product candidates are designed to address targets that we believe are of high interest to pharmaceutical partners.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collaborations and any future collaborations we enter into pose a number of risks, including the following:</w:t>
      </w:r>
    </w:p>
    <w:p>
      <w:pPr>
        <w:spacing w:after="0" w:line="117"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79" w:lineRule="exact"/>
        <w:rPr>
          <w:rFonts w:ascii="Arial" w:cs="Arial" w:eastAsia="Arial" w:hAnsi="Arial"/>
          <w:sz w:val="18"/>
          <w:szCs w:val="18"/>
          <w:color w:val="auto"/>
        </w:rPr>
      </w:pPr>
    </w:p>
    <w:p>
      <w:pPr>
        <w:ind w:left="880" w:right="320" w:hanging="224"/>
        <w:spacing w:after="0" w:line="301"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6" w:lineRule="exact"/>
        <w:rPr>
          <w:rFonts w:ascii="Arial" w:cs="Arial" w:eastAsia="Arial" w:hAnsi="Arial"/>
          <w:sz w:val="17"/>
          <w:szCs w:val="17"/>
          <w:color w:val="auto"/>
        </w:rPr>
      </w:pPr>
    </w:p>
    <w:p>
      <w:pPr>
        <w:jc w:val="both"/>
        <w:ind w:left="880" w:right="440" w:hanging="224"/>
        <w:spacing w:after="0" w:line="25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74" w:lineRule="exact"/>
        <w:rPr>
          <w:rFonts w:ascii="Arial" w:cs="Arial" w:eastAsia="Arial" w:hAnsi="Arial"/>
          <w:sz w:val="18"/>
          <w:szCs w:val="18"/>
          <w:color w:val="auto"/>
        </w:rPr>
      </w:pPr>
    </w:p>
    <w:p>
      <w:pPr>
        <w:ind w:left="880" w:right="300" w:hanging="224"/>
        <w:spacing w:after="0" w:line="27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w:t>
      </w:r>
    </w:p>
    <w:p>
      <w:pPr>
        <w:spacing w:after="0" w:line="59" w:lineRule="exact"/>
        <w:rPr>
          <w:rFonts w:ascii="Arial" w:cs="Arial" w:eastAsia="Arial" w:hAnsi="Arial"/>
          <w:sz w:val="18"/>
          <w:szCs w:val="18"/>
          <w:color w:val="auto"/>
        </w:rPr>
      </w:pPr>
    </w:p>
    <w:p>
      <w:pPr>
        <w:ind w:left="880" w:right="60" w:hanging="224"/>
        <w:spacing w:after="0" w:line="25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74"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59" w:lineRule="exact"/>
        <w:rPr>
          <w:rFonts w:ascii="Arial" w:cs="Arial" w:eastAsia="Arial" w:hAnsi="Arial"/>
          <w:sz w:val="18"/>
          <w:szCs w:val="18"/>
          <w:color w:val="auto"/>
        </w:rPr>
      </w:pPr>
    </w:p>
    <w:p>
      <w:pPr>
        <w:ind w:left="880" w:right="500" w:hanging="224"/>
        <w:spacing w:after="0" w:line="25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spacing w:after="0" w:line="74"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880" w:right="60" w:hanging="224"/>
        <w:spacing w:after="0" w:line="24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spacing w:after="0" w:line="79"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seek to amend or modify the terms of any collaboration;</w:t>
      </w:r>
    </w:p>
    <w:p>
      <w:pPr>
        <w:spacing w:after="0" w:line="117" w:lineRule="exact"/>
        <w:rPr>
          <w:rFonts w:ascii="Arial" w:cs="Arial" w:eastAsia="Arial" w:hAnsi="Arial"/>
          <w:sz w:val="18"/>
          <w:szCs w:val="18"/>
          <w:color w:val="auto"/>
        </w:rPr>
      </w:pPr>
    </w:p>
    <w:p>
      <w:pPr>
        <w:ind w:left="880" w:right="100" w:hanging="224"/>
        <w:spacing w:after="0" w:line="25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74"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60" w:hanging="224"/>
        <w:spacing w:after="0" w:line="271"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future commercialization of any product candidate licensed to it by us.</w:t>
      </w:r>
    </w:p>
    <w:p>
      <w:pPr>
        <w:spacing w:after="0" w:line="46"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p>
    <w:p>
      <w:pPr>
        <w:spacing w:after="0" w:line="71" w:lineRule="exact"/>
        <w:rPr>
          <w:sz w:val="20"/>
          <w:szCs w:val="20"/>
          <w:color w:val="auto"/>
        </w:rPr>
      </w:pPr>
    </w:p>
    <w:p>
      <w:pPr>
        <w:ind w:left="120" w:right="360" w:firstLine="551"/>
        <w:spacing w:after="0" w:line="247" w:lineRule="auto"/>
        <w:rPr>
          <w:sz w:val="20"/>
          <w:szCs w:val="20"/>
          <w:color w:val="auto"/>
        </w:rPr>
      </w:pPr>
      <w:r>
        <w:rPr>
          <w:rFonts w:ascii="Arial" w:cs="Arial" w:eastAsia="Arial" w:hAnsi="Arial"/>
          <w:sz w:val="18"/>
          <w:szCs w:val="18"/>
          <w:color w:val="auto"/>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w:t>
      </w:r>
    </w:p>
    <w:p>
      <w:pPr>
        <w:spacing w:after="0" w:line="6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spacing w:after="0" w:line="7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 See the section of this prospectus titled “</w:t>
      </w:r>
      <w:r>
        <w:rPr>
          <w:rFonts w:ascii="Arial" w:cs="Arial" w:eastAsia="Arial" w:hAnsi="Arial"/>
          <w:sz w:val="18"/>
          <w:szCs w:val="18"/>
          <w:i w:val="1"/>
          <w:iCs w:val="1"/>
          <w:color w:val="auto"/>
        </w:rPr>
        <w:t>Business</w:t>
      </w:r>
      <w:r>
        <w:rPr>
          <w:rFonts w:ascii="Arial" w:cs="Arial" w:eastAsia="Arial" w:hAnsi="Arial"/>
          <w:sz w:val="18"/>
          <w:szCs w:val="18"/>
          <w:color w:val="auto"/>
        </w:rPr>
        <w:t>—</w:t>
      </w:r>
      <w:r>
        <w:rPr>
          <w:rFonts w:ascii="Arial" w:cs="Arial" w:eastAsia="Arial" w:hAnsi="Arial"/>
          <w:sz w:val="18"/>
          <w:szCs w:val="18"/>
          <w:i w:val="1"/>
          <w:iCs w:val="1"/>
          <w:color w:val="auto"/>
        </w:rPr>
        <w:t>License and Collaboration Agreements</w:t>
      </w:r>
      <w:r>
        <w:rPr>
          <w:rFonts w:ascii="Arial" w:cs="Arial" w:eastAsia="Arial" w:hAnsi="Arial"/>
          <w:sz w:val="18"/>
          <w:szCs w:val="18"/>
          <w:color w:val="auto"/>
        </w:rPr>
        <w:t>” for more information on our collaboration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06" w:lineRule="exact"/>
        <w:rPr>
          <w:sz w:val="20"/>
          <w:szCs w:val="20"/>
          <w:color w:val="auto"/>
        </w:rPr>
      </w:pPr>
    </w:p>
    <w:p>
      <w:pPr>
        <w:ind w:left="120" w:right="640"/>
        <w:spacing w:after="0" w:line="27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fail to remediate this material weakness, or if we experience additional material weaknesses in the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80"/>
        <w:spacing w:after="0" w:line="249" w:lineRule="auto"/>
        <w:rPr>
          <w:sz w:val="20"/>
          <w:szCs w:val="20"/>
          <w:color w:val="auto"/>
        </w:rPr>
      </w:pPr>
      <w:r>
        <w:rPr>
          <w:rFonts w:ascii="Arial" w:cs="Arial" w:eastAsia="Arial" w:hAnsi="Arial"/>
          <w:sz w:val="18"/>
          <w:szCs w:val="18"/>
          <w:b w:val="1"/>
          <w:bCs w:val="1"/>
          <w:i w:val="1"/>
          <w:iCs w:val="1"/>
          <w:color w:val="auto"/>
        </w:rPr>
        <w:t>future or otherwise fail to maintain effective internal control over financial reporting or disclosure controls in the future, we may be unable to produce accurate and timely financial statements or detect acts of fraud, which may adversely affect investor confidence in us, and, as a result, the value of our common stock, or result in delisting, sanctions or other penalties that could harm our business.</w:t>
      </w:r>
    </w:p>
    <w:p>
      <w:pPr>
        <w:spacing w:after="0" w:line="57"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To comply with the requirements of being a public company, we will need to undertake various actions, including implementing new internal controls and procedures. The Sarbanes-Oxley Act of 2002, or the Sarbanes-Oxley Act, requires that we maintain effective disclosure controls and procedures and internal control over financial reporting. We have identified a material weakness in our internal control over financial reporting for the years ended December 31, 2023 and 2022.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material weakness we identified relates to (a) insufficient segregation of duties in the financial statement close process and</w:t>
      </w:r>
    </w:p>
    <w:p>
      <w:pPr>
        <w:spacing w:after="0" w:line="14" w:lineRule="exact"/>
        <w:rPr>
          <w:sz w:val="20"/>
          <w:szCs w:val="20"/>
          <w:color w:val="auto"/>
        </w:rPr>
      </w:pPr>
    </w:p>
    <w:p>
      <w:pPr>
        <w:ind w:left="120" w:right="80" w:hanging="4"/>
        <w:spacing w:after="0" w:line="237" w:lineRule="auto"/>
        <w:tabs>
          <w:tab w:leader="none" w:pos="3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lack of sufficient levels of staff with public company and technical accounting experience to maintain proper control activities and perform risk assessment and monitoring activities. In addition, we do not currently have a Chief Financial Officer to oversee our accounting functions, which may increase the likelihood of errors related to the recording, disclosure, and presentation of consolidated financial information in quarterly, annual and other filings. The material weakness could result in a misstatement of account balances or disclosures that would result in a material misstatement to the annual or interim financial statements that would not be prevented or detected. Had we performed an evaluation of our internal control over financial reporting in accordance with Section 404 of the Sarbanes-Oxley Act, additional control deficiencies may have been identified by management, and those control deficiencies could have also represented one or more material weaknesses.</w:t>
      </w:r>
    </w:p>
    <w:p>
      <w:pPr>
        <w:spacing w:after="0" w:line="7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have taken steps to remediate the material weakness described above, including consulting with experts on technical accounting matters in connection with the preparation of our 2023 audited financial statements and footnotes under guidance from the Public Company Accounting Oversight Board (United States) to ensure that we are prepared for the reporting obligations of a public company. We also plan to hire additional senior level staff with public company experience, including a Chief Financial Officer, to provide needed levels of expertise in our internal accounting function and maintain appropriate segregation of duties. 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We expect to implement new procedures and controls and take efforts to address the identified weakness during the 2024 and 2025 fiscal years, and anticipate that the full remediation of the material weakness identified will extend beyond December 31, 2024. These remediation measures will be time consuming and require significant financial and operational resources. However, we cannot assure you that the measures we are taking to remediate the material weakness will prevent or avoid potential future material weaknesses.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w:t>
      </w:r>
    </w:p>
    <w:p>
      <w:pPr>
        <w:spacing w:after="0" w:line="7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specified in the rules and forms of the SEC. Any failure to remediate any material weakness or develop or maintain effective controls when we become subject to this requirement could negatively affect the results of periodic management evaluations regarding the effectiveness of our internal control over financial reporting that we will be required to include in our periodic reports we will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as a result. In addition, if we are unable to continue to meet these requirements, we may be delisted from Nasdaq.</w:t>
      </w:r>
    </w:p>
    <w:p>
      <w:pPr>
        <w:spacing w:after="0" w:line="72"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the later of (i) our second annual report or (ii) the first annual report required to be filed with the SEC following the date we are no longer an “emerging growth company,” as defined in the Jumpstart Our Business Startups Act, or the JOBS Act, or a “smaller reporting company” as defined by the SEC.</w:t>
      </w:r>
    </w:p>
    <w:p>
      <w:pPr>
        <w:spacing w:after="0" w:line="66"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We may discover additional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remediate the existing material weakness and maintain proper and effective internal control over financial reporting, we may not be able to produce timely and accurate financial statements or detect acts of fraud.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78" w:lineRule="exact"/>
        <w:rPr>
          <w:sz w:val="20"/>
          <w:szCs w:val="20"/>
          <w:color w:val="auto"/>
        </w:rPr>
      </w:pPr>
    </w:p>
    <w:p>
      <w:pPr>
        <w:ind w:left="120" w:right="400"/>
        <w:spacing w:after="0" w:line="278"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not develop and you may not be able to resell your shares of common stock at or above the initial public offering price, if at all.</w:t>
      </w:r>
    </w:p>
    <w:p>
      <w:pPr>
        <w:spacing w:after="0" w:line="31"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Prior to this offering, no market for shares of our common stock existed. We have applied to list our common stock on Nasdaq under the symbol “ODTX.” However, there is no assurance that our application to list our common stock on Nasdaq will be approved. Even if our common stock is listed and this offering is consummated, an active or liquid trading market for our common stock may never develop or be sustained.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if at all. Moreover, the initial public offering price for our common stock will be determined through negotiations with the underwriters, and may vary from the market price of our common stock following this offering. As a result of these and other factors, you may be unable to resell your shares of our common stock at or above the initial public offering price, at the time you wish to sell them, or at a price that you consider reasonable. The lack of an active market may also reduce the fair market value of your shares. Furthermore, an inactive market may also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which could result in substantial losses for investors purchasing shares in this offering.</w:t>
      </w:r>
    </w:p>
    <w:p>
      <w:pPr>
        <w:spacing w:after="0" w:line="102"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59" w:lineRule="exact"/>
        <w:rPr>
          <w:sz w:val="20"/>
          <w:szCs w:val="20"/>
          <w:color w:val="auto"/>
        </w:rPr>
      </w:pPr>
    </w:p>
    <w:p>
      <w:pPr>
        <w:ind w:left="880" w:right="16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and the results of trials of our competitors or those of other companies in our market sector;</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volatility and instability in the financial and capital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competitors that impact our competitive outlook;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with respect to our product candidates, or similar products or product candidates against which we compete;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current or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with respect to patents or other intellectual property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 candidates, new products or new contracts by us or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relating to strategic transactions, including acquisitions, collaborations, licenses or similar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financial estimates by equity research analysts and whether our earnings (or losses) meet or exceed such estimates;</w:t>
      </w:r>
    </w:p>
    <w:p>
      <w:pPr>
        <w:spacing w:after="0" w:line="117"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 and receipt, or lack of receipt, of funding in support of conducting our business;</w:t>
      </w:r>
    </w:p>
    <w:p>
      <w:pPr>
        <w:spacing w:after="0" w:line="59" w:lineRule="exact"/>
        <w:rPr>
          <w:rFonts w:ascii="Arial" w:cs="Arial" w:eastAsia="Arial" w:hAnsi="Arial"/>
          <w:sz w:val="18"/>
          <w:szCs w:val="18"/>
          <w:color w:val="auto"/>
        </w:rPr>
      </w:pPr>
    </w:p>
    <w:p>
      <w:pPr>
        <w:ind w:left="880" w:right="20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or the perception of potential sales of our common stock by us, our insiders, or other stockholders, or issuances by us of shares of our common stock in connection with strategic transactions;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 described in the section of this prospectus titled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42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 including changes in the structure of healthcare payment systems;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pandemics, natural disasters or major catastrophic events; and</w:t>
      </w:r>
    </w:p>
    <w:p>
      <w:pPr>
        <w:spacing w:after="0" w:line="117"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including any such changes specific to the pharmaceutical and biotechnology sectors.</w:t>
      </w:r>
    </w:p>
    <w:p>
      <w:pPr>
        <w:spacing w:after="0" w:line="46"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780"/>
        <w:spacing w:after="0" w:line="278" w:lineRule="auto"/>
        <w:rPr>
          <w:sz w:val="20"/>
          <w:szCs w:val="20"/>
          <w:color w:val="auto"/>
        </w:rPr>
      </w:pPr>
      <w:r>
        <w:rPr>
          <w:rFonts w:ascii="Arial" w:cs="Arial" w:eastAsia="Arial" w:hAnsi="Arial"/>
          <w:sz w:val="18"/>
          <w:szCs w:val="18"/>
          <w:b w:val="1"/>
          <w:bCs w:val="1"/>
          <w:i w:val="1"/>
          <w:iCs w:val="1"/>
          <w:color w:val="auto"/>
        </w:rPr>
        <w:t>We or our directors or officers may be subject to securities litigation, which is expensive and could divert management attention.</w:t>
      </w:r>
    </w:p>
    <w:p>
      <w:pPr>
        <w:spacing w:after="0" w:line="3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may be the target of securities litigation in the future, including based on volatility in the market price of our stock. The stock market in general, and The Nasdaq Stock Market LLC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p>
    <w:p>
      <w:pPr>
        <w:spacing w:after="0" w:line="185"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b w:val="1"/>
          <w:bCs w:val="1"/>
          <w:i w:val="1"/>
          <w:iCs w:val="1"/>
          <w:color w:val="auto"/>
        </w:rPr>
        <w:t>You will experience immediate and substantial dilution as a result of this offering and may experience additional dilution in the future.</w:t>
      </w:r>
    </w:p>
    <w:p>
      <w:pPr>
        <w:spacing w:after="0" w:line="3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You will suffer immediate and substantial dilution with respect to the common stock you purchase in this offering. Specifically, assuming an initial public offering price of $    per share, which is the midpoint of the price range set forth on the cover page of this prospectus, and assuming that the number of shares offered by us, as set forth on the cover page of this prospectus, remains the same and that the underwriters do not exercise their option to purchase additional shares of common stock in this offering, you will incur immediate dilution of $    per share. That number represents the difference between the assumed initial public offering price of $    per share and our pro forma net tangible book value per share as of September 30, 2024, after giving effect to (i) the conversion of all outstanding shares of our convertible preferred stock into an aggregate of        shares of our common stock immediately prior to the closing of this offering, (ii) the automatic conversion of all outstanding shares of our non-voting common stock into an aggregate</w:t>
      </w:r>
    </w:p>
    <w:p>
      <w:pPr>
        <w:spacing w:after="0" w:line="3" w:lineRule="exact"/>
        <w:rPr>
          <w:sz w:val="20"/>
          <w:szCs w:val="20"/>
          <w:color w:val="auto"/>
        </w:rPr>
      </w:pPr>
    </w:p>
    <w:p>
      <w:pPr>
        <w:ind w:left="120" w:right="900"/>
        <w:spacing w:after="0" w:line="250" w:lineRule="auto"/>
        <w:rPr>
          <w:sz w:val="20"/>
          <w:szCs w:val="20"/>
          <w:color w:val="auto"/>
        </w:rPr>
      </w:pPr>
      <w:r>
        <w:rPr>
          <w:rFonts w:ascii="Arial" w:cs="Arial" w:eastAsia="Arial" w:hAnsi="Arial"/>
          <w:sz w:val="18"/>
          <w:szCs w:val="18"/>
          <w:color w:val="auto"/>
        </w:rPr>
        <w:t>of        shares of our common stock upon the closing of this offering and (iii) the filing and effectiveness of our Certificate of Incorporation to be effective immediately prior to the closing of this offering.</w:t>
      </w:r>
    </w:p>
    <w:p>
      <w:pPr>
        <w:spacing w:after="0" w:line="6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Furthermore, pursuant to our 2024 Long-Term Incentive Plan, or the 2024 Plan, adopted in connection with the closing of this offering, our management is authorized to grant stock options to our employees, directors and consultants. Initially, the aggregate number of shares of our common stock that may be issued pursuant to stock awards under the 2024 Plan and pursuant to the ESPP is       </w:t>
      </w:r>
    </w:p>
    <w:p>
      <w:pPr>
        <w:spacing w:after="0" w:line="2" w:lineRule="exact"/>
        <w:rPr>
          <w:sz w:val="20"/>
          <w:szCs w:val="20"/>
          <w:color w:val="auto"/>
        </w:rPr>
      </w:pPr>
    </w:p>
    <w:p>
      <w:pPr>
        <w:ind w:left="120" w:right="120"/>
        <w:spacing w:after="0" w:line="234" w:lineRule="auto"/>
        <w:rPr>
          <w:sz w:val="20"/>
          <w:szCs w:val="20"/>
          <w:color w:val="auto"/>
        </w:rPr>
      </w:pPr>
      <w:r>
        <w:rPr>
          <w:rFonts w:ascii="Arial" w:cs="Arial" w:eastAsia="Arial" w:hAnsi="Arial"/>
          <w:sz w:val="18"/>
          <w:szCs w:val="18"/>
          <w:color w:val="auto"/>
        </w:rPr>
        <w:t>shares and        shares, respectively. Additionally, the number of shares of our common stock reserved for issuance under the 2024 Plan and the ESPP will automatically increase on January 1st of each year, beginning on         and continuing through and including</w:t>
      </w:r>
    </w:p>
    <w:p>
      <w:pPr>
        <w:spacing w:after="0" w:line="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        , by        % of the total number of shares of our capital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spacing w:after="0" w:line="71"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For a further description of the dilution you will experience immediately after this offering, see the section of this prospectus titled “</w:t>
      </w:r>
      <w:r>
        <w:rPr>
          <w:rFonts w:ascii="Arial" w:cs="Arial" w:eastAsia="Arial" w:hAnsi="Arial"/>
          <w:sz w:val="18"/>
          <w:szCs w:val="18"/>
          <w:i w:val="1"/>
          <w:iCs w:val="1"/>
          <w:color w:val="auto"/>
        </w:rPr>
        <w:t>Dilution</w:t>
      </w:r>
      <w:r>
        <w:rPr>
          <w:rFonts w:ascii="Arial" w:cs="Arial" w:eastAsia="Arial" w:hAnsi="Arial"/>
          <w:sz w:val="18"/>
          <w:szCs w:val="18"/>
          <w:color w:val="auto"/>
        </w:rPr>
        <w:t>.”</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5"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260"/>
        <w:spacing w:after="0" w:line="309" w:lineRule="auto"/>
        <w:rPr>
          <w:sz w:val="20"/>
          <w:szCs w:val="20"/>
          <w:color w:val="auto"/>
        </w:rPr>
      </w:pPr>
      <w:r>
        <w:rPr>
          <w:rFonts w:ascii="Arial" w:cs="Arial" w:eastAsia="Arial" w:hAnsi="Arial"/>
          <w:sz w:val="17"/>
          <w:szCs w:val="17"/>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8" w:lineRule="exact"/>
        <w:rPr>
          <w:sz w:val="20"/>
          <w:szCs w:val="20"/>
          <w:color w:val="auto"/>
        </w:rPr>
      </w:pPr>
    </w:p>
    <w:p>
      <w:pPr>
        <w:ind w:left="120" w:right="680" w:firstLine="551"/>
        <w:spacing w:after="0" w:line="301" w:lineRule="auto"/>
        <w:rPr>
          <w:sz w:val="20"/>
          <w:szCs w:val="20"/>
          <w:color w:val="auto"/>
        </w:rPr>
      </w:pPr>
      <w:r>
        <w:rPr>
          <w:rFonts w:ascii="Arial" w:cs="Arial" w:eastAsia="Arial" w:hAnsi="Arial"/>
          <w:sz w:val="17"/>
          <w:szCs w:val="17"/>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36"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product candidates or future development programs;</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and timing of preclinical studies and ongoing and future clinical trials, or the addition or termination of any such preclinical studies or clinical trials;</w:t>
      </w:r>
    </w:p>
    <w:p>
      <w:pPr>
        <w:spacing w:after="0" w:line="59" w:lineRule="exact"/>
        <w:rPr>
          <w:rFonts w:ascii="Arial" w:cs="Arial" w:eastAsia="Arial" w:hAnsi="Arial"/>
          <w:sz w:val="18"/>
          <w:szCs w:val="18"/>
          <w:color w:val="auto"/>
        </w:rPr>
      </w:pPr>
    </w:p>
    <w:p>
      <w:pPr>
        <w:ind w:left="880" w:right="42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payments we may make or receive under existing license and collaboration arrangements or the termination or modification thereof;</w:t>
      </w:r>
    </w:p>
    <w:p>
      <w:pPr>
        <w:spacing w:after="0" w:line="59" w:lineRule="exact"/>
        <w:rPr>
          <w:rFonts w:ascii="Arial" w:cs="Arial" w:eastAsia="Arial" w:hAnsi="Arial"/>
          <w:sz w:val="18"/>
          <w:szCs w:val="18"/>
          <w:color w:val="auto"/>
        </w:rPr>
      </w:pPr>
    </w:p>
    <w:p>
      <w:pPr>
        <w:ind w:left="880" w:right="48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strategic transactions, including acquisitions, collaborations, licenses or similar arrangements, and the timing and amount of payments we may make or receive in connection with such transactions;</w:t>
      </w:r>
    </w:p>
    <w:p>
      <w:pPr>
        <w:spacing w:after="0" w:line="59"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IPR, PGR, derivation or cancellation proceeding in which we may become involved;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recruitment and departures of key personnel;</w:t>
      </w:r>
    </w:p>
    <w:p>
      <w:pPr>
        <w:spacing w:after="0" w:line="117"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impacts of inflation and rising interest rates on our business and operations;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0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176"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31"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176"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We have broad discretion in how we use the net proceeds of this offering and may not use these proceeds effectively, which could affect our results of operations and cause our stock price to decline.</w:t>
      </w:r>
    </w:p>
    <w:p>
      <w:pPr>
        <w:spacing w:after="0" w:line="31" w:lineRule="exact"/>
        <w:rPr>
          <w:sz w:val="20"/>
          <w:szCs w:val="20"/>
          <w:color w:val="auto"/>
        </w:rPr>
      </w:pPr>
    </w:p>
    <w:p>
      <w:pPr>
        <w:ind w:left="120" w:right="680" w:firstLine="551"/>
        <w:spacing w:after="0" w:line="271"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of this prospectus titled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board of directors will be authorized to issue and designate shares of our preferred stock without stockholder approval.</w:t>
      </w:r>
    </w:p>
    <w:p>
      <w:pPr>
        <w:spacing w:after="0" w:line="10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Our Certificate of Incorporation, which will be effective immediately prior to the closing of this offering, will authorize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181"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i w:val="1"/>
          <w:iCs w:val="1"/>
          <w:color w:val="auto"/>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p>
    <w:p>
      <w:pPr>
        <w:spacing w:after="0" w:line="51"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As part of our business strategy,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potential transaction may entail numerous risks, including:</w:t>
      </w:r>
    </w:p>
    <w:p>
      <w:pPr>
        <w:spacing w:after="0" w:line="117"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assumption of indebtedness, contractual obligations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880" w:right="580" w:hanging="224"/>
        <w:spacing w:after="0" w:line="271"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59" w:lineRule="exact"/>
        <w:rPr>
          <w:rFonts w:ascii="Arial" w:cs="Arial" w:eastAsia="Arial" w:hAnsi="Arial"/>
          <w:sz w:val="18"/>
          <w:szCs w:val="18"/>
          <w:color w:val="auto"/>
        </w:rPr>
      </w:pPr>
    </w:p>
    <w:p>
      <w:pPr>
        <w:ind w:left="880" w:right="960" w:hanging="224"/>
        <w:spacing w:after="0" w:line="271"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a strategic transaction;</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59"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46"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assume unknown or contingent liabilities. If we engage in a disposition we may have difficulty replacing the assets we sold or in separating our continuing operations from those of the business we sold.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7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81" w:lineRule="exact"/>
        <w:rPr>
          <w:sz w:val="20"/>
          <w:szCs w:val="20"/>
          <w:color w:val="auto"/>
        </w:rPr>
      </w:pPr>
    </w:p>
    <w:p>
      <w:pPr>
        <w:ind w:left="120" w:right="40"/>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31"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61" w:lineRule="exact"/>
        <w:rPr>
          <w:sz w:val="20"/>
          <w:szCs w:val="20"/>
          <w:color w:val="auto"/>
        </w:rPr>
      </w:pPr>
    </w:p>
    <w:p>
      <w:pPr>
        <w:jc w:val="both"/>
        <w:ind w:left="120" w:right="260" w:firstLine="551"/>
        <w:spacing w:after="0" w:line="241" w:lineRule="auto"/>
        <w:rPr>
          <w:sz w:val="20"/>
          <w:szCs w:val="20"/>
          <w:color w:val="auto"/>
        </w:rPr>
      </w:pPr>
      <w:r>
        <w:rPr>
          <w:rFonts w:ascii="Arial" w:cs="Arial" w:eastAsia="Arial" w:hAnsi="Arial"/>
          <w:sz w:val="18"/>
          <w:szCs w:val="18"/>
          <w:color w:val="auto"/>
        </w:rPr>
        <w:t>Based on        shares of our common stock outstanding as of September 30, 2024, after giving effect to the conversion of all outstanding shares of our convertible preferred stock into an aggregate of        shares of our common stock immediately prior to the closing of this offering and the automatic conversion of all outstanding shares of our non-voting common stock into an aggregate</w:t>
      </w:r>
    </w:p>
    <w:p>
      <w:pPr>
        <w:spacing w:after="0" w:line="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of        shares of our common stock upon the closing of this offering, we will have outstanding a total of        shares of our common stock, assuming no exercise of the underwriters’ option to purchase additional shares and no exercise of outstanding options subsequent to such date. Of these shares, only the        shares of our common stock sold in this offering by us, plus any shares sold upon exercise of the underwriters’ option to purchase additional shares, will (unless they are purchased by one of our affiliates) be freely tradable, without restriction, in the public market immediately following this offering.</w:t>
      </w:r>
    </w:p>
    <w:p>
      <w:pPr>
        <w:spacing w:after="0" w:line="7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directors and executive officers and holders of substantially all of our outstanding securities have entered into lock-up agreements with the underwriters pursuant to which they may not, with certain exceptions, for a period of 180 days from the date of this prospectus, offer, sell or otherwise transfer or dispose of any of our securities, without the prior written consent of the representatives of the underwriters. However, the representatives may permit our officers, directors and other security holders who are subject to the lock-up agreements to sell shares prior to the expiration of the lock-up agreements at any time in their sole discretion. See the section of this prospectus titled “</w:t>
      </w:r>
      <w:r>
        <w:rPr>
          <w:rFonts w:ascii="Arial" w:cs="Arial" w:eastAsia="Arial" w:hAnsi="Arial"/>
          <w:sz w:val="18"/>
          <w:szCs w:val="18"/>
          <w:i w:val="1"/>
          <w:iCs w:val="1"/>
          <w:color w:val="auto"/>
        </w:rPr>
        <w:t>Underwriting</w:t>
      </w:r>
      <w:r>
        <w:rPr>
          <w:rFonts w:ascii="Arial" w:cs="Arial" w:eastAsia="Arial" w:hAnsi="Arial"/>
          <w:sz w:val="18"/>
          <w:szCs w:val="18"/>
          <w:color w:val="auto"/>
        </w:rPr>
        <w:t>.” Sales of these shares, or perceptions that they will be sold, could cause the trading price of our common stock to decline. After the lock-up agreements expire, an additional        shares of our common stock will be eligible for sale in the public market, of which        shares are held by directors, executive officers and other affiliates and will be subject to volume limitations under Rule 144 under the Securities Act of 1933, as amended, or the Securities Act.</w:t>
      </w:r>
    </w:p>
    <w:p>
      <w:pPr>
        <w:spacing w:after="0" w:line="75" w:lineRule="exact"/>
        <w:rPr>
          <w:sz w:val="20"/>
          <w:szCs w:val="20"/>
          <w:color w:val="auto"/>
        </w:rPr>
      </w:pPr>
    </w:p>
    <w:p>
      <w:pPr>
        <w:ind w:left="120" w:right="820" w:firstLine="551"/>
        <w:spacing w:after="0" w:line="271" w:lineRule="auto"/>
        <w:rPr>
          <w:sz w:val="20"/>
          <w:szCs w:val="20"/>
          <w:color w:val="auto"/>
        </w:rPr>
      </w:pPr>
      <w:r>
        <w:rPr>
          <w:rFonts w:ascii="Arial" w:cs="Arial" w:eastAsia="Arial" w:hAnsi="Arial"/>
          <w:sz w:val="18"/>
          <w:szCs w:val="18"/>
          <w:color w:val="auto"/>
        </w:rPr>
        <w:t>In addition, the 17,432,533 shares of our common stock that are subject to outstanding options under the 2021 Plan as of September 30, 2024 will become eligible for sale in the public market after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this offering, to the extent permitted by the provisions of various vesting schedules, the lock-up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spacing w:after="0" w:line="61"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After this offering, the holders of        shares of our outstanding common stock, or approximately  % of our total outstanding common stock based on        shares outstanding as of September 30, 2024 (after giving effect to the automatic conversion of all outstanding shares of our convertible preferred stock into an aggregate of        shares of our common stock immediately prior to the closing of this offering and the automatic conversion of all outstanding shares of our non-voting common stock into an aggregate</w:t>
      </w:r>
    </w:p>
    <w:p>
      <w:pPr>
        <w:ind w:left="120" w:right="100"/>
        <w:spacing w:after="0" w:line="239" w:lineRule="auto"/>
        <w:rPr>
          <w:sz w:val="20"/>
          <w:szCs w:val="20"/>
          <w:color w:val="auto"/>
        </w:rPr>
      </w:pPr>
      <w:r>
        <w:rPr>
          <w:rFonts w:ascii="Arial" w:cs="Arial" w:eastAsia="Arial" w:hAnsi="Arial"/>
          <w:sz w:val="18"/>
          <w:szCs w:val="18"/>
          <w:color w:val="auto"/>
        </w:rPr>
        <w:t>of        shares of our common stock upon the closing of this offering), will be entitled to rights with respect to the registration of their shares under the Securities Act, subject to the lock-up agreements described above. See the section of this prospectus titled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Capital Stock—Registration Rights</w:t>
      </w:r>
      <w:r>
        <w:rPr>
          <w:rFonts w:ascii="Arial" w:cs="Arial" w:eastAsia="Arial" w:hAnsi="Arial"/>
          <w:sz w:val="18"/>
          <w:szCs w:val="18"/>
          <w:color w:val="auto"/>
        </w:rPr>
        <w:t>.” Registration of these shares under the Securities Act would result in the shares becoming freely</w:t>
      </w:r>
      <w:r>
        <w:rPr>
          <w:rFonts w:ascii="Arial" w:cs="Arial" w:eastAsia="Arial" w:hAnsi="Arial"/>
          <w:sz w:val="18"/>
          <w:szCs w:val="18"/>
          <w:i w:val="1"/>
          <w:iCs w:val="1"/>
          <w:color w:val="auto"/>
        </w:rPr>
        <w:t xml:space="preserve"> </w:t>
      </w:r>
      <w:r>
        <w:rPr>
          <w:rFonts w:ascii="Arial" w:cs="Arial" w:eastAsia="Arial" w:hAnsi="Arial"/>
          <w:sz w:val="18"/>
          <w:szCs w:val="18"/>
          <w:color w:val="auto"/>
        </w:rPr>
        <w:t>tradable without restriction under the Securities Act. Any sales of securities by these stockholders could adversely affect the trading price of our common stock.</w:t>
      </w:r>
    </w:p>
    <w:p>
      <w:pPr>
        <w:spacing w:after="0" w:line="182" w:lineRule="exact"/>
        <w:rPr>
          <w:sz w:val="20"/>
          <w:szCs w:val="20"/>
          <w:color w:val="auto"/>
        </w:rPr>
      </w:pPr>
    </w:p>
    <w:p>
      <w:pPr>
        <w:ind w:left="120" w:right="1080"/>
        <w:spacing w:after="0" w:line="278" w:lineRule="auto"/>
        <w:rPr>
          <w:sz w:val="20"/>
          <w:szCs w:val="20"/>
          <w:color w:val="auto"/>
        </w:rPr>
      </w:pPr>
      <w:r>
        <w:rPr>
          <w:rFonts w:ascii="Arial" w:cs="Arial" w:eastAsia="Arial" w:hAnsi="Arial"/>
          <w:sz w:val="18"/>
          <w:szCs w:val="18"/>
          <w:b w:val="1"/>
          <w:bCs w:val="1"/>
          <w:i w:val="1"/>
          <w:iCs w:val="1"/>
          <w:color w:val="auto"/>
        </w:rPr>
        <w:t>Conflicts of interest may arise because some members of our board of directors are representatives of our principal stockholders.</w:t>
      </w:r>
    </w:p>
    <w:p>
      <w:pPr>
        <w:spacing w:after="0" w:line="31"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176" w:lineRule="exact"/>
        <w:rPr>
          <w:sz w:val="20"/>
          <w:szCs w:val="20"/>
          <w:color w:val="auto"/>
        </w:rPr>
      </w:pPr>
    </w:p>
    <w:p>
      <w:pPr>
        <w:ind w:left="120" w:right="520"/>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3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Based on        shares of our common stock outstanding as of September 30, 2024, after giving effect to the conversion of all shares of our convertible preferred stock outstanding as of September 30, 2024 into an aggregate of        shares of our common stock immediately prior to the closing of this offering and the automatic conversion of all outstanding shares of our non-voting common stock into an aggregate of         shares of our common stock upon the closing of this offering, our executive officers, directors and holders of 5% or more of our capital stock beneficially owned approximately  % of our voting stock and, upon the completion of this offering, that same group will beneficially own approximately  % of our outstanding voting stock (assuming no exercise of the underwriters’ option to purchase additional shares of our common stock and no exercise of outstanding options). The interests of these stockholders may not be the same as or may even conflict with your interests. For example, these stockholders could delay or prevent our change of control, even if such a change of control would benefit our other stockholders, which could deprive our stockholders of an opportunity to receive a premium for their common stock as part of a sale of us or of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5"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and resources to new compliance initiatives.</w:t>
      </w:r>
    </w:p>
    <w:p>
      <w:pPr>
        <w:spacing w:after="0" w:line="31" w:lineRule="exact"/>
        <w:rPr>
          <w:sz w:val="20"/>
          <w:szCs w:val="20"/>
          <w:color w:val="auto"/>
        </w:rPr>
      </w:pPr>
    </w:p>
    <w:p>
      <w:pPr>
        <w:ind w:left="120" w:right="280" w:firstLine="551"/>
        <w:spacing w:after="0" w:line="275" w:lineRule="auto"/>
        <w:rPr>
          <w:sz w:val="20"/>
          <w:szCs w:val="20"/>
          <w:color w:val="auto"/>
        </w:rPr>
      </w:pPr>
      <w:r>
        <w:rPr>
          <w:rFonts w:ascii="Arial" w:cs="Arial" w:eastAsia="Arial" w:hAnsi="Arial"/>
          <w:sz w:val="17"/>
          <w:szCs w:val="17"/>
          <w:color w:val="auto"/>
        </w:rPr>
        <w:t>As a public company, we will be subject to the reporting requirements of the Exchange Act,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in order to develop and implement appropriate internal control and reporting procedures, which will increase our costs and expenses.</w:t>
      </w:r>
    </w:p>
    <w:p>
      <w:pPr>
        <w:spacing w:after="0" w:line="7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182" w:lineRule="exact"/>
        <w:rPr>
          <w:sz w:val="20"/>
          <w:szCs w:val="20"/>
          <w:color w:val="auto"/>
        </w:rPr>
      </w:pPr>
    </w:p>
    <w:p>
      <w:pPr>
        <w:ind w:left="120" w:right="40"/>
        <w:spacing w:after="0" w:line="278" w:lineRule="auto"/>
        <w:rPr>
          <w:sz w:val="20"/>
          <w:szCs w:val="20"/>
          <w:color w:val="auto"/>
        </w:rPr>
      </w:pPr>
      <w:r>
        <w:rPr>
          <w:rFonts w:ascii="Arial" w:cs="Arial" w:eastAsia="Arial" w:hAnsi="Arial"/>
          <w:sz w:val="18"/>
          <w:szCs w:val="18"/>
          <w:b w:val="1"/>
          <w:bCs w:val="1"/>
          <w:i w:val="1"/>
          <w:iCs w:val="1"/>
          <w:color w:val="auto"/>
        </w:rPr>
        <w:t>Our ability to use our net operating loss, or NOL, carryforwards and certain other tax attributes to offset taxable income or taxes may be limited.</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2023, we had U.S. federal NOL carryforwards of approximately $57.7 million and research and development credits of approximately $8.4 million, and state NOL carryforwards of approximately $44.5 million and research and development credits of approximately $3.2 million. Under the Internal Revenue Code of 1986, as amended, or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increasing the likelihood that there have been changes in our ownership that would limit our ability to utilize our tax attribute carryforwards. Furthermore, there may be additional ownership changes in the future, including in connection with this offering or as a result of subsequent changes in our stock ownership, some of which may be outside of our control. If we have undergone or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limit our use of accumulated state tax attributes. In addition, at the state level, there may be periods during which the use of NOL carryforwards is suspended or otherwise limited, which could accelerate or permanently increase our state taxes owed. As a result, even if we attain profitability, we may be unable to use all or a material portion of our NOL carryforwards and other tax attributes, which could adversely affect our future cash flows.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and future changes to tax laws could materially adversely affect us.</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Tax Cuts and Jobs Act of 2017, the Coronavirus Aid, Relief, and Economic Security Act, and the IRA enacted many significant changes to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185"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5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or Section 404,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$700.0 million, measured on the last business day of our second fiscal quarter, or if we have total annual gross revenue of $1.235 billion or more during any fiscal year before that time, in which cases we would no longer be an emerging growth company as of the end of the following fiscal year, or if we issue more than $1.0 billion in non-convertible debt during any three-year period before that time, in which case we would no longer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73"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new or revised accounting standards, and therefore we will not be subject to the same requirements to adopt new or revised accounting standards as other public companies that are not emerging growth companies.</w:t>
      </w:r>
    </w:p>
    <w:p>
      <w:pPr>
        <w:spacing w:after="0" w:line="46" w:lineRule="exact"/>
        <w:rPr>
          <w:sz w:val="20"/>
          <w:szCs w:val="20"/>
          <w:color w:val="auto"/>
        </w:rPr>
      </w:pPr>
    </w:p>
    <w:p>
      <w:pPr>
        <w:ind w:left="120" w:right="180" w:firstLine="551"/>
        <w:spacing w:after="0" w:line="256" w:lineRule="auto"/>
        <w:rPr>
          <w:sz w:val="20"/>
          <w:szCs w:val="20"/>
          <w:color w:val="auto"/>
        </w:rPr>
      </w:pPr>
      <w:r>
        <w:rPr>
          <w:rFonts w:ascii="Arial" w:cs="Arial" w:eastAsia="Arial" w:hAnsi="Arial"/>
          <w:sz w:val="17"/>
          <w:szCs w:val="17"/>
          <w:color w:val="auto"/>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this prospectus and our periodic reports and proxy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02"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If we are approved for listing, and after listing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87" w:lineRule="exact"/>
        <w:rPr>
          <w:sz w:val="20"/>
          <w:szCs w:val="20"/>
          <w:color w:val="auto"/>
        </w:rPr>
      </w:pPr>
    </w:p>
    <w:p>
      <w:pPr>
        <w:jc w:val="both"/>
        <w:ind w:left="120" w:right="40"/>
        <w:spacing w:after="0" w:line="309"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8"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Each of our Certificate of Incorporation and our Bylaws that will be effective immediately prior to the closing of this offering contain provisions that could delay or prevent a change in control of Odyssey.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79" w:lineRule="exact"/>
        <w:rPr>
          <w:sz w:val="20"/>
          <w:szCs w:val="20"/>
          <w:color w:val="auto"/>
        </w:rPr>
      </w:pPr>
    </w:p>
    <w:p>
      <w:pPr>
        <w:ind w:left="880" w:hanging="224"/>
        <w:spacing w:after="0" w:line="271"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staggered board of directors divided into three classes serving staggered three-year terms, such that not all members of our board of directors will be elected at one time;</w:t>
      </w:r>
    </w:p>
    <w:p>
      <w:pPr>
        <w:spacing w:after="0" w:line="59" w:lineRule="exact"/>
        <w:rPr>
          <w:rFonts w:ascii="Arial" w:cs="Arial" w:eastAsia="Arial" w:hAnsi="Arial"/>
          <w:sz w:val="18"/>
          <w:szCs w:val="18"/>
          <w:color w:val="auto"/>
        </w:rPr>
      </w:pPr>
    </w:p>
    <w:p>
      <w:pPr>
        <w:ind w:left="880" w:right="420" w:hanging="224"/>
        <w:spacing w:after="0" w:line="25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eliminate the ability of our stockholders to fill vacancies on our board of directors;</w:t>
      </w:r>
    </w:p>
    <w:p>
      <w:pPr>
        <w:spacing w:after="0" w:line="117"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our annual stockholder meetings;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w:t>
      </w:r>
    </w:p>
    <w:p>
      <w:pPr>
        <w:spacing w:after="0" w:line="117" w:lineRule="exact"/>
        <w:rPr>
          <w:rFonts w:ascii="Arial" w:cs="Arial" w:eastAsia="Arial" w:hAnsi="Arial"/>
          <w:sz w:val="18"/>
          <w:szCs w:val="18"/>
          <w:color w:val="auto"/>
        </w:rPr>
      </w:pPr>
    </w:p>
    <w:p>
      <w:pPr>
        <w:ind w:left="880" w:right="700" w:hanging="224"/>
        <w:spacing w:after="0" w:line="271"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stockholders can remove directors only for cause and only upon the approval of not less than 66-2/3% of all outstanding shares of our capital stock;</w:t>
      </w:r>
    </w:p>
    <w:p>
      <w:pPr>
        <w:spacing w:after="0" w:line="59" w:lineRule="exact"/>
        <w:rPr>
          <w:rFonts w:ascii="Arial" w:cs="Arial" w:eastAsia="Arial" w:hAnsi="Arial"/>
          <w:sz w:val="18"/>
          <w:szCs w:val="18"/>
          <w:color w:val="auto"/>
        </w:rPr>
      </w:pPr>
    </w:p>
    <w:p>
      <w:pPr>
        <w:ind w:left="880" w:right="380" w:hanging="224"/>
        <w:spacing w:after="0" w:line="271"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not less than 66-2/3% of all outstanding shares of our capital stock to amend our Bylaws and specific provisions of our Certificate of Incorporation;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specify the jurisdictions in which certain stockholder litigation may be brought.</w:t>
      </w:r>
    </w:p>
    <w:p>
      <w:pPr>
        <w:spacing w:after="0" w:line="104"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In addition, Section 203 of General Corporation Law of the State of Delaware, or the DGCL, may discourage, delay or prevent a change in control of us. Section 203 imposes certain restrictions on mergers, business combinations and other transactions between us and holders of 15% or more of our common stock.</w:t>
      </w:r>
    </w:p>
    <w:p>
      <w:pPr>
        <w:spacing w:after="0" w:line="171"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Certificate of Incorporation to be effective immediately prior to the closing of this offering, will provide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 liability created by the Exchange Act. The validity and enforceability of such provision is uncertain in a number of courts other than the Delaware Supreme Court and certain other state courts.</w:t>
      </w:r>
    </w:p>
    <w:p>
      <w:pPr>
        <w:spacing w:after="0" w:line="75" w:lineRule="exact"/>
        <w:rPr>
          <w:sz w:val="20"/>
          <w:szCs w:val="20"/>
          <w:color w:val="auto"/>
        </w:rPr>
      </w:pPr>
    </w:p>
    <w:p>
      <w:pPr>
        <w:ind w:left="120" w:right="340" w:firstLine="551"/>
        <w:spacing w:after="0" w:line="242" w:lineRule="auto"/>
        <w:rPr>
          <w:sz w:val="20"/>
          <w:szCs w:val="20"/>
          <w:color w:val="auto"/>
        </w:rPr>
      </w:pPr>
      <w:r>
        <w:rPr>
          <w:rFonts w:ascii="Arial" w:cs="Arial" w:eastAsia="Arial" w:hAnsi="Arial"/>
          <w:sz w:val="18"/>
          <w:szCs w:val="18"/>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promulgated thereunder.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8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3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prospectus,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prospectus include, but are not limited to, statements about:</w:t>
      </w:r>
    </w:p>
    <w:p>
      <w:pPr>
        <w:spacing w:after="0" w:line="85" w:lineRule="exact"/>
        <w:rPr>
          <w:sz w:val="20"/>
          <w:szCs w:val="20"/>
          <w:color w:val="auto"/>
        </w:rPr>
      </w:pPr>
    </w:p>
    <w:p>
      <w:pPr>
        <w:ind w:left="880" w:right="76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clinical trials and research programs for our product candidates, including OD-07656, our IRAK4 program candidate and OD-00910;</w:t>
      </w:r>
    </w:p>
    <w:p>
      <w:pPr>
        <w:spacing w:after="0" w:line="59" w:lineRule="exact"/>
        <w:rPr>
          <w:rFonts w:ascii="Arial" w:cs="Arial" w:eastAsia="Arial" w:hAnsi="Arial"/>
          <w:sz w:val="18"/>
          <w:szCs w:val="18"/>
          <w:color w:val="auto"/>
        </w:rPr>
      </w:pPr>
    </w:p>
    <w:p>
      <w:pPr>
        <w:ind w:left="880" w:right="76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 and the potential advantages of our product candidates compared to alternative therapies;</w:t>
      </w:r>
    </w:p>
    <w:p>
      <w:pPr>
        <w:spacing w:after="0" w:line="59" w:lineRule="exact"/>
        <w:rPr>
          <w:rFonts w:ascii="Arial" w:cs="Arial" w:eastAsia="Arial" w:hAnsi="Arial"/>
          <w:sz w:val="18"/>
          <w:szCs w:val="18"/>
          <w:color w:val="auto"/>
        </w:rPr>
      </w:pPr>
    </w:p>
    <w:p>
      <w:pPr>
        <w:ind w:left="880" w:right="56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prevalence of certain diseases and conditions we intend to treat and the size of the market opportunity for our product candidates;</w:t>
      </w:r>
    </w:p>
    <w:p>
      <w:pPr>
        <w:spacing w:after="0" w:line="59"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estimates of the number of patients with certain diseases and conditions we intend to treat and the number of patients that we will enroll in our clinical trials;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meet future regulatory standards with respect to our product candidates, if approved;</w:t>
      </w:r>
    </w:p>
    <w:p>
      <w:pPr>
        <w:spacing w:after="0" w:line="117"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rate and degree of market acceptance and therapeutic benefits of our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develop or partner and progress our current and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research programs and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anticipated developments related to our competitors and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17"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our current license agreements and collaborations and identify and enter into future license agreements and collaborations;</w:t>
      </w:r>
    </w:p>
    <w:p>
      <w:pPr>
        <w:spacing w:after="0" w:line="59" w:lineRule="exact"/>
        <w:rPr>
          <w:rFonts w:ascii="Arial" w:cs="Arial" w:eastAsia="Arial" w:hAnsi="Arial"/>
          <w:sz w:val="18"/>
          <w:szCs w:val="18"/>
          <w:color w:val="auto"/>
        </w:rPr>
      </w:pPr>
    </w:p>
    <w:p>
      <w:pPr>
        <w:ind w:left="880" w:right="94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and our ability to attract collaborators with development, regulatory, manufacturing or commercialization expertise;</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reliance on third parties for the manufacture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plans relating to sales strategy, manufacturing and commercializing our product candidates, if approved;</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anticipated regulatory developments in the United States and foreign countries in which we may seek regulatory approval for our product candidates in the future;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17" w:lineRule="exact"/>
        <w:rPr>
          <w:rFonts w:ascii="Arial" w:cs="Arial" w:eastAsia="Arial" w:hAnsi="Arial"/>
          <w:sz w:val="18"/>
          <w:szCs w:val="18"/>
          <w:color w:val="auto"/>
        </w:rPr>
      </w:pPr>
    </w:p>
    <w:p>
      <w:pPr>
        <w:ind w:left="880" w:right="40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or a smaller reporting company; and</w:t>
      </w:r>
    </w:p>
    <w:p>
      <w:pPr>
        <w:spacing w:after="0" w:line="59" w:lineRule="exact"/>
        <w:rPr>
          <w:rFonts w:ascii="Arial" w:cs="Arial" w:eastAsia="Arial" w:hAnsi="Arial"/>
          <w:sz w:val="18"/>
          <w:szCs w:val="18"/>
          <w:color w:val="auto"/>
        </w:rPr>
      </w:pPr>
    </w:p>
    <w:p>
      <w:pPr>
        <w:ind w:left="880" w:right="106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 estimates of our expenses, capital requirements and needs for additional financing.</w:t>
      </w:r>
    </w:p>
    <w:p>
      <w:pPr>
        <w:spacing w:after="0" w:line="154"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We caution you that the forward-looking statements highlighted above do not encompass all of the forward-looking statements made in this prospectus.</w:t>
      </w:r>
    </w:p>
    <w:p>
      <w:pPr>
        <w:spacing w:after="0" w:line="15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prospectus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prospectus. Moreover, we operate in a very competitive and challenging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spacing w:after="0" w:line="179" w:lineRule="exact"/>
        <w:rPr>
          <w:sz w:val="20"/>
          <w:szCs w:val="20"/>
          <w:color w:val="auto"/>
        </w:rPr>
      </w:pPr>
    </w:p>
    <w:p>
      <w:pPr>
        <w:ind w:left="120" w:right="220" w:firstLine="551"/>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1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Unless otherwise indicated, information contained in this prospectus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are necessarily subject to a high degree of uncertainty and risk due to a variety of factors, including those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prospectus. These and other factors could cause results to differ materially from those expressed in the estimates made by independent third parties and by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right="380" w:firstLine="551"/>
        <w:spacing w:after="0" w:line="247" w:lineRule="auto"/>
        <w:rPr>
          <w:sz w:val="20"/>
          <w:szCs w:val="20"/>
          <w:color w:val="auto"/>
        </w:rPr>
      </w:pPr>
      <w:r>
        <w:rPr>
          <w:rFonts w:ascii="Arial" w:cs="Arial" w:eastAsia="Arial" w:hAnsi="Arial"/>
          <w:sz w:val="18"/>
          <w:szCs w:val="18"/>
          <w:color w:val="auto"/>
        </w:rPr>
        <w:t>We estimate that the net proceeds to us from the sale of shares of our common stock in this offering will be approximately $    million (or approximately $    million if the underwriters’ option to purchase additional shares is exercised in full), based upon the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17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Each $ 1.00 increase (decrease) in the assumed initial public offering price of $    per share would increase (decrease) the net proceeds that we receive from this offering by approximately $    million, assuming that the number of shares offered by us, as set forth on the cover page of this prospectus, remains the same, and after deducting underwriting discounts and commissions and estimated offering expenses payable by us. Similarly, each increase (decrease) of 1.0 million in the number of shares offered by us would increase (decrease) the net proceeds that we receive from this offering by approximately $    million, using the assumed initial public offering price, and after deducting underwriting discounts and commissions and estimated offering expenses payable by us.</w:t>
      </w:r>
    </w:p>
    <w:p>
      <w:pPr>
        <w:spacing w:after="0" w:line="17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currently intend to use the net proceeds to us from this offering, together with our existing cash and cash equivalents and short-term marketable securities, as follows:</w:t>
      </w:r>
    </w:p>
    <w:p>
      <w:pPr>
        <w:spacing w:after="0" w:line="59" w:lineRule="exact"/>
        <w:rPr>
          <w:sz w:val="20"/>
          <w:szCs w:val="20"/>
          <w:color w:val="auto"/>
        </w:rPr>
      </w:pPr>
    </w:p>
    <w:p>
      <w:pPr>
        <w:ind w:left="880" w:right="200" w:hanging="224"/>
        <w:spacing w:after="0" w:line="24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    to advance the clinical development of OD-07656, our most advanced product candidate, through completion of the Phase 2a monotherapy trial for ulcerative colitis and through readout of the induction phase, measured at 12 weeks, of the separate Phase 2a combination trial (additional proceeds may be needed to fund the completion of the combination trial through the maintenance phase of the combination trial);</w:t>
      </w:r>
    </w:p>
    <w:p>
      <w:pPr>
        <w:spacing w:after="0" w:line="79" w:lineRule="exact"/>
        <w:rPr>
          <w:sz w:val="20"/>
          <w:szCs w:val="20"/>
          <w:color w:val="auto"/>
        </w:rPr>
      </w:pPr>
    </w:p>
    <w:p>
      <w:pPr>
        <w:ind w:left="880" w:right="220" w:hanging="219"/>
        <w:spacing w:after="0" w:line="271" w:lineRule="auto"/>
        <w:tabs>
          <w:tab w:leader="none" w:pos="860" w:val="left"/>
        </w:tabs>
        <w:rPr>
          <w:sz w:val="20"/>
          <w:szCs w:val="20"/>
          <w:color w:val="auto"/>
        </w:rPr>
      </w:pPr>
      <w:r>
        <w:rPr>
          <w:rFonts w:ascii="Arial" w:cs="Arial" w:eastAsia="Arial" w:hAnsi="Arial"/>
          <w:sz w:val="18"/>
          <w:szCs w:val="18"/>
          <w:color w:val="auto"/>
        </w:rPr>
        <w:t>•</w:t>
        <w:tab/>
        <w:t>approximately $    to advance our IRAK4 and TNFR2 programs through preclinical development and IND-enabling activities and into clinical development; and</w:t>
      </w:r>
    </w:p>
    <w:p>
      <w:pPr>
        <w:spacing w:after="0" w:line="59" w:lineRule="exact"/>
        <w:rPr>
          <w:sz w:val="20"/>
          <w:szCs w:val="20"/>
          <w:color w:val="auto"/>
        </w:rPr>
      </w:pPr>
    </w:p>
    <w:p>
      <w:pPr>
        <w:ind w:left="880" w:right="500" w:hanging="224"/>
        <w:spacing w:after="0" w:line="271"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fund additional discovery, preclinical and clinical activities for disclosed or future programs, enabling capabilities, and for general corporate purposes, working capital and other capital expenditures.</w:t>
      </w:r>
    </w:p>
    <w:p>
      <w:pPr>
        <w:spacing w:after="0" w:line="154"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We may also use a portion of the net proceeds to in-license, acquire or invest in new businesses, technology or assets. Although we have no current agreements, commitments or understandings with respect to any such in-license or acquisition, we evaluate such opportunities and engage in related discussions with third parties from time to time. We believe, based on our current operating plan, that the net proceeds from this offering, together with our existing cash, cash equivalents and short-term marketable securities, will be sufficient to fund our operations into         . We have based this estimate on assumptions that may prove to be wrong, and we could use our available capital resources sooner than we currently expect. We do not have any committed external source of funds.</w:t>
      </w:r>
    </w:p>
    <w:p>
      <w:pPr>
        <w:spacing w:after="0" w:line="179"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This expected use of net proceeds from this offering represents our intentions based on our current plans and business conditions, which could change in the future as our plans and business conditions evolve. As a result, our management will have broad discretion over the uses of the net proceeds from this offering and investors will be relying on the judgement of our management regarding the application of the net proceeds from this offering.</w:t>
      </w:r>
    </w:p>
    <w:p>
      <w:pPr>
        <w:spacing w:after="0" w:line="17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research and development activities, the timing of patient enrollment and evolving regulatory requirements, the time and cost necessary to conduct our ongoing and planned preclinical studies and clinical trials, the results of our preclinical studies and clinical trials and other factors described in the section of this prospectus titled “</w:t>
      </w:r>
      <w:r>
        <w:rPr>
          <w:rFonts w:ascii="Arial" w:cs="Arial" w:eastAsia="Arial" w:hAnsi="Arial"/>
          <w:sz w:val="18"/>
          <w:szCs w:val="18"/>
          <w:i w:val="1"/>
          <w:iCs w:val="1"/>
          <w:color w:val="auto"/>
        </w:rPr>
        <w:t>Risk Factors</w:t>
      </w:r>
      <w:r>
        <w:rPr>
          <w:rFonts w:ascii="Arial" w:cs="Arial" w:eastAsia="Arial" w:hAnsi="Arial"/>
          <w:sz w:val="18"/>
          <w:szCs w:val="18"/>
          <w:color w:val="auto"/>
        </w:rPr>
        <w:t>,” as well as the amount of cash used in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our operations and any unforeseen cash needs. Therefore, our actual expenditures may differ materially from the estimates described above. We may also find it necessary or advisable to use the net proceeds for other purposes.</w:t>
      </w:r>
    </w:p>
    <w:p>
      <w:pPr>
        <w:spacing w:after="0" w:line="15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Pending the use of the proceeds from this offering as described above, we intend to invest the net proceeds from the offering that are not used as described above in available-for-sale, investment-grade, interest-bearing marketable securities. We cannot predict whether the proceeds invested will yield a favorable return. Our management will retain broad discretion in the application of the net proceeds we receive from this offering, and investors will be relying on the judgment of our management regarding the application of the net proceeds.</w:t>
      </w:r>
    </w:p>
    <w:p>
      <w:pPr>
        <w:spacing w:after="0" w:line="1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40"/>
          </w:cols>
          <w:pgMar w:left="320" w:top="455"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have never declared or paid any cash dividends on our capital stock. We do not anticipate declaring or paying, in the foreseeable future, any cash dividends on our capital stock. We intend to retain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subject to applicable laws, after considering our financial condition, results of operations, capital requirements, business prospects and other factors our board of directors or such committee may deem relevant.</w:t>
      </w:r>
    </w:p>
    <w:p>
      <w:pPr>
        <w:spacing w:after="0" w:line="179"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In addition, our ability to pay cash dividends on our capital stock in the future may be limited by the terms of any future debt or preferred securities we may issue or any credit facilities we may enter into.</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5" w:right="5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cash equivalents and short-term marketable securities and capitalization as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2024 as follows:</w:t>
      </w:r>
    </w:p>
    <w:p>
      <w:pPr>
        <w:spacing w:after="0" w:line="9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right="140" w:hanging="224"/>
        <w:spacing w:after="0" w:line="244"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pro forma basis to reflect (i) the conversion of all outstanding shares of our convertible preferred stock into an aggregate of        shares of our common stock immediately prior to the closing of this offering, (ii) the automatic conversion of all outstanding shares of our non-voting common stock into an aggregate of        shares of our common stock upon the closing of this offering and (iii) the filing and effectiveness of our Certificate of Incorporation, which will be effective immediately prior to the closing of this offering; and</w:t>
      </w:r>
    </w:p>
    <w:p>
      <w:pPr>
        <w:spacing w:after="0" w:line="81"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(i) the pro forma items described immediately above, and (ii) our issuance and</w:t>
      </w:r>
    </w:p>
    <w:tbl>
      <w:tblPr>
        <w:tblLayout w:type="fixed"/>
        <w:tblInd w:w="120" w:type="dxa"/>
        <w:tblCellMar>
          <w:top w:w="0" w:type="dxa"/>
          <w:left w:w="0" w:type="dxa"/>
          <w:bottom w:w="0" w:type="dxa"/>
          <w:right w:w="0" w:type="dxa"/>
        </w:tblCellMar>
      </w:tblPr>
      <w:tr>
        <w:trPr>
          <w:trHeight w:val="198"/>
        </w:trPr>
        <w:tc>
          <w:tcPr>
            <w:tcW w:w="1900" w:type="dxa"/>
            <w:vAlign w:val="bottom"/>
          </w:tcPr>
          <w:p>
            <w:pPr>
              <w:ind w:left="760"/>
              <w:spacing w:after="0" w:line="198" w:lineRule="exact"/>
              <w:rPr>
                <w:sz w:val="20"/>
                <w:szCs w:val="20"/>
                <w:color w:val="auto"/>
              </w:rPr>
            </w:pPr>
            <w:r>
              <w:rPr>
                <w:rFonts w:ascii="Arial" w:cs="Arial" w:eastAsia="Arial" w:hAnsi="Arial"/>
                <w:sz w:val="18"/>
                <w:szCs w:val="18"/>
                <w:color w:val="auto"/>
              </w:rPr>
              <w:t xml:space="preserve">sale of          </w:t>
            </w:r>
          </w:p>
        </w:tc>
        <w:tc>
          <w:tcPr>
            <w:tcW w:w="7400" w:type="dxa"/>
            <w:vAlign w:val="bottom"/>
            <w:gridSpan w:val="4"/>
          </w:tcPr>
          <w:p>
            <w:pPr>
              <w:jc w:val="right"/>
              <w:ind w:right="46"/>
              <w:spacing w:after="0" w:line="198" w:lineRule="exact"/>
              <w:rPr>
                <w:sz w:val="20"/>
                <w:szCs w:val="20"/>
                <w:color w:val="auto"/>
              </w:rPr>
            </w:pPr>
            <w:r>
              <w:rPr>
                <w:rFonts w:ascii="Arial" w:cs="Arial" w:eastAsia="Arial" w:hAnsi="Arial"/>
                <w:sz w:val="18"/>
                <w:szCs w:val="18"/>
                <w:color w:val="auto"/>
              </w:rPr>
              <w:t xml:space="preserve">shares of our common stock in this offering at an assumed initial public offering price of $ </w:t>
            </w:r>
          </w:p>
        </w:tc>
        <w:tc>
          <w:tcPr>
            <w:tcW w:w="1720" w:type="dxa"/>
            <w:vAlign w:val="bottom"/>
            <w:gridSpan w:val="4"/>
          </w:tcPr>
          <w:p>
            <w:pPr>
              <w:spacing w:after="0" w:line="198" w:lineRule="exact"/>
              <w:rPr>
                <w:sz w:val="20"/>
                <w:szCs w:val="20"/>
                <w:color w:val="auto"/>
              </w:rPr>
            </w:pPr>
            <w:r>
              <w:rPr>
                <w:rFonts w:ascii="Arial" w:cs="Arial" w:eastAsia="Arial" w:hAnsi="Arial"/>
                <w:sz w:val="18"/>
                <w:szCs w:val="18"/>
                <w:color w:val="auto"/>
              </w:rPr>
              <w:t>   per share, the</w:t>
            </w:r>
          </w:p>
        </w:tc>
      </w:tr>
      <w:tr>
        <w:trPr>
          <w:trHeight w:val="203"/>
        </w:trPr>
        <w:tc>
          <w:tcPr>
            <w:tcW w:w="10200" w:type="dxa"/>
            <w:vAlign w:val="bottom"/>
            <w:gridSpan w:val="7"/>
          </w:tcPr>
          <w:p>
            <w:pPr>
              <w:ind w:left="760"/>
              <w:spacing w:after="0" w:line="202" w:lineRule="exact"/>
              <w:rPr>
                <w:sz w:val="20"/>
                <w:szCs w:val="20"/>
                <w:color w:val="auto"/>
              </w:rPr>
            </w:pPr>
            <w:r>
              <w:rPr>
                <w:rFonts w:ascii="Arial" w:cs="Arial" w:eastAsia="Arial" w:hAnsi="Arial"/>
                <w:sz w:val="18"/>
                <w:szCs w:val="18"/>
                <w:color w:val="auto"/>
              </w:rPr>
              <w:t>midpoint of the price range set forth on the cover page of this prospectus, after deducting underwriting discounts and</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5940" w:type="dxa"/>
            <w:vAlign w:val="bottom"/>
            <w:gridSpan w:val="2"/>
          </w:tcPr>
          <w:p>
            <w:pPr>
              <w:ind w:left="760"/>
              <w:spacing w:after="0"/>
              <w:rPr>
                <w:sz w:val="20"/>
                <w:szCs w:val="20"/>
                <w:color w:val="auto"/>
              </w:rPr>
            </w:pPr>
            <w:r>
              <w:rPr>
                <w:rFonts w:ascii="Arial" w:cs="Arial" w:eastAsia="Arial" w:hAnsi="Arial"/>
                <w:sz w:val="18"/>
                <w:szCs w:val="18"/>
                <w:color w:val="auto"/>
              </w:rPr>
              <w:t>commissions and estimated offering expenses payable by us.</w:t>
            </w:r>
          </w:p>
        </w:tc>
        <w:tc>
          <w:tcPr>
            <w:tcW w:w="2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1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As of September 30, 2024</w:t>
            </w:r>
          </w:p>
        </w:tc>
      </w:tr>
      <w:tr>
        <w:trPr>
          <w:trHeight w:val="171"/>
        </w:trPr>
        <w:tc>
          <w:tcPr>
            <w:tcW w:w="1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(unaudited)</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19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58"/>
        </w:trPr>
        <w:tc>
          <w:tcPr>
            <w:tcW w:w="19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Pro</w:t>
            </w:r>
          </w:p>
        </w:tc>
        <w:tc>
          <w:tcPr>
            <w:tcW w:w="8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As</w:t>
            </w:r>
          </w:p>
        </w:tc>
      </w:tr>
      <w:tr>
        <w:trPr>
          <w:trHeight w:val="175"/>
        </w:trPr>
        <w:tc>
          <w:tcPr>
            <w:tcW w:w="19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60" w:type="dxa"/>
            <w:vAlign w:val="bottom"/>
            <w:gridSpan w:val="2"/>
          </w:tcPr>
          <w:p>
            <w:pPr>
              <w:jc w:val="right"/>
              <w:ind w:right="646"/>
              <w:spacing w:after="0"/>
              <w:rPr>
                <w:sz w:val="20"/>
                <w:szCs w:val="20"/>
                <w:color w:val="auto"/>
              </w:rPr>
            </w:pPr>
            <w:r>
              <w:rPr>
                <w:rFonts w:ascii="Arial" w:cs="Arial" w:eastAsia="Arial" w:hAnsi="Arial"/>
                <w:sz w:val="14"/>
                <w:szCs w:val="14"/>
                <w:b w:val="1"/>
                <w:bCs w:val="1"/>
                <w:color w:val="auto"/>
              </w:rPr>
              <w:t>Actual</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Forma</w:t>
            </w:r>
          </w:p>
        </w:tc>
        <w:tc>
          <w:tcPr>
            <w:tcW w:w="820" w:type="dxa"/>
            <w:vAlign w:val="bottom"/>
            <w:gridSpan w:val="2"/>
          </w:tcPr>
          <w:p>
            <w:pPr>
              <w:jc w:val="center"/>
              <w:ind w:right="60"/>
              <w:spacing w:after="0" w:line="175" w:lineRule="exact"/>
              <w:rPr>
                <w:sz w:val="20"/>
                <w:szCs w:val="20"/>
                <w:color w:val="auto"/>
              </w:rPr>
            </w:pPr>
            <w:r>
              <w:rPr>
                <w:rFonts w:ascii="Arial" w:cs="Arial" w:eastAsia="Arial" w:hAnsi="Arial"/>
                <w:sz w:val="14"/>
                <w:szCs w:val="14"/>
                <w:b w:val="1"/>
                <w:bCs w:val="1"/>
                <w:color w:val="auto"/>
                <w:w w:val="99"/>
              </w:rPr>
              <w:t>Adjusted</w:t>
            </w:r>
            <w:r>
              <w:rPr>
                <w:rFonts w:ascii="Arial" w:cs="Arial" w:eastAsia="Arial" w:hAnsi="Arial"/>
                <w:sz w:val="20"/>
                <w:szCs w:val="20"/>
                <w:b w:val="1"/>
                <w:bCs w:val="1"/>
                <w:color w:val="auto"/>
                <w:w w:val="99"/>
                <w:vertAlign w:val="superscript"/>
              </w:rPr>
              <w:t>(1)</w:t>
            </w:r>
          </w:p>
        </w:tc>
      </w:tr>
      <w:tr>
        <w:trPr>
          <w:trHeight w:val="146"/>
        </w:trPr>
        <w:tc>
          <w:tcPr>
            <w:tcW w:w="19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20" w:type="dxa"/>
            <w:vAlign w:val="bottom"/>
            <w:tcBorders>
              <w:top w:val="single" w:sz="8" w:color="auto"/>
            </w:tcBorders>
            <w:gridSpan w:val="5"/>
          </w:tcPr>
          <w:p>
            <w:pPr>
              <w:jc w:val="center"/>
              <w:spacing w:after="0" w:line="147" w:lineRule="exact"/>
              <w:rPr>
                <w:sz w:val="20"/>
                <w:szCs w:val="20"/>
                <w:color w:val="auto"/>
              </w:rPr>
            </w:pPr>
            <w:r>
              <w:rPr>
                <w:rFonts w:ascii="Arial" w:cs="Arial" w:eastAsia="Arial" w:hAnsi="Arial"/>
                <w:sz w:val="14"/>
                <w:szCs w:val="14"/>
                <w:b w:val="1"/>
                <w:bCs w:val="1"/>
                <w:color w:val="auto"/>
              </w:rPr>
              <w:t>(in thousands, except share and</w:t>
            </w:r>
          </w:p>
        </w:tc>
        <w:tc>
          <w:tcPr>
            <w:tcW w:w="60" w:type="dxa"/>
            <w:vAlign w:val="bottom"/>
          </w:tcPr>
          <w:p>
            <w:pPr>
              <w:spacing w:after="0"/>
              <w:rPr>
                <w:sz w:val="12"/>
                <w:szCs w:val="12"/>
                <w:color w:val="auto"/>
              </w:rPr>
            </w:pPr>
          </w:p>
        </w:tc>
      </w:tr>
      <w:tr>
        <w:trPr>
          <w:trHeight w:val="171"/>
        </w:trPr>
        <w:tc>
          <w:tcPr>
            <w:tcW w:w="1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per share data)</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3360" w:type="dxa"/>
            <w:vAlign w:val="bottom"/>
            <w:gridSpan w:val="3"/>
            <w:shd w:val="clear" w:color="auto" w:fill="CCEEFF"/>
          </w:tcPr>
          <w:p>
            <w:pPr>
              <w:jc w:val="right"/>
              <w:ind w:right="446"/>
              <w:spacing w:after="0" w:line="202" w:lineRule="exact"/>
              <w:rPr>
                <w:sz w:val="20"/>
                <w:szCs w:val="20"/>
                <w:color w:val="auto"/>
              </w:rPr>
            </w:pPr>
            <w:r>
              <w:rPr>
                <w:rFonts w:ascii="Arial" w:cs="Arial" w:eastAsia="Arial" w:hAnsi="Arial"/>
                <w:sz w:val="18"/>
                <w:szCs w:val="18"/>
                <w:color w:val="auto"/>
              </w:rPr>
              <w:t>$ 154,904</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8"/>
                <w:szCs w:val="18"/>
                <w:color w:val="auto"/>
              </w:rPr>
              <w:t>Convertible preferred stock; $0.0001 par value:</w:t>
            </w:r>
          </w:p>
        </w:tc>
        <w:tc>
          <w:tcPr>
            <w:tcW w:w="20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8"/>
              </w:rPr>
              <w:t>— </w:t>
            </w:r>
          </w:p>
        </w:tc>
        <w:tc>
          <w:tcPr>
            <w:tcW w:w="460" w:type="dxa"/>
            <w:vAlign w:val="bottom"/>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6"/>
              </w:rPr>
              <w:t>— </w:t>
            </w:r>
          </w:p>
        </w:tc>
        <w:tc>
          <w:tcPr>
            <w:tcW w:w="60" w:type="dxa"/>
            <w:vAlign w:val="bottom"/>
          </w:tcPr>
          <w:p>
            <w:pPr>
              <w:spacing w:after="0"/>
              <w:rPr>
                <w:sz w:val="18"/>
                <w:szCs w:val="18"/>
                <w:color w:val="auto"/>
              </w:rPr>
            </w:pPr>
          </w:p>
        </w:tc>
      </w:tr>
      <w:tr>
        <w:trPr>
          <w:trHeight w:val="184"/>
        </w:trPr>
        <w:tc>
          <w:tcPr>
            <w:tcW w:w="9300" w:type="dxa"/>
            <w:vAlign w:val="bottom"/>
            <w:gridSpan w:val="5"/>
            <w:shd w:val="clear" w:color="auto" w:fill="CCEEFF"/>
          </w:tcPr>
          <w:p>
            <w:pPr>
              <w:spacing w:after="0" w:line="183" w:lineRule="exact"/>
              <w:rPr>
                <w:sz w:val="20"/>
                <w:szCs w:val="20"/>
                <w:color w:val="auto"/>
              </w:rPr>
            </w:pPr>
            <w:r>
              <w:rPr>
                <w:rFonts w:ascii="Arial" w:cs="Arial" w:eastAsia="Arial" w:hAnsi="Arial"/>
                <w:sz w:val="18"/>
                <w:szCs w:val="18"/>
                <w:color w:val="auto"/>
              </w:rPr>
              <w:t>97,236,378 shares authorized, issued and outstanding, actual; no shares authorized, issued or</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3360" w:type="dxa"/>
            <w:vAlign w:val="bottom"/>
            <w:gridSpan w:val="3"/>
            <w:shd w:val="clear" w:color="auto" w:fill="CCEEFF"/>
          </w:tcPr>
          <w:p>
            <w:pPr>
              <w:jc w:val="right"/>
              <w:ind w:right="446"/>
              <w:spacing w:after="0"/>
              <w:rPr>
                <w:sz w:val="20"/>
                <w:szCs w:val="20"/>
                <w:color w:val="auto"/>
              </w:rPr>
            </w:pPr>
            <w:r>
              <w:rPr>
                <w:rFonts w:ascii="Arial" w:cs="Arial" w:eastAsia="Arial" w:hAnsi="Arial"/>
                <w:sz w:val="18"/>
                <w:szCs w:val="18"/>
                <w:color w:val="auto"/>
              </w:rPr>
              <w:t>508,212</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4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4"/>
        </w:trPr>
        <w:tc>
          <w:tcPr>
            <w:tcW w:w="9300" w:type="dxa"/>
            <w:vAlign w:val="bottom"/>
            <w:gridSpan w:val="5"/>
            <w:shd w:val="clear" w:color="auto" w:fill="CCEEFF"/>
          </w:tcPr>
          <w:p>
            <w:pPr>
              <w:spacing w:after="0" w:line="183"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9300" w:type="dxa"/>
            <w:vAlign w:val="bottom"/>
            <w:gridSpan w:val="5"/>
            <w:shd w:val="clear" w:color="auto" w:fill="CCEEFF"/>
          </w:tcPr>
          <w:p>
            <w:pPr>
              <w:ind w:left="180"/>
              <w:spacing w:after="0" w:line="202" w:lineRule="exact"/>
              <w:rPr>
                <w:sz w:val="20"/>
                <w:szCs w:val="20"/>
                <w:color w:val="auto"/>
              </w:rPr>
            </w:pPr>
            <w:r>
              <w:rPr>
                <w:rFonts w:ascii="Arial" w:cs="Arial" w:eastAsia="Arial" w:hAnsi="Arial"/>
                <w:sz w:val="18"/>
                <w:szCs w:val="18"/>
                <w:color w:val="auto"/>
              </w:rPr>
              <w:t>            shares authorized,             shares authorized, pro forma and pro forma as</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adjusted;             shares issued and outstanding, pro forma; and        </w:t>
            </w:r>
          </w:p>
        </w:tc>
        <w:tc>
          <w:tcPr>
            <w:tcW w:w="3360" w:type="dxa"/>
            <w:vAlign w:val="bottom"/>
            <w:gridSpan w:val="3"/>
            <w:shd w:val="clear" w:color="auto" w:fill="CCEEFF"/>
          </w:tcPr>
          <w:p>
            <w:pPr>
              <w:jc w:val="right"/>
              <w:ind w:right="1966"/>
              <w:spacing w:after="0" w:line="202" w:lineRule="exact"/>
              <w:rPr>
                <w:sz w:val="20"/>
                <w:szCs w:val="20"/>
                <w:color w:val="auto"/>
              </w:rPr>
            </w:pPr>
            <w:r>
              <w:rPr>
                <w:rFonts w:ascii="Arial" w:cs="Arial" w:eastAsia="Arial" w:hAnsi="Arial"/>
                <w:sz w:val="18"/>
                <w:szCs w:val="18"/>
                <w:color w:val="auto"/>
                <w:w w:val="93"/>
              </w:rPr>
              <w:t>   shares issued</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outstanding, pro forma as adjusted</w:t>
            </w:r>
          </w:p>
        </w:tc>
        <w:tc>
          <w:tcPr>
            <w:tcW w:w="2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84"/>
        </w:trPr>
        <w:tc>
          <w:tcPr>
            <w:tcW w:w="9300" w:type="dxa"/>
            <w:vAlign w:val="bottom"/>
            <w:gridSpan w:val="5"/>
          </w:tcPr>
          <w:p>
            <w:pPr>
              <w:spacing w:after="0" w:line="183" w:lineRule="exact"/>
              <w:rPr>
                <w:sz w:val="20"/>
                <w:szCs w:val="20"/>
                <w:color w:val="auto"/>
              </w:rPr>
            </w:pPr>
            <w:r>
              <w:rPr>
                <w:rFonts w:ascii="Arial" w:cs="Arial" w:eastAsia="Arial" w:hAnsi="Arial"/>
                <w:sz w:val="18"/>
                <w:szCs w:val="18"/>
                <w:color w:val="auto"/>
              </w:rPr>
              <w:t>Common stock, $0.0001 par value per share; 128,667,240 shares authorized, 7,124,496</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930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shares issued and outstanding, actual;             shares authorized, pro forma and pro forma</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as adjusted;           </w:t>
            </w:r>
          </w:p>
        </w:tc>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shares issued and outstanding, pro forma; and     </w:t>
            </w:r>
          </w:p>
        </w:tc>
        <w:tc>
          <w:tcPr>
            <w:tcW w:w="3360" w:type="dxa"/>
            <w:vAlign w:val="bottom"/>
            <w:gridSpan w:val="3"/>
          </w:tcPr>
          <w:p>
            <w:pPr>
              <w:jc w:val="right"/>
              <w:ind w:right="1726"/>
              <w:spacing w:after="0" w:line="202" w:lineRule="exact"/>
              <w:rPr>
                <w:sz w:val="20"/>
                <w:szCs w:val="20"/>
                <w:color w:val="auto"/>
              </w:rPr>
            </w:pPr>
            <w:r>
              <w:rPr>
                <w:rFonts w:ascii="Arial" w:cs="Arial" w:eastAsia="Arial" w:hAnsi="Arial"/>
                <w:sz w:val="18"/>
                <w:szCs w:val="18"/>
                <w:color w:val="auto"/>
                <w:w w:val="99"/>
              </w:rPr>
              <w:t>      shares issued</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and outstanding, pro forma as adjusted</w:t>
            </w:r>
          </w:p>
        </w:tc>
        <w:tc>
          <w:tcPr>
            <w:tcW w:w="3360" w:type="dxa"/>
            <w:vAlign w:val="bottom"/>
            <w:gridSpan w:val="3"/>
          </w:tcPr>
          <w:p>
            <w:pPr>
              <w:jc w:val="right"/>
              <w:ind w:right="446"/>
              <w:spacing w:after="0"/>
              <w:rPr>
                <w:sz w:val="20"/>
                <w:szCs w:val="20"/>
                <w:color w:val="auto"/>
              </w:rPr>
            </w:pPr>
            <w:r>
              <w:rPr>
                <w:rFonts w:ascii="Arial" w:cs="Arial" w:eastAsia="Arial" w:hAnsi="Arial"/>
                <w:sz w:val="18"/>
                <w:szCs w:val="18"/>
                <w:color w:val="auto"/>
              </w:rPr>
              <w:t>1</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— </w:t>
            </w: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3360" w:type="dxa"/>
            <w:vAlign w:val="bottom"/>
            <w:gridSpan w:val="3"/>
            <w:shd w:val="clear" w:color="auto" w:fill="CCEEFF"/>
          </w:tcPr>
          <w:p>
            <w:pPr>
              <w:jc w:val="right"/>
              <w:ind w:right="446"/>
              <w:spacing w:after="0" w:line="202" w:lineRule="exact"/>
              <w:rPr>
                <w:sz w:val="20"/>
                <w:szCs w:val="20"/>
                <w:color w:val="auto"/>
              </w:rPr>
            </w:pPr>
            <w:r>
              <w:rPr>
                <w:rFonts w:ascii="Arial" w:cs="Arial" w:eastAsia="Arial" w:hAnsi="Arial"/>
                <w:sz w:val="18"/>
                <w:szCs w:val="18"/>
                <w:color w:val="auto"/>
              </w:rPr>
              <w:t>33,591</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360" w:type="dxa"/>
            <w:vAlign w:val="bottom"/>
            <w:gridSpan w:val="3"/>
          </w:tcPr>
          <w:p>
            <w:pPr>
              <w:jc w:val="right"/>
              <w:ind w:right="386"/>
              <w:spacing w:after="0" w:line="202" w:lineRule="exact"/>
              <w:rPr>
                <w:sz w:val="20"/>
                <w:szCs w:val="20"/>
                <w:color w:val="auto"/>
              </w:rPr>
            </w:pPr>
            <w:r>
              <w:rPr>
                <w:rFonts w:ascii="Arial" w:cs="Arial" w:eastAsia="Arial" w:hAnsi="Arial"/>
                <w:sz w:val="18"/>
                <w:szCs w:val="18"/>
                <w:color w:val="auto"/>
              </w:rPr>
              <w:t>(202)</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40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jc w:val="right"/>
              <w:ind w:right="386"/>
              <w:spacing w:after="0" w:line="202" w:lineRule="exact"/>
              <w:rPr>
                <w:sz w:val="20"/>
                <w:szCs w:val="20"/>
                <w:color w:val="auto"/>
              </w:rPr>
            </w:pPr>
            <w:r>
              <w:rPr>
                <w:rFonts w:ascii="Arial" w:cs="Arial" w:eastAsia="Arial" w:hAnsi="Arial"/>
                <w:sz w:val="18"/>
                <w:szCs w:val="18"/>
                <w:color w:val="auto"/>
              </w:rPr>
              <w:t>(382,656)</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20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(349,266</w:t>
            </w:r>
          </w:p>
        </w:tc>
        <w:tc>
          <w:tcPr>
            <w:tcW w:w="520" w:type="dxa"/>
            <w:vAlign w:val="bottom"/>
          </w:tcPr>
          <w:p>
            <w:pPr>
              <w:jc w:val="right"/>
              <w:ind w:right="386"/>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40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jc w:val="right"/>
              <w:ind w:right="446"/>
              <w:spacing w:after="0" w:line="202" w:lineRule="exact"/>
              <w:rPr>
                <w:sz w:val="20"/>
                <w:szCs w:val="20"/>
                <w:color w:val="auto"/>
              </w:rPr>
            </w:pPr>
            <w:r>
              <w:rPr>
                <w:rFonts w:ascii="Arial" w:cs="Arial" w:eastAsia="Arial" w:hAnsi="Arial"/>
                <w:sz w:val="18"/>
                <w:szCs w:val="18"/>
                <w:color w:val="auto"/>
              </w:rPr>
              <w:t>$ 158,946</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1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right="100" w:hanging="544"/>
        <w:spacing w:after="0" w:line="24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$1.00 increase (decrease) in the assumed initial public offering price of $    , the midpoint of the price range set forth on the cover page of this prospectus, would increase (decrease) each of the pro forma as adjusted cash and cash equivalents, additional paid-in capital, total stockholders’ equity and total capitalization by approximately $    , assuming that the number of shares offered by us, as set forth on the cover page of this prospectus, remains the same, after</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right="20"/>
        <w:spacing w:after="0" w:line="242" w:lineRule="auto"/>
        <w:rPr>
          <w:sz w:val="20"/>
          <w:szCs w:val="20"/>
          <w:color w:val="auto"/>
        </w:rPr>
      </w:pPr>
      <w:r>
        <w:rPr>
          <w:rFonts w:ascii="Arial" w:cs="Arial" w:eastAsia="Arial" w:hAnsi="Arial"/>
          <w:sz w:val="18"/>
          <w:szCs w:val="18"/>
          <w:color w:val="auto"/>
        </w:rPr>
        <w:t>deducting underwriting discounts and commissions and estimated offering expenses payable by us. We may also increase or decrease the number of shares we are offering. An increase (decrease) of 1.0 million in the number of shares we are offering would increase (decrease) each of the pro forma as adjusted cash and cash equivalents, additional paid-in capital, total stockholders’ equity and total capitalization by approximately $    , assuming an initial public offering price of $    , the midpoint of the price range set forth on the cover page of this prospectus, after deducting underwriting discounts and commissions and estimated offering expenses payable by us.</w:t>
      </w:r>
    </w:p>
    <w:p>
      <w:pPr>
        <w:spacing w:after="0" w:line="17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pro forma and pro forma as adjusted information is illustrative only and following the completion of this offering will be adjusted based on the actual initial public offering price and other terms of this offering determined at pricing. You should read this information in conjunction with our financial statements and the related notes included elsewhere in this prospectus, the section of this prospectus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other financial information contained in this prospectus.</w:t>
      </w:r>
    </w:p>
    <w:p>
      <w:pPr>
        <w:spacing w:after="0" w:line="176"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The table set forth above is based on         shares of our common stock outstanding as of September 30, 2024, including         shares of our unvested restricted common stock, and after giving effect to the conversion of all outstanding shares of our convertible preferred stock into an aggregate of        shares of our common stock immediately prior to the closing of this offering and the automatic conversion of all outstanding shares of our non-voting common stock into an aggregate of        shares of our common stock upon the closing of this offering, and excludes:</w:t>
      </w:r>
    </w:p>
    <w:p>
      <w:pPr>
        <w:spacing w:after="0" w:line="82" w:lineRule="exact"/>
        <w:rPr>
          <w:sz w:val="20"/>
          <w:szCs w:val="20"/>
          <w:color w:val="auto"/>
        </w:rPr>
      </w:pPr>
    </w:p>
    <w:p>
      <w:pPr>
        <w:ind w:left="880" w:right="460" w:hanging="224"/>
        <w:spacing w:after="0" w:line="271"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17,432,533 shares of our common stock issuable upon the exercise of stock options outstanding as of September 30, 2024 under the 2021 Plan at a weighted average exercise price of $2.53 per share;</w:t>
      </w:r>
    </w:p>
    <w:p>
      <w:pPr>
        <w:spacing w:after="0" w:line="59" w:lineRule="exact"/>
        <w:rPr>
          <w:rFonts w:ascii="Arial" w:cs="Arial" w:eastAsia="Arial" w:hAnsi="Arial"/>
          <w:sz w:val="18"/>
          <w:szCs w:val="18"/>
          <w:color w:val="auto"/>
        </w:rPr>
      </w:pPr>
    </w:p>
    <w:p>
      <w:pPr>
        <w:ind w:left="880" w:right="500" w:hanging="224"/>
        <w:spacing w:after="0" w:line="271"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4,429,876 shares of our common stock reserved for future issuance under the 2021 Plan as of September 30, 2024, which shares will cease to be available for issuance at the time the 2024 Plan becomes effective;</w:t>
      </w:r>
    </w:p>
    <w:p>
      <w:pPr>
        <w:spacing w:after="0" w:line="59" w:lineRule="exact"/>
        <w:rPr>
          <w:rFonts w:ascii="Arial" w:cs="Arial" w:eastAsia="Arial" w:hAnsi="Arial"/>
          <w:sz w:val="18"/>
          <w:szCs w:val="18"/>
          <w:color w:val="auto"/>
        </w:rPr>
      </w:pPr>
    </w:p>
    <w:p>
      <w:pPr>
        <w:ind w:left="880" w:right="140" w:hanging="224"/>
        <w:spacing w:after="0" w:line="244"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shares of our common stock reserved for future issuance under our 2024 Plan, which will become effective on the date immediately preceding the date on which our common stock is listed (or approved for listing) on Nasdaq, as well as any automatic increases in the number of shares of our common stock reserved for future issuance under the 2024 Plan and any shares underlying outstanding stock awards granted under the 2021 Plan that expire or are repurchased, forfeited, cancelled or withheld, as more fully described in the section of this prospectus titled “</w:t>
      </w:r>
      <w:r>
        <w:rPr>
          <w:rFonts w:ascii="Arial" w:cs="Arial" w:eastAsia="Arial" w:hAnsi="Arial"/>
          <w:sz w:val="18"/>
          <w:szCs w:val="18"/>
          <w:i w:val="1"/>
          <w:iCs w:val="1"/>
          <w:color w:val="auto"/>
        </w:rPr>
        <w:t>Executive Compensation—Equity Benefit Plans</w:t>
      </w:r>
      <w:r>
        <w:rPr>
          <w:rFonts w:ascii="Arial" w:cs="Arial" w:eastAsia="Arial" w:hAnsi="Arial"/>
          <w:sz w:val="18"/>
          <w:szCs w:val="18"/>
          <w:color w:val="auto"/>
        </w:rPr>
        <w:t>”;</w:t>
      </w:r>
    </w:p>
    <w:p>
      <w:pPr>
        <w:spacing w:after="0" w:line="82" w:lineRule="exact"/>
        <w:rPr>
          <w:sz w:val="20"/>
          <w:szCs w:val="20"/>
          <w:color w:val="auto"/>
        </w:rPr>
      </w:pPr>
    </w:p>
    <w:p>
      <w:pPr>
        <w:ind w:left="880" w:right="20" w:hanging="219"/>
        <w:spacing w:after="0" w:line="253" w:lineRule="auto"/>
        <w:tabs>
          <w:tab w:leader="none" w:pos="860" w:val="left"/>
        </w:tabs>
        <w:rPr>
          <w:sz w:val="20"/>
          <w:szCs w:val="20"/>
          <w:color w:val="auto"/>
        </w:rPr>
      </w:pPr>
      <w:r>
        <w:rPr>
          <w:rFonts w:ascii="Arial" w:cs="Arial" w:eastAsia="Arial" w:hAnsi="Arial"/>
          <w:sz w:val="18"/>
          <w:szCs w:val="18"/>
          <w:color w:val="auto"/>
        </w:rPr>
        <w:t>•</w:t>
        <w:tab/>
        <w:t>      shares of common stock reserved for future issuance under the ESPP, which will become effective on the date immediately following the date on which our common stock is listed (or approved for listing) on Nasdaq, as well as any automatic increases in the number of shares of common stock reserved for future issuance under the ESPP; and</w:t>
      </w:r>
    </w:p>
    <w:p>
      <w:pPr>
        <w:spacing w:after="0" w:line="74" w:lineRule="exact"/>
        <w:rPr>
          <w:sz w:val="20"/>
          <w:szCs w:val="20"/>
          <w:color w:val="auto"/>
        </w:rPr>
      </w:pPr>
    </w:p>
    <w:p>
      <w:pPr>
        <w:ind w:left="880" w:right="180" w:hanging="224"/>
        <w:spacing w:after="0" w:line="27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shares of our common stock issuable upon the exercise of the PWB Warrant at an exercise price of $        per share (after giving effect to the conversion of our convertible preferred stock into common stock).</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2"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169"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As of September 30, 2024, we had a historical net tangible book value of $(366.2) million, or $(41.70) per share of our common stock. Our net tangible book value per share represents our total tangible assets less our total liabilities, deferred offering costs and the carrying value of our convertible preferred stock, all divided by the number of shares of our common stock outstanding on such date. Our pro forma net tangible book value as of September 30, 2024 was $    million, or $    per share. Pro forma net tangible book value per share represents the amount of our net tangible book value divided by the number of shares of our common stock outstanding as of September 30, 2024, after giving effect to (i) the conversion of all outstanding shares of our convertible preferred stock into an aggregate of        shares of our common stock immediately prior to the closing of this offering, (ii) the automatic conversion of all outstanding shares of our non-voting common stock into an aggregate of        shares of our common stock upon the closing of this offering, and (iii) the filing and effectiveness of our Certificate of Incorporation, which will be effective immediately prior to the closing of this offering.</w:t>
      </w:r>
    </w:p>
    <w:p>
      <w:pPr>
        <w:spacing w:after="0" w:line="183"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After giving further effect to the sale of        shares of our common stock in this offering at an assumed initial public offering price of $    per share, the midpoint of the price range set forth on the cover page of this prospectus, after deducting underwriting discounts and commissions and estimated offering expenses payable by us, our pro forma as adjusted net tangible book value as of September 30, 2024 would have been approximately $    million, or approximately $    per share. This represents an immediate increase in pro forma net tangible book value of $    per share to existing stockholders and an immediate dilution in pro forma net tangible book value of $    per share to new investors purchasing shares of our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per share dilution:</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r>
      <w:tr>
        <w:trPr>
          <w:trHeight w:val="274"/>
        </w:trPr>
        <w:tc>
          <w:tcPr>
            <w:tcW w:w="804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September 30, 2024</w:t>
            </w:r>
          </w:p>
        </w:tc>
        <w:tc>
          <w:tcPr>
            <w:tcW w:w="2220" w:type="dxa"/>
            <w:vAlign w:val="bottom"/>
            <w:gridSpan w:val="3"/>
          </w:tcPr>
          <w:p>
            <w:pPr>
              <w:jc w:val="right"/>
              <w:ind w:right="380"/>
              <w:spacing w:after="0"/>
              <w:rPr>
                <w:sz w:val="20"/>
                <w:szCs w:val="20"/>
                <w:color w:val="auto"/>
              </w:rPr>
            </w:pPr>
            <w:r>
              <w:rPr>
                <w:rFonts w:ascii="Arial" w:cs="Arial" w:eastAsia="Arial" w:hAnsi="Arial"/>
                <w:sz w:val="18"/>
                <w:szCs w:val="18"/>
                <w:color w:val="auto"/>
              </w:rPr>
              <w:t>$(41.70)</w:t>
            </w: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6"/>
        </w:trPr>
        <w:tc>
          <w:tcPr>
            <w:tcW w:w="8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8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per share attributable to the pro forma adjustments described above</w:t>
            </w:r>
          </w:p>
        </w:tc>
        <w:tc>
          <w:tcPr>
            <w:tcW w:w="11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7"/>
        </w:trPr>
        <w:tc>
          <w:tcPr>
            <w:tcW w:w="804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September 30, 2024</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8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8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11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investors purchasing common stock in this offering</w:t>
            </w:r>
          </w:p>
        </w:tc>
        <w:tc>
          <w:tcPr>
            <w:tcW w:w="2920" w:type="dxa"/>
            <w:vAlign w:val="bottom"/>
            <w:gridSpan w:val="4"/>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 Each $1.00 increase in the assumed initial public offering price of $        per share, the midpoint of the price range set forth on the cover page of this prospectus, would increase our pro forma as adjusted net tangible book value per share after this offering by $        , and would increase dilution per share to new investors in this offering by $        , in each case assuming that the number of shares offered by us, as set forth on the cover page of this prospectus, remains the same and after deducting underwriting discounts and commissions and estimated offering expenses payable by us. Similarly, each increase of 1.0 million in the number of shares offered by us would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5" w:right="4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515"/>
        </w:trPr>
        <w:tc>
          <w:tcPr>
            <w:tcW w:w="8620" w:type="dxa"/>
            <w:vAlign w:val="bottom"/>
            <w:gridSpan w:val="4"/>
          </w:tcPr>
          <w:p>
            <w:pPr>
              <w:ind w:left="120"/>
              <w:spacing w:after="0"/>
              <w:rPr>
                <w:sz w:val="20"/>
                <w:szCs w:val="20"/>
                <w:color w:val="auto"/>
              </w:rPr>
            </w:pPr>
            <w:r>
              <w:rPr>
                <w:rFonts w:ascii="Arial" w:cs="Arial" w:eastAsia="Arial" w:hAnsi="Arial"/>
                <w:sz w:val="18"/>
                <w:szCs w:val="18"/>
                <w:color w:val="auto"/>
              </w:rPr>
              <w:t xml:space="preserve">increase our pro forma as adjusted net tangible book value per share after this offering by approximately $ </w:t>
            </w:r>
          </w:p>
        </w:tc>
        <w:tc>
          <w:tcPr>
            <w:tcW w:w="2380" w:type="dxa"/>
            <w:vAlign w:val="bottom"/>
          </w:tcPr>
          <w:p>
            <w:pPr>
              <w:ind w:left="120"/>
              <w:spacing w:after="0"/>
              <w:rPr>
                <w:sz w:val="20"/>
                <w:szCs w:val="20"/>
                <w:color w:val="auto"/>
              </w:rPr>
            </w:pPr>
            <w:r>
              <w:rPr>
                <w:rFonts w:ascii="Arial" w:cs="Arial" w:eastAsia="Arial" w:hAnsi="Arial"/>
                <w:sz w:val="18"/>
                <w:szCs w:val="18"/>
                <w:color w:val="auto"/>
              </w:rPr>
              <w:t>   per share and decrease</w:t>
            </w:r>
          </w:p>
        </w:tc>
      </w:tr>
      <w:tr>
        <w:trPr>
          <w:trHeight w:val="203"/>
        </w:trPr>
        <w:tc>
          <w:tcPr>
            <w:tcW w:w="3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xml:space="preserve">the dilution to new investors by approximately $ </w:t>
            </w:r>
          </w:p>
        </w:tc>
        <w:tc>
          <w:tcPr>
            <w:tcW w:w="70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per share, in each case assuming that the assumed initial public offering price</w:t>
            </w:r>
          </w:p>
        </w:tc>
      </w:tr>
      <w:tr>
        <w:trPr>
          <w:trHeight w:val="239"/>
        </w:trPr>
        <w:tc>
          <w:tcPr>
            <w:tcW w:w="11000" w:type="dxa"/>
            <w:vAlign w:val="bottom"/>
            <w:gridSpan w:val="5"/>
          </w:tcPr>
          <w:p>
            <w:pPr>
              <w:ind w:left="120"/>
              <w:spacing w:after="0"/>
              <w:rPr>
                <w:sz w:val="20"/>
                <w:szCs w:val="20"/>
                <w:color w:val="auto"/>
              </w:rPr>
            </w:pPr>
            <w:r>
              <w:rPr>
                <w:rFonts w:ascii="Arial" w:cs="Arial" w:eastAsia="Arial" w:hAnsi="Arial"/>
                <w:sz w:val="18"/>
                <w:szCs w:val="18"/>
                <w:color w:val="auto"/>
              </w:rPr>
              <w:t>remains the same, and after deducting underwriting discounts and commissions and estimated offering expenses payable by us.</w:t>
            </w:r>
          </w:p>
        </w:tc>
      </w:tr>
      <w:tr>
        <w:trPr>
          <w:trHeight w:val="382"/>
        </w:trPr>
        <w:tc>
          <w:tcPr>
            <w:tcW w:w="11000" w:type="dxa"/>
            <w:vAlign w:val="bottom"/>
            <w:gridSpan w:val="5"/>
          </w:tcPr>
          <w:p>
            <w:pPr>
              <w:ind w:left="660"/>
              <w:spacing w:after="0"/>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w:t>
            </w:r>
          </w:p>
        </w:tc>
      </w:tr>
      <w:tr>
        <w:trPr>
          <w:trHeight w:val="203"/>
        </w:trPr>
        <w:tc>
          <w:tcPr>
            <w:tcW w:w="474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8"/>
              </w:rPr>
              <w:t>additional shares. If the underwriters’ option to purchase </w:t>
            </w:r>
          </w:p>
        </w:tc>
        <w:tc>
          <w:tcPr>
            <w:tcW w:w="626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         additional shares is exercised in full, pro forma as adjusted net tangible</w:t>
            </w:r>
          </w:p>
        </w:tc>
      </w:tr>
      <w:tr>
        <w:trPr>
          <w:trHeight w:val="203"/>
        </w:trPr>
        <w:tc>
          <w:tcPr>
            <w:tcW w:w="47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xml:space="preserve">book value after this offering would be approximately $    </w:t>
            </w:r>
          </w:p>
        </w:tc>
        <w:tc>
          <w:tcPr>
            <w:tcW w:w="62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per share, the increase in pro forma net tangible book value per share to</w:t>
            </w:r>
          </w:p>
        </w:tc>
      </w:tr>
      <w:tr>
        <w:trPr>
          <w:trHeight w:val="203"/>
        </w:trPr>
        <w:tc>
          <w:tcPr>
            <w:tcW w:w="86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 xml:space="preserve">existing stockholders would be $      per share and the dilution per share to new investors would be $    </w:t>
            </w:r>
          </w:p>
        </w:tc>
        <w:tc>
          <w:tcPr>
            <w:tcW w:w="2380" w:type="dxa"/>
            <w:vAlign w:val="bottom"/>
          </w:tcPr>
          <w:p>
            <w:pPr>
              <w:ind w:left="20"/>
              <w:spacing w:after="0" w:line="202" w:lineRule="exact"/>
              <w:rPr>
                <w:sz w:val="20"/>
                <w:szCs w:val="20"/>
                <w:color w:val="auto"/>
              </w:rPr>
            </w:pPr>
            <w:r>
              <w:rPr>
                <w:rFonts w:ascii="Arial" w:cs="Arial" w:eastAsia="Arial" w:hAnsi="Arial"/>
                <w:sz w:val="18"/>
                <w:szCs w:val="18"/>
                <w:color w:val="auto"/>
              </w:rPr>
              <w:t>per share, in each case</w:t>
            </w:r>
          </w:p>
        </w:tc>
      </w:tr>
      <w:tr>
        <w:trPr>
          <w:trHeight w:val="203"/>
        </w:trPr>
        <w:tc>
          <w:tcPr>
            <w:tcW w:w="3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xml:space="preserve">assuming an initial public offering price of $    </w:t>
            </w:r>
          </w:p>
        </w:tc>
        <w:tc>
          <w:tcPr>
            <w:tcW w:w="7040" w:type="dxa"/>
            <w:vAlign w:val="bottom"/>
            <w:gridSpan w:val="3"/>
          </w:tcPr>
          <w:p>
            <w:pPr>
              <w:spacing w:after="0" w:line="202" w:lineRule="exact"/>
              <w:rPr>
                <w:sz w:val="20"/>
                <w:szCs w:val="20"/>
                <w:color w:val="auto"/>
              </w:rPr>
            </w:pPr>
            <w:r>
              <w:rPr>
                <w:rFonts w:ascii="Arial" w:cs="Arial" w:eastAsia="Arial" w:hAnsi="Arial"/>
                <w:sz w:val="18"/>
                <w:szCs w:val="18"/>
                <w:color w:val="auto"/>
              </w:rPr>
              <w:t>per share, the midpoint of the price range set forth on the cover page of this prospectus,</w:t>
            </w:r>
          </w:p>
        </w:tc>
      </w:tr>
      <w:tr>
        <w:trPr>
          <w:trHeight w:val="239"/>
        </w:trPr>
        <w:tc>
          <w:tcPr>
            <w:tcW w:w="8620" w:type="dxa"/>
            <w:vAlign w:val="bottom"/>
            <w:gridSpan w:val="4"/>
          </w:tcPr>
          <w:p>
            <w:pPr>
              <w:ind w:left="120"/>
              <w:spacing w:after="0"/>
              <w:rPr>
                <w:sz w:val="20"/>
                <w:szCs w:val="20"/>
                <w:color w:val="auto"/>
              </w:rPr>
            </w:pPr>
            <w:r>
              <w:rPr>
                <w:rFonts w:ascii="Arial" w:cs="Arial" w:eastAsia="Arial" w:hAnsi="Arial"/>
                <w:sz w:val="18"/>
                <w:szCs w:val="18"/>
                <w:color w:val="auto"/>
              </w:rPr>
              <w:t>after deducting underwriting discounts and commissions and estimated offering expenses payable by us.</w:t>
            </w:r>
          </w:p>
        </w:tc>
        <w:tc>
          <w:tcPr>
            <w:tcW w:w="2380" w:type="dxa"/>
            <w:vAlign w:val="bottom"/>
          </w:tcPr>
          <w:p>
            <w:pPr>
              <w:spacing w:after="0"/>
              <w:rPr>
                <w:sz w:val="20"/>
                <w:szCs w:val="20"/>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160" w:firstLine="551"/>
        <w:spacing w:after="0" w:line="244" w:lineRule="auto"/>
        <w:rPr>
          <w:sz w:val="20"/>
          <w:szCs w:val="20"/>
          <w:color w:val="auto"/>
        </w:rPr>
      </w:pPr>
      <w:r>
        <w:rPr>
          <w:rFonts w:ascii="Arial" w:cs="Arial" w:eastAsia="Arial" w:hAnsi="Arial"/>
          <w:sz w:val="18"/>
          <w:szCs w:val="18"/>
          <w:color w:val="auto"/>
        </w:rPr>
        <w:t>The following table summarizes, on a pro forma as adjusted basis as of September 30, 2024, the differences between the number of shares of our common stock purchased from us, the total consideration paid and the average price per share paid by existing stockholders and to be paid by the new investors purchasing shares of our common stock in this offering, at the assumed initial public offering price of common stock of $    per share, the midpoint of the price range set forth on the cover page of this prospectus, before deducting underwriting discounts and commissions and estimated offering expenses payable by us.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gridSpan w:val="4"/>
            <w:vMerge w:val="restart"/>
          </w:tcPr>
          <w:p>
            <w:pPr>
              <w:jc w:val="right"/>
              <w:ind w:right="970"/>
              <w:spacing w:after="0"/>
              <w:rPr>
                <w:sz w:val="20"/>
                <w:szCs w:val="20"/>
                <w:color w:val="auto"/>
              </w:rPr>
            </w:pPr>
            <w:r>
              <w:rPr>
                <w:rFonts w:ascii="Arial" w:cs="Arial" w:eastAsia="Arial" w:hAnsi="Arial"/>
                <w:sz w:val="14"/>
                <w:szCs w:val="14"/>
                <w:b w:val="1"/>
                <w:bCs w:val="1"/>
                <w:color w:val="auto"/>
              </w:rPr>
              <w:t>Total Shares</w:t>
            </w:r>
          </w:p>
        </w:tc>
        <w:tc>
          <w:tcPr>
            <w:tcW w:w="24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77"/>
        </w:trPr>
        <w:tc>
          <w:tcPr>
            <w:tcW w:w="4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24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3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Percentage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2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New investors purchasing shares in this offering</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87"/>
              </w:rPr>
              <w:t>%</w:t>
            </w:r>
          </w:p>
        </w:tc>
        <w:tc>
          <w:tcPr>
            <w:tcW w:w="7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xml:space="preserve">        </w:t>
            </w:r>
          </w:p>
        </w:tc>
        <w:tc>
          <w:tcPr>
            <w:tcW w:w="1800" w:type="dxa"/>
            <w:vAlign w:val="bottom"/>
            <w:gridSpan w:val="3"/>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1700" w:type="dxa"/>
            <w:vAlign w:val="bottom"/>
            <w:gridSpan w:val="3"/>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500" w:type="dxa"/>
            <w:vAlign w:val="bottom"/>
            <w:gridSpan w:val="6"/>
          </w:tcPr>
          <w:p>
            <w:pPr>
              <w:ind w:left="540"/>
              <w:spacing w:after="0"/>
              <w:rPr>
                <w:sz w:val="20"/>
                <w:szCs w:val="20"/>
                <w:color w:val="auto"/>
              </w:rPr>
            </w:pPr>
            <w:r>
              <w:rPr>
                <w:rFonts w:ascii="Arial" w:cs="Arial" w:eastAsia="Arial" w:hAnsi="Arial"/>
                <w:sz w:val="18"/>
                <w:szCs w:val="18"/>
                <w:color w:val="auto"/>
              </w:rPr>
              <w:t xml:space="preserve">Each $1.00 increase (decrease) in the assumed initial public offering price of $          </w:t>
            </w:r>
          </w:p>
        </w:tc>
        <w:tc>
          <w:tcPr>
            <w:tcW w:w="3520" w:type="dxa"/>
            <w:vAlign w:val="bottom"/>
            <w:gridSpan w:val="8"/>
          </w:tcPr>
          <w:p>
            <w:pPr>
              <w:ind w:left="60"/>
              <w:spacing w:after="0"/>
              <w:rPr>
                <w:sz w:val="20"/>
                <w:szCs w:val="20"/>
                <w:color w:val="auto"/>
              </w:rPr>
            </w:pPr>
            <w:r>
              <w:rPr>
                <w:rFonts w:ascii="Arial" w:cs="Arial" w:eastAsia="Arial" w:hAnsi="Arial"/>
                <w:sz w:val="18"/>
                <w:szCs w:val="18"/>
                <w:color w:val="auto"/>
              </w:rPr>
              <w:t>per share, the midpoint of the price range</w:t>
            </w:r>
          </w:p>
        </w:tc>
        <w:tc>
          <w:tcPr>
            <w:tcW w:w="0" w:type="dxa"/>
            <w:vAlign w:val="bottom"/>
          </w:tcPr>
          <w:p>
            <w:pPr>
              <w:spacing w:after="0"/>
              <w:rPr>
                <w:sz w:val="1"/>
                <w:szCs w:val="1"/>
                <w:color w:val="auto"/>
              </w:rPr>
            </w:pPr>
          </w:p>
        </w:tc>
      </w:tr>
      <w:tr>
        <w:trPr>
          <w:trHeight w:val="221"/>
        </w:trPr>
        <w:tc>
          <w:tcPr>
            <w:tcW w:w="9900" w:type="dxa"/>
            <w:vAlign w:val="bottom"/>
            <w:gridSpan w:val="10"/>
          </w:tcPr>
          <w:p>
            <w:pPr>
              <w:spacing w:after="0"/>
              <w:rPr>
                <w:sz w:val="20"/>
                <w:szCs w:val="20"/>
                <w:color w:val="auto"/>
              </w:rPr>
            </w:pPr>
            <w:r>
              <w:rPr>
                <w:rFonts w:ascii="Arial" w:cs="Arial" w:eastAsia="Arial" w:hAnsi="Arial"/>
                <w:sz w:val="18"/>
                <w:szCs w:val="18"/>
                <w:color w:val="auto"/>
              </w:rPr>
              <w:t xml:space="preserve">set forth on the cover page of this prospectus, would increase (decrease) the total consideration paid by new investors by $ </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w w:val="77"/>
              </w:rPr>
              <w:t> </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ind w:left="120" w:right="60"/>
        <w:spacing w:after="0" w:line="237" w:lineRule="auto"/>
        <w:rPr>
          <w:sz w:val="20"/>
          <w:szCs w:val="20"/>
          <w:color w:val="auto"/>
        </w:rPr>
      </w:pPr>
      <w:r>
        <w:rPr>
          <w:rFonts w:ascii="Arial" w:cs="Arial" w:eastAsia="Arial" w:hAnsi="Arial"/>
          <w:sz w:val="18"/>
          <w:szCs w:val="18"/>
          <w:color w:val="auto"/>
        </w:rPr>
        <w:t>and, in the case of an increase, would increase the percentage of total consideration paid by new investors by  % and, in the case of a decrease, would decrease the percentage of total consideration paid by new investors by   %, assuming that the number of shares offered by us, as set forth on the cover page of this prospectus, remains the same. Similarly, each increase (decrease) of 1.0 million in the number of shares offered by us, as set forth on the cover page of this prospectus, would increase (decrease) the total consideration paid by new investors by $    million and, in the case of an increase, would increase the percentage of total consideration paid by new investors by  % and, in the case of a decrease, would decrease the percentage of total consideration paid by new investors by  %, in each case assuming that the assumed initial public offering price remains the same.</w:t>
      </w:r>
    </w:p>
    <w:p>
      <w:pPr>
        <w:spacing w:after="0" w:line="18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foregoing tables and calculations (other than historical net tangible book value calculations) are based on         shares of our common stock outstanding as of September 30, 2024, after giving effect to the conversion of all outstanding shares of our convertible preferred stock into an aggregate of        shares of our common stock immediately prior to the closing of this offering and the automatic conversion of all outstanding shares of our non-voting common stock into an aggregate of        shares of our common stock upon the closing of this offering, and exclude:</w:t>
      </w:r>
    </w:p>
    <w:p>
      <w:pPr>
        <w:spacing w:after="0" w:line="82" w:lineRule="exact"/>
        <w:rPr>
          <w:sz w:val="20"/>
          <w:szCs w:val="20"/>
          <w:color w:val="auto"/>
        </w:rPr>
      </w:pPr>
    </w:p>
    <w:p>
      <w:pPr>
        <w:ind w:left="880" w:right="480" w:hanging="224"/>
        <w:spacing w:after="0" w:line="271"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17,432,533 shares of our common stock issuable upon the exercise of stock options outstanding as of September 30, 2024 under the 2021 Plan at a weighted average exercise price of $2.53 per share;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46"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420" w:hanging="224"/>
        <w:spacing w:after="0" w:line="271"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4,429,876 shares of our common stock reserved for future issuance under the 2021 Plan as of September 30, 2024, which shares will cease to be available for issuance at the time the 2024 Plan becomes effective;</w:t>
      </w:r>
    </w:p>
    <w:p>
      <w:pPr>
        <w:spacing w:after="0" w:line="59" w:lineRule="exact"/>
        <w:rPr>
          <w:rFonts w:ascii="Arial" w:cs="Arial" w:eastAsia="Arial" w:hAnsi="Arial"/>
          <w:sz w:val="18"/>
          <w:szCs w:val="18"/>
          <w:color w:val="auto"/>
        </w:rPr>
      </w:pPr>
    </w:p>
    <w:p>
      <w:pPr>
        <w:ind w:left="880" w:right="60" w:hanging="224"/>
        <w:spacing w:after="0" w:line="244"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shares of our common stock reserved for future issuance under our 2024 Plan, which will become effective on the date immediately preceding the date on which our common stock is listed (or approved for listing) on Nasdaq, as well as any automatic increases in the number of shares of our common stock reserved for future issuance under the 2024 Plan and any shares underlying outstanding stock awards granted under the 2021 Plan that expire or are repurchased, forfeited, cancelled or withheld, as more fully described in the section of this prospectus titled “</w:t>
      </w:r>
      <w:r>
        <w:rPr>
          <w:rFonts w:ascii="Arial" w:cs="Arial" w:eastAsia="Arial" w:hAnsi="Arial"/>
          <w:sz w:val="18"/>
          <w:szCs w:val="18"/>
          <w:i w:val="1"/>
          <w:iCs w:val="1"/>
          <w:color w:val="auto"/>
        </w:rPr>
        <w:t>Executive Compensation—Equity Benefit Plans</w:t>
      </w:r>
      <w:r>
        <w:rPr>
          <w:rFonts w:ascii="Arial" w:cs="Arial" w:eastAsia="Arial" w:hAnsi="Arial"/>
          <w:sz w:val="18"/>
          <w:szCs w:val="18"/>
          <w:color w:val="auto"/>
        </w:rPr>
        <w:t>”;</w:t>
      </w:r>
    </w:p>
    <w:p>
      <w:pPr>
        <w:spacing w:after="0" w:line="82" w:lineRule="exact"/>
        <w:rPr>
          <w:sz w:val="20"/>
          <w:szCs w:val="20"/>
          <w:color w:val="auto"/>
        </w:rPr>
      </w:pPr>
    </w:p>
    <w:p>
      <w:pPr>
        <w:ind w:left="880" w:right="220" w:hanging="219"/>
        <w:spacing w:after="0" w:line="247" w:lineRule="auto"/>
        <w:tabs>
          <w:tab w:leader="none" w:pos="860" w:val="left"/>
        </w:tabs>
        <w:rPr>
          <w:sz w:val="20"/>
          <w:szCs w:val="20"/>
          <w:color w:val="auto"/>
        </w:rPr>
      </w:pPr>
      <w:r>
        <w:rPr>
          <w:rFonts w:ascii="Arial" w:cs="Arial" w:eastAsia="Arial" w:hAnsi="Arial"/>
          <w:sz w:val="18"/>
          <w:szCs w:val="18"/>
          <w:color w:val="auto"/>
        </w:rPr>
        <w:t>•</w:t>
        <w:tab/>
        <w:t>      shares of common stock reserved for future issuance under our 2024 Employee Stock Purchase Plan, or the ESPP, which will become effective on the date immediately following the date on which our common stock is listed (or approved for listing) on Nasdaq, as well as any automatic increases in the number of shares of common stock reserved for future issuance under the ESPP; and</w:t>
      </w:r>
    </w:p>
    <w:p>
      <w:pPr>
        <w:spacing w:after="0" w:line="79" w:lineRule="exact"/>
        <w:rPr>
          <w:sz w:val="20"/>
          <w:szCs w:val="20"/>
          <w:color w:val="auto"/>
        </w:rPr>
      </w:pPr>
    </w:p>
    <w:p>
      <w:pPr>
        <w:ind w:left="880" w:hanging="224"/>
        <w:spacing w:after="0" w:line="271"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shares of our common stock issuable upon the exercise of the PWB Warrant at an exercise price of $    per share (after giving effect to the conversion of our convertible preferred stock into common stock).</w:t>
      </w:r>
    </w:p>
    <w:p>
      <w:pPr>
        <w:spacing w:after="0" w:line="15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To the extent any of the outstanding options or other securities are exercised or new options or other securities are issued under our equity incentive plans, you will experience further dilution as a new investor in this offering. In addition, we may choose to raise additional capital due to market conditions or strategic considerations even if we believe we have sufficient funds for our current or future operating plans. Furthermore, we may choose to issue common stock as part or all of the consideration in acquisitions as part of our planned growth strategy. To the extent that we raise additional capital through the sale of equity or convertible debt securities, the issuance of these securities could result in further dilution to our stockholders.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5" w:right="5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included elsewhere in this prospectus. This discussion and other parts of this prospectus contain forward-looking statements that are based upon current beliefs, plans and expectations related to future events and our future financial performance that involve risks,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of this prospectus titled “Risk Factors” and elsewhere in this prospectus. You should carefully read the section of this prospectus titled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Odyssey is a clinical-stage biopharmaceutical company led by a team and board of drug hunters seeking to transform the standard of care for patients suffering from autoimmune and inflammatory diseases. To accomplish this, we are developing medicines that are designed to precisely target disease pathology with an initial emphasis on the innate immune system. We believe our deep understanding of immunobiology, coupled with leading expertise in medicinal, computational and protein chemistry, structural biology, genetics and pharmacology allows us to identify and drug key signaling nodes that drive disease. We have prioritized targets where we believe the underlying disease biology is understood through genetic, clinical or translational evidence.</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most advanced programs include OD-07656, a small molecule scaffolding inhibitor of receptor-interacting protein kinase 2, or RIPK2, for which we intend to commence a Phase 2a monotherapy trial for ulcerative colitis, or UC, in the first quarter of 2025 and a Phase 2a combination trial with vedolizumab in the first half of 2026, and two preclinical programs: a small molecule scaffolding inhibitor of interleukin-1 receptor-associated kinase 4, or IRAK4, and OD-00910, an agonistic protein therapeutic targeting tumor necrosis factor receptor 2, or TNFR2, built from camelid heavy chain variable regions, or VHH, domains (which we term a V-body). Our Phase 1 RIPK2 clinical trial was conducted in Australia and we have not yet filed an investigational new drug application, or IND, for our RIPK2 program. We anticipate conducting our RIPK2 Phase 2a trials pursuant to clinical trial applications, or CTAs, at approximately 60 sites globally in the Asia-Pacific region, Europe, the Middle East and Canada and pursuant to an IND in the United States, pending submission of such applications and approval and clearance to proceed under them by the applicable regulatory authority. We currently expect to file a CTA in Australia for both our IRAK4 program and OD-00910 by the end of 2025, and, pending approval to proceed from the Australian Therapeutic Goods Association, to commence these trials in the first half of 2026. These programs have the potential to yield treatments for inflammatory diseases that have large addressable patient populations and lack effective treatments, including inflammatory bowel disease, atopic dermatitis and systemic lupus erythematosus, and, where appropriate, we intend to pursue global marketing approval for our programs if we successfully complete the necessary clinical trials.</w:t>
      </w:r>
    </w:p>
    <w:p>
      <w:pPr>
        <w:spacing w:after="0" w:line="189" w:lineRule="exact"/>
        <w:rPr>
          <w:sz w:val="20"/>
          <w:szCs w:val="20"/>
          <w:color w:val="auto"/>
        </w:rPr>
      </w:pPr>
    </w:p>
    <w:p>
      <w:pPr>
        <w:ind w:left="120" w:right="280" w:firstLine="551"/>
        <w:spacing w:after="0" w:line="275" w:lineRule="auto"/>
        <w:rPr>
          <w:sz w:val="20"/>
          <w:szCs w:val="20"/>
          <w:color w:val="auto"/>
        </w:rPr>
      </w:pPr>
      <w:r>
        <w:rPr>
          <w:rFonts w:ascii="Arial" w:cs="Arial" w:eastAsia="Arial" w:hAnsi="Arial"/>
          <w:sz w:val="17"/>
          <w:szCs w:val="17"/>
          <w:color w:val="auto"/>
        </w:rPr>
        <w:t>Since our inception in 2021, we have devoted substantially all of our resources to business planning, research and development activities, recruiting management and technical staff, raising capital, producing materials for preclinical studies and clinical trials, developing and establishing our intellectual property portfolio, entering into collaboration agreements, acquiring companies or assets to</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further our development programs and building infrastructure to support such activities. We do not have any products approved for sale and have not generated any revenue from product sales.</w:t>
      </w:r>
    </w:p>
    <w:p>
      <w:pPr>
        <w:spacing w:after="0" w:line="15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have incurred significant operating losses and negative cash flows since our inception. Our net losses were $125.9 million and $124.7 million for the years ended December 31, 2023 and 2022, respectively, and $93.4 million and $97.1 million for the nine months ended September 30, 2024 and 2023, respectively. As of September 30, 2024, we had an accumulated deficit of $382.7 million and cash, cash equivalents, and marketable securities of $ 154.9 million. Since our inception, we have financed our operations primarily through the sale of shares of our convertible preferred stock and the proceeds from research collaborations and license agreements.</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Based on our current operating plan, we estimate that our existing cash, cash equivalents and marketable securities as of the date of this prospectus, together with the estimated net proceeds from this offering, will be sufficient to fund our operating expenses and capital expenditures through       . We have based this estimate and our forecast of cash resources and planned operations on our current assumptions, which may prove to be wrong, and we may exhaust our available capital resources sooner than we expect. Additional funds will be necessary to maintain current operations and to continue our research and development activities. We plan to monitor expenses and raise additional capital through a combination of public and private equity and debt financings, strategic alliances and licensing or collaboration arrangements. Our ability to access capital when needed is not assured and if capital is not available to us when, and in the amounts, needed, we may need to delay, scale back or abandon some or all of our development programs and other operations, which could materially affect our business, financial condition and results of operations.</w:t>
      </w:r>
    </w:p>
    <w:p>
      <w:pPr>
        <w:spacing w:after="0" w:line="18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or enter into additional collaboration agreements with third parties. Because of the numerous risks and uncertainties associated with product development, we may never achieve profitability, and unless we do and until then, we will need to continue to raise additional capital.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our expenses will increase substantially in connection with our ongoing and planned activities, as we:</w:t>
      </w:r>
    </w:p>
    <w:p>
      <w:pPr>
        <w:spacing w:after="0" w:line="117" w:lineRule="exact"/>
        <w:rPr>
          <w:sz w:val="20"/>
          <w:szCs w:val="20"/>
          <w:color w:val="auto"/>
        </w:rPr>
      </w:pPr>
    </w:p>
    <w:p>
      <w:pPr>
        <w:ind w:left="880" w:right="160" w:hanging="224"/>
        <w:spacing w:after="0" w:line="271"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to progress the development of our product candidates, including our three most advanced programs: OD-07656, our IRAK4 program and OD-00910;</w:t>
      </w:r>
    </w:p>
    <w:p>
      <w:pPr>
        <w:spacing w:after="0" w:line="59" w:lineRule="exact"/>
        <w:rPr>
          <w:rFonts w:ascii="Arial" w:cs="Arial" w:eastAsia="Arial" w:hAnsi="Arial"/>
          <w:sz w:val="18"/>
          <w:szCs w:val="18"/>
          <w:color w:val="auto"/>
        </w:rPr>
      </w:pPr>
    </w:p>
    <w:p>
      <w:pPr>
        <w:ind w:left="880" w:right="320" w:hanging="224"/>
        <w:spacing w:after="0" w:line="253"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and expand the manufacturing of preclinical and clinical supply of our current and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seek regulatory approvals for any of our current product candidates or any future product candidates;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infrastructure to commercialize any product candidates for which we may obtain marketing approval, if any;</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attract, hire and retain qualified clinical, scientific, operations and management personnel;</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 and maintain operational, financial and information management systems;</w:t>
      </w:r>
    </w:p>
    <w:p>
      <w:pPr>
        <w:spacing w:after="0" w:line="117"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protect, maintain, enforce and expand our rights in our intellectual property portfolio or acquire or in-license intellectual property and technologies from third parties;</w:t>
      </w:r>
    </w:p>
    <w:p>
      <w:pPr>
        <w:spacing w:after="0" w:line="59"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experience any delays in our preclinical studies or clinical trials and regulatory approval for our product candidates, including as a result of macroeconomic conditions, geopolitical conflicts or other factors; and</w:t>
      </w:r>
    </w:p>
    <w:p>
      <w:pPr>
        <w:spacing w:after="0" w:line="59"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costs associated with operating as a public company following the completion of this offering.</w:t>
      </w:r>
    </w:p>
    <w:p>
      <w:pPr>
        <w:spacing w:after="0" w:line="154" w:lineRule="exact"/>
        <w:rPr>
          <w:sz w:val="20"/>
          <w:szCs w:val="20"/>
          <w:color w:val="auto"/>
        </w:rPr>
      </w:pPr>
    </w:p>
    <w:p>
      <w:pPr>
        <w:ind w:left="120" w:right="300" w:firstLine="551"/>
        <w:spacing w:after="0" w:line="253" w:lineRule="auto"/>
        <w:rPr>
          <w:sz w:val="20"/>
          <w:szCs w:val="20"/>
          <w:color w:val="auto"/>
        </w:rPr>
      </w:pPr>
      <w:r>
        <w:rPr>
          <w:rFonts w:ascii="Arial" w:cs="Arial" w:eastAsia="Arial" w:hAnsi="Arial"/>
          <w:sz w:val="18"/>
          <w:szCs w:val="18"/>
          <w:color w:val="auto"/>
        </w:rPr>
        <w:t>We do not currently own or operate any manufacturing facilities. We rely on third-party contract manufacturing organizations, or CMOs, to produce our drug candidates in accordance with the U.S. Food and Drug Administration’s, or the FDA, current good manufacturing practices, or cGMPs, for use in our clinical trials.</w:t>
      </w:r>
    </w:p>
    <w:p>
      <w:pPr>
        <w:spacing w:after="0" w:line="169"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169" w:lineRule="exact"/>
        <w:rPr>
          <w:sz w:val="20"/>
          <w:szCs w:val="20"/>
          <w:color w:val="auto"/>
        </w:rPr>
      </w:pPr>
    </w:p>
    <w:p>
      <w:pPr>
        <w:ind w:left="120" w:right="60" w:firstLine="551"/>
        <w:spacing w:after="0" w:line="266"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p>
    <w:p>
      <w:pPr>
        <w:spacing w:after="0" w:line="159"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 See the subsection titled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 for additional discussion of our liquidity.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have not generated any revenue from product sales, and we do not expect to generate any revenue from the sale of products for the foreseeable future, if ever. Our ability to generate product revenues will depend on the successful development and eventual commercialization of any product candidates that we identify. If we fail to complete the development of any of our current or future product candidates in a timely manner or fail to obtain regulatory approval for such product candidates, our ability to generate future revenue and our business, results of operations, financial condition and prospects would be materially adversely affected.</w:t>
      </w:r>
    </w:p>
    <w:p>
      <w:pPr>
        <w:spacing w:after="0" w:line="176"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As of September 30, 2024, our revenue consisted of collaboration revenue earned under the Material Transfer and Evaluation Agreement, dated December 20, 2022, or the Pfizer MTA, with Pfizer Inc., or Pfizer, and revenue earned under the strategic collaboration, option and license agreement, dated March 29, 2024, or the J&amp;J Agreement, with Janssen Pharmaceutica NV, a Johnson &amp; Johnson company, or J&amp;J. For additional information about our revenue recognition policy related to our collaboration agreements, refer to Notes 2 and 4 to our audited consolidated financial statements and Note 4 to our unaudited condensed consolidated financial statements included elsewhere in this prospectus.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2" w:lineRule="exact"/>
        <w:rPr>
          <w:sz w:val="20"/>
          <w:szCs w:val="20"/>
          <w:color w:val="auto"/>
        </w:rPr>
      </w:pPr>
    </w:p>
    <w:p>
      <w:pPr>
        <w:ind w:left="120" w:right="880" w:firstLine="551"/>
        <w:spacing w:after="0" w:line="271" w:lineRule="auto"/>
        <w:rPr>
          <w:sz w:val="20"/>
          <w:szCs w:val="20"/>
          <w:color w:val="auto"/>
        </w:rPr>
      </w:pPr>
      <w:r>
        <w:rPr>
          <w:rFonts w:ascii="Arial" w:cs="Arial" w:eastAsia="Arial" w:hAnsi="Arial"/>
          <w:sz w:val="18"/>
          <w:szCs w:val="18"/>
          <w:color w:val="auto"/>
        </w:rPr>
        <w:t>Our operating expenses consist of (i) research and development expenses, (ii) general and administrative expenses and (iii) changes in fair value of contingent consideration.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largest component of our total operating expenses since our inception has been research and development activities, including costs incurred relating to discovery efforts and the preclinical and clinical development of our product candidates. Research and development expenses consist primarily of internal personnel-related expenses, such as compensation and benefits for research and development employees, including stock-based compensation; external expenses associated with preclinical studies and clinical trials, including costs incurred under agreements with contract research organizations, or CROs, investigative sites that conduct preclinical studies and clinical trials, payments under licensing and research and development agreements and other outside services and consulting costs; costs of acquiring and manufacturing clinical trial materials and other supplies; software and information technology, or IT, costs; and allocated facility-related costs, such as rent, utilities and depreciation. Research and development costs are expensed as incurred.</w:t>
      </w:r>
    </w:p>
    <w:p>
      <w:pPr>
        <w:spacing w:after="0" w:line="180"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We do not allocate employee-related costs, laboratory supplies, and facilities, including other internal costs, to specific product candidates, because these costs are associated with multiple programs and, as such, are not separately classified. We use internal resources primarily for managing our product development, manufacturing and clinical development activities. We deploy our personnel across all of our research and development activities as our employees work across multiple programs.</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General and administrative expenses consist primarily of payroll and personnel-related expenses, including salaries, employee benefit costs, travel and meal expenses and stock-based compensation expense for our general and administrative personnel; professional fees for legal, consulting, accounting and tax services; software and IT costs; allocated overhead, including allocated facility-related costs, including rent, utilities and depreciation; and other general operating expenses not otherwise classified as research and development expenses.</w:t>
      </w:r>
    </w:p>
    <w:p>
      <w:pPr>
        <w:spacing w:after="0" w:line="176"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anticipate that our general and administrative expenses will increase following this offering, as a result of increased personnel costs, including salaries, benefits and stock-based compensation expense, patent costs for our product candidates, expanded infrastructure and higher legal, consulting and accounting services associated with maintaining compliance with the listing requirements of the Nasdaq Stock Market LLC and rules and regulations promulgated under the Securities Exchange Act of 1934, as amended, or the Exchange Act, investor relations costs and director and officer insurance premiums associated with being a public company.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fair value of contingent consideration</w:t>
      </w:r>
    </w:p>
    <w:p>
      <w:pPr>
        <w:spacing w:after="0" w:line="102"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Expenses associated with changes in fair value of contingent consideration are driven by changes in the assumptions used by management in estimating the fair value of future payments that may be made by us to the previous shareholders of IFM Discovery, LLC, or IFM, as a result of our acquisition of IFM in 2022, and Rahko Limited, or Rahko, as a result of our acquisition of Rahko in 2021.</w:t>
      </w:r>
    </w:p>
    <w:p>
      <w:pPr>
        <w:spacing w:after="0" w:line="169" w:lineRule="exact"/>
        <w:rPr>
          <w:sz w:val="20"/>
          <w:szCs w:val="20"/>
          <w:color w:val="auto"/>
        </w:rPr>
      </w:pPr>
    </w:p>
    <w:p>
      <w:pPr>
        <w:ind w:left="120" w:right="220" w:firstLine="551"/>
        <w:spacing w:after="0" w:line="301" w:lineRule="auto"/>
        <w:rPr>
          <w:sz w:val="20"/>
          <w:szCs w:val="20"/>
          <w:color w:val="auto"/>
        </w:rPr>
      </w:pPr>
      <w:r>
        <w:rPr>
          <w:rFonts w:ascii="Arial" w:cs="Arial" w:eastAsia="Arial" w:hAnsi="Arial"/>
          <w:sz w:val="17"/>
          <w:szCs w:val="17"/>
          <w:color w:val="auto"/>
        </w:rPr>
        <w:t>For additional information about the changes in fair value of contingent consideration, refer to Note 5 to our audited consolidated financial statements and Note 5 to our unaudited condensed consolidated financial statements included elsewhere in this prospectus.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Interest income consists primarily of interest generated on our interest-bearing cash and cash equivalent accounts and accretion of discounts and amortization of premiums related to our marketable securities.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02"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Interest expense consists primarily of interest on our finance lease, our Loan and Security Agreement, dated May 17, 2022, or the LSA, with Pacific Western Bank, and loss on the extinguishment of the LSA as a result of our early repayment in 2023.</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net</w:t>
      </w:r>
    </w:p>
    <w:p>
      <w:pPr>
        <w:spacing w:after="0" w:line="102"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Other expense, net consists primarily of realized and unrealized foreign currency transaction losses and loss on the sale of our property and equipment.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Income tax provision consists of U.S. state and foreign taxes in jurisdictions in which we conduct business. Since our inception, we have not recorded any income tax benefits for the net losses we have incurred or for our earned research and development tax credits, as we believe, based upon the weight of available evidence, that it is more likely than not that not all of our net operating loss carryforwards and tax credits will be realized. As of September 30, 2024 and December 31, 2023, we have recorded a full valuation allowance against our net deferred tax assets.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2024 and 2023</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431"/>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750</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$ 1,967</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81,100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86,480</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03"/>
        </w:trPr>
        <w:tc>
          <w:tcPr>
            <w:tcW w:w="59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19,719</w:t>
            </w:r>
          </w:p>
        </w:tc>
        <w:tc>
          <w:tcPr>
            <w:tcW w:w="10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16,886</w:t>
            </w: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102,234</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(99,517)</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(102,546)</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6,716</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6,269</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3"/>
        </w:trPr>
        <w:tc>
          <w:tcPr>
            <w:tcW w:w="598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(328)</w:t>
            </w: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expense, net</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(124)</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(92,967)</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(96,729)</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(93,389)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(97,080)</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$ 3,691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02"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Collaboration revenue increased by $2.0 million, or 262%, to $ 2.7 million for the nine months ended September 30, 2024 compared to $0.8 for the nine months ended September 30, 2023. The increase is related to the Company entering into the J&amp;J Agreement in March 2024. The Company recognized $2.4 million and $0.3 million of revenue during the nine months ended September 30, 2024 under the J&amp;J Agreement and Pfizer MTA, respectively, as compared to $0.8 million of revenue recognized under the Pfizer MTA during the nine months ended September 30, 2023.</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8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personnel-related expenses (including stock-based compensation)</w:t>
            </w:r>
          </w:p>
        </w:tc>
        <w:tc>
          <w:tcPr>
            <w:tcW w:w="17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$30,363</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$32,893</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External expenses associated with preclinical and clinical studies</w:t>
            </w:r>
          </w:p>
        </w:tc>
        <w:tc>
          <w:tcPr>
            <w:tcW w:w="17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25,653</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27,388</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 supplies and services used in research and development activities</w:t>
            </w:r>
          </w:p>
        </w:tc>
        <w:tc>
          <w:tcPr>
            <w:tcW w:w="17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9,293</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10,476</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9"/>
        </w:trPr>
        <w:tc>
          <w:tcPr>
            <w:tcW w:w="7300" w:type="dxa"/>
            <w:vAlign w:val="bottom"/>
          </w:tcPr>
          <w:p>
            <w:pPr>
              <w:spacing w:after="0"/>
              <w:rPr>
                <w:sz w:val="20"/>
                <w:szCs w:val="20"/>
                <w:color w:val="auto"/>
              </w:rPr>
            </w:pPr>
            <w:r>
              <w:rPr>
                <w:rFonts w:ascii="Arial" w:cs="Arial" w:eastAsia="Arial" w:hAnsi="Arial"/>
                <w:sz w:val="18"/>
                <w:szCs w:val="18"/>
                <w:color w:val="auto"/>
              </w:rPr>
              <w:t>Software and IT costs and allocated facility-related costs (including depreciation)</w:t>
            </w:r>
          </w:p>
        </w:tc>
        <w:tc>
          <w:tcPr>
            <w:tcW w:w="1740" w:type="dxa"/>
            <w:vAlign w:val="bottom"/>
            <w:gridSpan w:val="2"/>
          </w:tcPr>
          <w:p>
            <w:pPr>
              <w:jc w:val="right"/>
              <w:ind w:right="108"/>
              <w:spacing w:after="0"/>
              <w:rPr>
                <w:sz w:val="20"/>
                <w:szCs w:val="20"/>
                <w:color w:val="auto"/>
              </w:rPr>
            </w:pPr>
            <w:r>
              <w:rPr>
                <w:rFonts w:ascii="Arial" w:cs="Arial" w:eastAsia="Arial" w:hAnsi="Arial"/>
                <w:sz w:val="18"/>
                <w:szCs w:val="18"/>
                <w:color w:val="auto"/>
              </w:rPr>
              <w:t>15,295</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14,819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332"/>
        </w:trPr>
        <w:tc>
          <w:tcPr>
            <w:tcW w:w="7300" w:type="dxa"/>
            <w:vAlign w:val="bottom"/>
          </w:tcPr>
          <w:p>
            <w:pPr>
              <w:ind w:left="5360"/>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6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496</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904</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81,100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expenses decreased by $5.4 million, or 6.2%, to $81.1 million for the nine months ended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2024 compared to $86.5 million for the nine months ended September 30, 2023. This decrease was primarily attributable</w:t>
      </w:r>
    </w:p>
    <w:p>
      <w:pPr>
        <w:ind w:left="120"/>
        <w:spacing w:after="0"/>
        <w:rPr>
          <w:sz w:val="20"/>
          <w:szCs w:val="20"/>
          <w:color w:val="auto"/>
        </w:rPr>
      </w:pPr>
      <w:r>
        <w:rPr>
          <w:rFonts w:ascii="Arial" w:cs="Arial" w:eastAsia="Arial" w:hAnsi="Arial"/>
          <w:sz w:val="18"/>
          <w:szCs w:val="18"/>
          <w:color w:val="auto"/>
        </w:rPr>
        <w:t>to:</w:t>
      </w:r>
    </w:p>
    <w:p>
      <w:pPr>
        <w:spacing w:after="0" w:line="99" w:lineRule="exact"/>
        <w:rPr>
          <w:sz w:val="20"/>
          <w:szCs w:val="20"/>
          <w:color w:val="auto"/>
        </w:rPr>
      </w:pPr>
    </w:p>
    <w:p>
      <w:pPr>
        <w:ind w:left="880" w:right="360" w:hanging="224"/>
        <w:spacing w:after="0" w:line="271"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$2.5 million decrease in internal personnel-related expenses, primarily attributable to a decrease in sign-on bonus expense and annual bonus expense in 2024;</w:t>
      </w:r>
    </w:p>
    <w:p>
      <w:pPr>
        <w:spacing w:after="0" w:line="59" w:lineRule="exact"/>
        <w:rPr>
          <w:rFonts w:ascii="Arial" w:cs="Arial" w:eastAsia="Arial" w:hAnsi="Arial"/>
          <w:sz w:val="18"/>
          <w:szCs w:val="18"/>
          <w:color w:val="auto"/>
        </w:rPr>
      </w:pPr>
    </w:p>
    <w:p>
      <w:pPr>
        <w:jc w:val="both"/>
        <w:ind w:left="880" w:right="60" w:hanging="224"/>
        <w:spacing w:after="0" w:line="253"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$1.7 million decrease in external expenses associated with preclinical and clinical studies, primarily due to a strategic decision to reduce spending on our preclinical assets other than those we consider to be most promising, offset by increased expenses in 2024 associated with our clinical trial;</w:t>
      </w:r>
    </w:p>
    <w:p>
      <w:pPr>
        <w:spacing w:after="0" w:line="74"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$1.2 million decrease in lab supplies and services used in research and development activities due to the transition between preclinical studies and clinical trial programs in 2024; and</w:t>
      </w:r>
    </w:p>
    <w:p>
      <w:pPr>
        <w:spacing w:after="0" w:line="59" w:lineRule="exact"/>
        <w:rPr>
          <w:rFonts w:ascii="Arial" w:cs="Arial" w:eastAsia="Arial" w:hAnsi="Arial"/>
          <w:sz w:val="18"/>
          <w:szCs w:val="18"/>
          <w:color w:val="auto"/>
        </w:rPr>
      </w:pPr>
    </w:p>
    <w:p>
      <w:pPr>
        <w:ind w:left="880" w:right="420" w:hanging="224"/>
        <w:spacing w:after="0" w:line="271"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$0.4 million decrease in other research and development expenses, primarily attributable to higher costs for data licensing expenses incurred in 2023.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w:t>
      </w:r>
    </w:p>
    <w:p>
      <w:pPr>
        <w:spacing w:after="0" w:line="117"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$0.5 million increase in software licenses and web services to support our expanding business in 2024.</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general and administrative expenses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personnel-related expenses (including stock-based compensation)</w:t>
            </w:r>
          </w:p>
        </w:tc>
        <w:tc>
          <w:tcPr>
            <w:tcW w:w="6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$10,619</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$10,124</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6,121</w:t>
            </w:r>
          </w:p>
        </w:tc>
        <w:tc>
          <w:tcPr>
            <w:tcW w:w="4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4,252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1,869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and IT costs</w:t>
            </w:r>
          </w:p>
        </w:tc>
        <w:tc>
          <w:tcPr>
            <w:tcW w:w="6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1,626</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1,381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Facility-related costs (including depreciation)</w:t>
            </w:r>
          </w:p>
        </w:tc>
        <w:tc>
          <w:tcPr>
            <w:tcW w:w="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865</w:t>
            </w:r>
          </w:p>
        </w:tc>
        <w:tc>
          <w:tcPr>
            <w:tcW w:w="4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557</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general and administrative expenses</w:t>
            </w:r>
          </w:p>
        </w:tc>
        <w:tc>
          <w:tcPr>
            <w:tcW w:w="6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488</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572</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19,719</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16,886</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expenses increased by $2.8 million, or 16.6%, to $19.7 million for the nine months ended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2024 compared to $16.9 million for the nine months ended September 30, 2023. This increase was primarily related to:</w:t>
      </w:r>
    </w:p>
    <w:p>
      <w:pPr>
        <w:spacing w:after="0" w:line="99" w:lineRule="exact"/>
        <w:rPr>
          <w:sz w:val="20"/>
          <w:szCs w:val="20"/>
          <w:color w:val="auto"/>
        </w:rPr>
      </w:pPr>
    </w:p>
    <w:p>
      <w:pPr>
        <w:ind w:left="880" w:right="160" w:hanging="224"/>
        <w:spacing w:after="0" w:line="271"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$0.5 million increase in payroll and personnel-related expenses, primarily driven by an increase in stock-based compensation for additional options granted in 2024;</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160" w:hanging="224"/>
        <w:spacing w:after="0" w:line="271"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$1.9 million increase in professional and consulting fees, primarily driven by an increase in legal fees for patent research and analysis in 2024;</w:t>
      </w:r>
    </w:p>
    <w:p>
      <w:pPr>
        <w:spacing w:after="0" w:line="59" w:lineRule="exact"/>
        <w:rPr>
          <w:rFonts w:ascii="Arial" w:cs="Arial" w:eastAsia="Arial" w:hAnsi="Arial"/>
          <w:sz w:val="18"/>
          <w:szCs w:val="18"/>
          <w:color w:val="auto"/>
        </w:rPr>
      </w:pPr>
    </w:p>
    <w:p>
      <w:pPr>
        <w:ind w:left="880" w:right="420" w:hanging="224"/>
        <w:spacing w:after="0" w:line="271"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$0.2 million increase in software and IT costs driven by increased costs for software licenses and web services to support expanding operations in 2024;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$0.3 million increase in facility-related costs related to increased rental and facility costs in 2024.</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880" w:hanging="224"/>
        <w:spacing w:after="0" w:line="271"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$0.1 million decrease in other general and administrative expenses as a result of costs for training work completed in 2023 that was not incurred in 2024.</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fair value of contingent consideration</w:t>
      </w:r>
    </w:p>
    <w:p>
      <w:pPr>
        <w:spacing w:after="0" w:line="102"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Expense due to changes in fair value of contingent consideration increased by $1.5 million to income of $ 1.4 million for the nine months ended September 30, 2024 compared to expense of $ 70,000 for the nine months ended September 30, 2023. The $1.5 million increase was driven by changes in assumptions used by us in estimating the fair value of the contingent consideration period over period, including the discount rate, timing of milestone events and probability of achieving the milestones.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jc w:val="both"/>
        <w:ind w:left="120" w:right="160" w:firstLine="551"/>
        <w:spacing w:after="0" w:line="247" w:lineRule="auto"/>
        <w:rPr>
          <w:sz w:val="20"/>
          <w:szCs w:val="20"/>
          <w:color w:val="auto"/>
        </w:rPr>
      </w:pPr>
      <w:r>
        <w:rPr>
          <w:rFonts w:ascii="Arial" w:cs="Arial" w:eastAsia="Arial" w:hAnsi="Arial"/>
          <w:sz w:val="18"/>
          <w:szCs w:val="18"/>
          <w:color w:val="auto"/>
        </w:rPr>
        <w:t>Interest income increased by $0.4 million to $6.7 million for the nine months ended September 30, 2024 compared to $6.3 million for the nine months ended September 30, 2023. The increase primarily relates to additional interest earned on interest bearing cash and cash equivalent accounts as a result of the higher interest rate environment and accretion of discounts and amortization of premiums on our marketable securities.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02"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Interest expense decreased by $0.3 million to $14,000 for the nine months ended September 30, 2024 compared to $0.3 million for the nine months ended September 30, 2023 as we repaid the principal amount and accrued interest in full and terminated the LSA in April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net</w:t>
      </w:r>
    </w:p>
    <w:p>
      <w:pPr>
        <w:spacing w:after="0" w:line="102" w:lineRule="exact"/>
        <w:rPr>
          <w:sz w:val="20"/>
          <w:szCs w:val="20"/>
          <w:color w:val="auto"/>
        </w:rPr>
      </w:pPr>
    </w:p>
    <w:p>
      <w:pPr>
        <w:jc w:val="both"/>
        <w:ind w:left="120" w:right="200" w:firstLine="551"/>
        <w:spacing w:after="0" w:line="253" w:lineRule="auto"/>
        <w:rPr>
          <w:sz w:val="20"/>
          <w:szCs w:val="20"/>
          <w:color w:val="auto"/>
        </w:rPr>
      </w:pPr>
      <w:r>
        <w:rPr>
          <w:rFonts w:ascii="Arial" w:cs="Arial" w:eastAsia="Arial" w:hAnsi="Arial"/>
          <w:sz w:val="18"/>
          <w:szCs w:val="18"/>
          <w:color w:val="auto"/>
        </w:rPr>
        <w:t>Other expense, net increased by less than $0.1 million to expense of $0.2 million for the nine months ended September 30, 2024 compared to expense of $0.1 million for the nine months ended September 30, 2023. The increase primarily relates to foreign currency transaction losses.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2023 and 2022</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4"/>
          </w:tcPr>
          <w:p>
            <w:pPr>
              <w:jc w:val="right"/>
              <w:ind w:right="411"/>
              <w:spacing w:after="0" w:line="155"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112,279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101,755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10,524</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22,197</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21,021</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5,128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134,773</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127,904</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(133,736)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(127,904)</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8,792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3,924</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(335)</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(291)</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(125,491)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(124,318)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(125,938)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(124,665)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02"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Collaboration revenue increased by $1.0 million to $1.0 million for the year ended December 31, 2023 compared to $0 for the year ended December 31, 2022. The increase is solely attributable to amounts recognized under the Pfizer MTA.</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8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right"/>
              <w:ind w:right="373"/>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personnel-related expenses (including stock-based compensation)</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43,621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36,605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External expenses associated with preclinical and clinical studies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34,771</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25,729</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 supplies and services used in research and development activities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13,119</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16,025</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Software and IT costs and facility-related costs (including depreciation)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19,688</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19,130</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4,266</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112,279</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101,755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360"/>
              <w:spacing w:after="0"/>
              <w:rPr>
                <w:sz w:val="20"/>
                <w:szCs w:val="20"/>
                <w:color w:val="auto"/>
              </w:rPr>
            </w:pPr>
            <w:r>
              <w:rPr>
                <w:rFonts w:ascii="Arial" w:cs="Arial" w:eastAsia="Arial" w:hAnsi="Arial"/>
                <w:sz w:val="18"/>
                <w:szCs w:val="18"/>
                <w:color w:val="auto"/>
              </w:rPr>
              <w:t>107</w:t>
            </w: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9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Research and development expenses increased by $10.5 million, or 10.3%, to $ 112.3 million for the year ended December 31, 2023 compared to $101.8 million for the year ended December 31, 2022. This increase was primarily related to:</w:t>
      </w:r>
    </w:p>
    <w:p>
      <w:pPr>
        <w:spacing w:after="0" w:line="59" w:lineRule="exact"/>
        <w:rPr>
          <w:sz w:val="20"/>
          <w:szCs w:val="20"/>
          <w:color w:val="auto"/>
        </w:rPr>
      </w:pPr>
    </w:p>
    <w:p>
      <w:pPr>
        <w:ind w:left="880" w:right="580" w:hanging="224"/>
        <w:spacing w:after="0" w:line="271"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$7.0 million increase in personnel expenses, including stock-based compensation, as a result of increased headcount to support our research and development operations;</w:t>
      </w:r>
    </w:p>
    <w:p>
      <w:pPr>
        <w:spacing w:after="0" w:line="59" w:lineRule="exact"/>
        <w:rPr>
          <w:rFonts w:ascii="Arial" w:cs="Arial" w:eastAsia="Arial" w:hAnsi="Arial"/>
          <w:sz w:val="18"/>
          <w:szCs w:val="18"/>
          <w:color w:val="auto"/>
        </w:rPr>
      </w:pPr>
    </w:p>
    <w:p>
      <w:pPr>
        <w:ind w:left="880" w:right="720" w:hanging="224"/>
        <w:spacing w:after="0" w:line="271"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$9.0 million increase in external expenses associated with preclinical and clinical costs as we further advance our lead program and other early stage programs;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$0.6 million increase in software and IT costs and allocated facility-related costs.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$2.9 million decrease in lab supplies, primarily related to lab consumables, and lab services; and</w:t>
      </w:r>
    </w:p>
    <w:p>
      <w:pPr>
        <w:spacing w:after="0" w:line="117" w:lineRule="exact"/>
        <w:rPr>
          <w:rFonts w:ascii="Arial" w:cs="Arial" w:eastAsia="Arial" w:hAnsi="Arial"/>
          <w:sz w:val="18"/>
          <w:szCs w:val="18"/>
          <w:color w:val="auto"/>
        </w:rPr>
      </w:pPr>
    </w:p>
    <w:p>
      <w:pPr>
        <w:ind w:left="880" w:right="60" w:hanging="224"/>
        <w:spacing w:after="0" w:line="253"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$3.2 million decrease in other research and development expenses primarily due to amounts expensed upon the acquisition of IFM in 2022, associated with in-process research and development that was determined to have no alternative future use and the initial measurement of the contingent consideration described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general and administrative expenses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7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5"/>
          </w:tcPr>
          <w:p>
            <w:pPr>
              <w:jc w:val="right"/>
              <w:ind w:right="433"/>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personnel-related expenses (including stock-based compensation)</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13,314</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10,567</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$ 2,747</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5,549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7,494</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and IT costs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1,864</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1,458</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2"/>
        </w:trPr>
        <w:tc>
          <w:tcPr>
            <w:tcW w:w="7400" w:type="dxa"/>
            <w:vAlign w:val="bottom"/>
          </w:tcPr>
          <w:p>
            <w:pPr>
              <w:spacing w:after="0" w:line="202" w:lineRule="exact"/>
              <w:rPr>
                <w:sz w:val="20"/>
                <w:szCs w:val="20"/>
                <w:color w:val="auto"/>
              </w:rPr>
            </w:pPr>
            <w:r>
              <w:rPr>
                <w:rFonts w:ascii="Arial" w:cs="Arial" w:eastAsia="Arial" w:hAnsi="Arial"/>
                <w:sz w:val="18"/>
                <w:szCs w:val="18"/>
                <w:color w:val="auto"/>
              </w:rPr>
              <w:t>Facility-related costs (including depreciation)</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120</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1,382</w:t>
            </w: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22,197</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21,021</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General and administrative expenses increased by $1.2 million, or 5.7%, to $22.2 million for the year ended December 31, 2023 compared to $21.0 million for the year ended December 31, 2022. This increase was primarily related to:</w:t>
      </w:r>
    </w:p>
    <w:p>
      <w:pPr>
        <w:spacing w:after="0" w:line="59" w:lineRule="exact"/>
        <w:rPr>
          <w:sz w:val="20"/>
          <w:szCs w:val="20"/>
          <w:color w:val="auto"/>
        </w:rPr>
      </w:pPr>
    </w:p>
    <w:p>
      <w:pPr>
        <w:ind w:left="880" w:right="580" w:hanging="224"/>
        <w:spacing w:after="0" w:line="271"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$2.7 million increase in personnel-related expenses, primarily driven by an increase in headcount related to new hires to support our business;</w:t>
      </w:r>
    </w:p>
    <w:p>
      <w:pPr>
        <w:spacing w:after="0" w:line="59"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$0.6 million increase in facility-related costs, primarily related to more allocated lease and facility costs as a result of our growing general and administrative function;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$0.4 million increase in software license and computer expenses due to our expanding operations.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$1.9 million decrease in professional and consulting fees, primarily related to legal costs;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$0.6 million decrease in other general and administrative expenses.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fair value of contingent consideration</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Expense due to changes in fair value of contingent consideration decreased by $4.8 million to $ 0.3 million for the year ended December 31, 2023 compared to $5.1 million for the year ended December 31, 2022. The $4.8 million decrease was driven by changes in assumptions used by us in estimating the fair value of the contingent consideration period over period, including the discount rate, timing of milestone events and probability of achieving the milestones.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Interest income increased by $4.9 million to $8.8 million for the year ended December 31, 2023 compared to $3.9 million for the year ended December 31, 2022. The increase primarily relates to additional interest earned on interest bearing cash and cash equivalent accounts as a result of the higher interest rate environment and accretion of discounts and amortization of premiums on our marketable securities.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02"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Interest expense was $0.3 million for the year ended December 31, 2023 and 2022. Interest expense is primarily comprised of amounts associated with the LSA.</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net</w:t>
      </w:r>
    </w:p>
    <w:p>
      <w:pPr>
        <w:spacing w:after="0" w:line="102" w:lineRule="exact"/>
        <w:rPr>
          <w:sz w:val="20"/>
          <w:szCs w:val="20"/>
          <w:color w:val="auto"/>
        </w:rPr>
      </w:pPr>
    </w:p>
    <w:p>
      <w:pPr>
        <w:ind w:left="120" w:right="580" w:firstLine="551"/>
        <w:spacing w:after="0" w:line="301" w:lineRule="auto"/>
        <w:rPr>
          <w:sz w:val="20"/>
          <w:szCs w:val="20"/>
          <w:color w:val="auto"/>
        </w:rPr>
      </w:pPr>
      <w:r>
        <w:rPr>
          <w:rFonts w:ascii="Arial" w:cs="Arial" w:eastAsia="Arial" w:hAnsi="Arial"/>
          <w:sz w:val="17"/>
          <w:szCs w:val="17"/>
          <w:color w:val="auto"/>
        </w:rPr>
        <w:t>Other expense, net increased by $0.2 million to expense of $0.2 million for the year ended December 31, 2023 compared to expense of $47,000 for the year ended December 31, 2022. The increase primarily relates to foreign currency transaction losses.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Since our inception, we have primarily funded our operations through the sale of shares of our convertible preferred stock and the proceeds from research collaborations and license agreements. We have not generated any revenue from product sales and have incurred significant annual operating losses and negative cash flows from our operations. We expect to incur significant expenses and operating losses in the foreseeable future as we advance the development of our product candidates. As of September 30, 2024, we had $154.9 million in cash, cash equivalents and marketable securities.</w:t>
      </w:r>
    </w:p>
    <w:p>
      <w:pPr>
        <w:spacing w:after="0" w:line="176" w:lineRule="exact"/>
        <w:rPr>
          <w:sz w:val="20"/>
          <w:szCs w:val="20"/>
          <w:color w:val="auto"/>
        </w:rPr>
      </w:pPr>
    </w:p>
    <w:p>
      <w:pPr>
        <w:ind w:left="120" w:right="860" w:firstLine="551"/>
        <w:spacing w:after="0" w:line="271" w:lineRule="auto"/>
        <w:rPr>
          <w:sz w:val="20"/>
          <w:szCs w:val="20"/>
          <w:color w:val="auto"/>
        </w:rPr>
      </w:pPr>
      <w:r>
        <w:rPr>
          <w:rFonts w:ascii="Arial" w:cs="Arial" w:eastAsia="Arial" w:hAnsi="Arial"/>
          <w:sz w:val="18"/>
          <w:szCs w:val="18"/>
          <w:color w:val="auto"/>
        </w:rPr>
        <w:t>On March 17, 2022, we entered into the LSA with Pacific Western Bank pursuant to which we borrowed $5.0 million. We subsequently paid back the principal amount and accrued interest in full and terminated the LSA in April 2023.</w:t>
      </w:r>
    </w:p>
    <w:p>
      <w:pPr>
        <w:spacing w:after="0" w:line="154" w:lineRule="exact"/>
        <w:rPr>
          <w:sz w:val="20"/>
          <w:szCs w:val="20"/>
          <w:color w:val="auto"/>
        </w:rPr>
      </w:pPr>
    </w:p>
    <w:p>
      <w:pPr>
        <w:ind w:left="120" w:right="320" w:firstLine="551"/>
        <w:spacing w:after="0" w:line="301" w:lineRule="auto"/>
        <w:rPr>
          <w:sz w:val="20"/>
          <w:szCs w:val="20"/>
          <w:color w:val="auto"/>
        </w:rPr>
      </w:pPr>
      <w:r>
        <w:rPr>
          <w:rFonts w:ascii="Arial" w:cs="Arial" w:eastAsia="Arial" w:hAnsi="Arial"/>
          <w:sz w:val="17"/>
          <w:szCs w:val="17"/>
          <w:color w:val="auto"/>
        </w:rPr>
        <w:t>To date, we have raised aggregate gross proceeds of approximately $501.1 million from the sale of our securities.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 Transactions</w:t>
      </w:r>
      <w:r>
        <w:rPr>
          <w:rFonts w:ascii="Arial" w:cs="Arial" w:eastAsia="Arial" w:hAnsi="Arial"/>
          <w:sz w:val="17"/>
          <w:szCs w:val="17"/>
          <w:color w:val="auto"/>
        </w:rPr>
        <w:t>” for a description of our convertible preferred stock offerings and resulting proceeds.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incur costs associated with our efforts to discover new targets and engage in future collaborations, and the potential commercialization of our product candidates, if approved. We are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and development expenditures related to our discovery programs and general and administrative expenditures. Cash used to fund operating expenses is impacted by the timing of when we pay these expenses, as reflected in the change in our outstanding accounts payable, accrued expenses and prepaid expenses.</w:t>
      </w:r>
    </w:p>
    <w:p>
      <w:pPr>
        <w:spacing w:after="0" w:line="179"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We have incurred significant annual operating losses and negative cash flows since our inception. As of September 30, 2024, we had an accumulated deficit of $ 382.7 million. Based on our current operating plan, we estimate that our existing cash, cash equivalents and marketable securities as of the date of this prospectus, together with the estimated net proceeds from this offering, will be sufficient to fund our operating expenses and capital expenditures for at least the next 12 months from the issuance of the unaudited condensed consolidated financial statements included elsewhere in this prospectus and through                     . We have based this estimate on our current assumptions, which may prove to be wrong, and we may exhaust our available capital resources sooner than we expect.</w:t>
      </w:r>
    </w:p>
    <w:p>
      <w:pPr>
        <w:spacing w:after="0" w:line="179"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Our forecast of cash resources and planned operations involves risks and uncertainties, and the actual amount of expenses could vary materially as a result of a number of factors, including:</w:t>
      </w:r>
    </w:p>
    <w:p>
      <w:pPr>
        <w:spacing w:after="0" w:line="59" w:lineRule="exact"/>
        <w:rPr>
          <w:sz w:val="20"/>
          <w:szCs w:val="20"/>
          <w:color w:val="auto"/>
        </w:rPr>
      </w:pPr>
    </w:p>
    <w:p>
      <w:pPr>
        <w:ind w:left="88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planned clinical trials for our current or future product candidates, including additional expenses attributable to adjusting our development plans;</w:t>
      </w:r>
    </w:p>
    <w:p>
      <w:pPr>
        <w:spacing w:after="0" w:line="59" w:lineRule="exact"/>
        <w:rPr>
          <w:rFonts w:ascii="Arial" w:cs="Arial" w:eastAsia="Arial" w:hAnsi="Arial"/>
          <w:sz w:val="18"/>
          <w:szCs w:val="18"/>
          <w:color w:val="auto"/>
        </w:rPr>
      </w:pPr>
    </w:p>
    <w:p>
      <w:pPr>
        <w:ind w:left="880" w:right="68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 and clinical trials required for regulatory approval of our current or future product candidates;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current or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or future product candidates;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 or license agreements and the achievement of milestones or occurrence of other developments that trigger payments under any existing or additional collaboration or license agreements;</w:t>
      </w:r>
    </w:p>
    <w:p>
      <w:pPr>
        <w:spacing w:after="0" w:line="59"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59"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continuing to invest in our drug discovery efforts and tools designed to identify novel targets and drugs;</w:t>
      </w:r>
    </w:p>
    <w:p>
      <w:pPr>
        <w:spacing w:after="0" w:line="117"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potential increase in the number of our employees and expansion of our physical facilities to support preclinical studies and clinical trials;</w:t>
      </w:r>
    </w:p>
    <w:p>
      <w:pPr>
        <w:spacing w:after="0" w:line="59" w:lineRule="exact"/>
        <w:rPr>
          <w:rFonts w:ascii="Arial" w:cs="Arial" w:eastAsia="Arial" w:hAnsi="Arial"/>
          <w:sz w:val="18"/>
          <w:szCs w:val="18"/>
          <w:color w:val="auto"/>
        </w:rPr>
      </w:pPr>
    </w:p>
    <w:p>
      <w:pPr>
        <w:ind w:left="880" w:right="6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associated with being a public company, including our need to implement additional internal systems and infrastructure, including financial and reporting systems, to remediate an existing material weakness;</w:t>
      </w:r>
    </w:p>
    <w:p>
      <w:pPr>
        <w:spacing w:after="0" w:line="59" w:lineRule="exact"/>
        <w:rPr>
          <w:rFonts w:ascii="Arial" w:cs="Arial" w:eastAsia="Arial" w:hAnsi="Arial"/>
          <w:sz w:val="18"/>
          <w:szCs w:val="18"/>
          <w:color w:val="auto"/>
        </w:rPr>
      </w:pPr>
    </w:p>
    <w:p>
      <w:pPr>
        <w:ind w:left="880" w:right="420" w:hanging="224"/>
        <w:spacing w:after="0" w:line="271"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and establishing or contracting for sales and marketing capabilities, if we obtain regulatory clearances to market our current or future product candidates;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20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59"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59"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59"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 and</w:t>
      </w:r>
    </w:p>
    <w:p>
      <w:pPr>
        <w:spacing w:after="0" w:line="59"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impact of inflation, as well as other factors, including economic uncertainty and geopolitical tensions, which may exacerbate the magnitude of the factors discussed above.</w:t>
      </w:r>
    </w:p>
    <w:p>
      <w:pPr>
        <w:spacing w:after="0" w:line="154" w:lineRule="exact"/>
        <w:rPr>
          <w:sz w:val="20"/>
          <w:szCs w:val="20"/>
          <w:color w:val="auto"/>
        </w:rPr>
      </w:pPr>
    </w:p>
    <w:p>
      <w:pPr>
        <w:ind w:left="120" w:right="940" w:firstLine="551"/>
        <w:spacing w:after="0" w:line="271" w:lineRule="auto"/>
        <w:rPr>
          <w:sz w:val="20"/>
          <w:szCs w:val="20"/>
          <w:color w:val="auto"/>
        </w:rPr>
      </w:pPr>
      <w:r>
        <w:rPr>
          <w:rFonts w:ascii="Arial" w:cs="Arial" w:eastAsia="Arial" w:hAnsi="Arial"/>
          <w:sz w:val="18"/>
          <w:szCs w:val="18"/>
          <w:color w:val="auto"/>
        </w:rPr>
        <w:t>Furthermore, our operating plans may change, and we may need additional funds to meet operational needs and capital requirements for clinical trials and other research and development expenditures.</w:t>
      </w:r>
    </w:p>
    <w:p>
      <w:pPr>
        <w:spacing w:after="0" w:line="154"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 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Nine months ended September 30, 2024 and 2023</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0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0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20" w:type="dxa"/>
            <w:vAlign w:val="bottom"/>
            <w:tcBorders>
              <w:top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900" w:type="dxa"/>
            <w:vAlign w:val="bottom"/>
            <w:tcBorders>
              <w:top w:val="single" w:sz="8" w:color="auto"/>
            </w:tcBorders>
            <w:gridSpan w:val="4"/>
          </w:tcPr>
          <w:p>
            <w:pPr>
              <w:jc w:val="right"/>
              <w:ind w:right="374"/>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10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$(83,183)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(87,077)</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410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49,644</w:t>
            </w:r>
          </w:p>
        </w:tc>
        <w:tc>
          <w:tcPr>
            <w:tcW w:w="120" w:type="dxa"/>
            <w:vAlign w:val="bottom"/>
          </w:tcPr>
          <w:p>
            <w:pPr>
              <w:spacing w:after="0"/>
              <w:rPr>
                <w:sz w:val="17"/>
                <w:szCs w:val="17"/>
                <w:color w:val="auto"/>
              </w:rPr>
            </w:pPr>
          </w:p>
        </w:tc>
        <w:tc>
          <w:tcPr>
            <w:tcW w:w="9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(86,466)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136,110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410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20,160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(4,521)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24,681</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30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(13,359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(178,026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40" w:type="dxa"/>
            <w:vAlign w:val="bottom"/>
            <w:vMerge w:val="restart"/>
          </w:tcPr>
          <w:p>
            <w:pPr>
              <w:jc w:val="right"/>
              <w:ind w:right="2190"/>
              <w:spacing w:after="0"/>
              <w:rPr>
                <w:sz w:val="20"/>
                <w:szCs w:val="20"/>
                <w:color w:val="auto"/>
              </w:rPr>
            </w:pPr>
            <w:r>
              <w:rPr>
                <w:rFonts w:ascii="Arial" w:cs="Arial" w:eastAsia="Arial" w:hAnsi="Arial"/>
                <w:sz w:val="18"/>
                <w:szCs w:val="18"/>
                <w:color w:val="auto"/>
              </w:rPr>
              <w:t>111</w:t>
            </w: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Net cash used in operating activities for the nine months ended September 30, 2024 was $83.2 million, primarily consisting of our net loss of $93.4 million, which was partially offset by adjustments to reconcile net loss to net cash used in operating activities of $10.9 million and net changes in operating assets and liabilities of $0.8 million.</w:t>
      </w:r>
    </w:p>
    <w:p>
      <w:pPr>
        <w:spacing w:after="0" w:line="169"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Net cash used in operating activities for the nine months ended September 30, 2023 was $87.1 million, primarily consisting of our net loss of $97.1 million, which was partially offset by adjustments to reconcile net loss to net cash used in operating activities of $9.1 million and net changes in operating assets and liabilities of $0.9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Net cash provided by investing activities for the nine months ended September 30, 2024 was $49.6 million, primarily consisting of maturities of marketable securities of $106.8 million, which were partially offset by purchases of marketable securities of $56.7 million and purchases of property and equipment of $0.5 million.</w:t>
      </w:r>
    </w:p>
    <w:p>
      <w:pPr>
        <w:spacing w:after="0" w:line="169"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Net cash used in investing activities for the nine months ended September 30, 2023 was $ 86.5 million, primarily consisting of purchases of marketable securities of $120.2 million and purchases of property and equipment of $2.2 million, which were partially offset by maturities of marketable securities of $35.9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Net cash provided by financing activities for the nine months ended September 30, 2024 was $20.2 million, primarily consisting of approximately $20.0 million in net proceeds received from the sale of shares of our Series C convertible preferred stock and proceeds received from the exercise of stock options of $0.2 million.</w:t>
      </w:r>
    </w:p>
    <w:p>
      <w:pPr>
        <w:spacing w:after="0" w:line="169"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color w:val="auto"/>
        </w:rPr>
        <w:t>Net cash used in financing activities for the nine months ended September 30, 2023 was $4.5 million, primarily consisting of repayment of the LSA of $4.8 million, which was partially offset by proceeds from the exercise of stock options of $0.2 million.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Years ended December 31, 2023 and 2022</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22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7800" w:type="dxa"/>
            <w:vAlign w:val="bottom"/>
          </w:tcPr>
          <w:p>
            <w:pPr>
              <w:spacing w:after="0"/>
              <w:rPr>
                <w:sz w:val="13"/>
                <w:szCs w:val="13"/>
                <w:color w:val="auto"/>
              </w:rPr>
            </w:pPr>
          </w:p>
        </w:tc>
        <w:tc>
          <w:tcPr>
            <w:tcW w:w="82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0" w:type="dxa"/>
            <w:vAlign w:val="bottom"/>
          </w:tcPr>
          <w:p>
            <w:pPr>
              <w:spacing w:after="0"/>
              <w:rPr>
                <w:sz w:val="13"/>
                <w:szCs w:val="13"/>
                <w:color w:val="auto"/>
              </w:rPr>
            </w:pPr>
          </w:p>
        </w:tc>
        <w:tc>
          <w:tcPr>
            <w:tcW w:w="1920" w:type="dxa"/>
            <w:vAlign w:val="bottom"/>
            <w:tcBorders>
              <w:top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1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3"/>
              </w:rPr>
              <w:t>$ (112,728)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(99,842)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(12,886)</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1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(165,020)</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(13,027)</w:t>
            </w:r>
          </w:p>
        </w:tc>
        <w:tc>
          <w:tcPr>
            <w:tcW w:w="1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(151,993)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1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92,076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182,717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(90,641)</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Arial" w:cs="Arial" w:eastAsia="Arial" w:hAnsi="Arial"/>
                <w:sz w:val="18"/>
                <w:szCs w:val="18"/>
                <w:color w:val="auto"/>
              </w:rPr>
              <w:t>(Decrease)/increase in cash, cash equivalents and restricted cash</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(185,667</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4"/>
              </w:rPr>
              <w:t>69,825</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(255,492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Net cash used in operating activities for the year ended December 31, 2023 was $112.7 million, primarily consisting of our net loss of $125.9 million, which was partially offset by adjustments to</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reconcile net loss to net cash used in operating activities of $12.3 million and net changes in operating assets and liabilities of $0.9 million.</w:t>
      </w:r>
    </w:p>
    <w:p>
      <w:pPr>
        <w:spacing w:after="0" w:line="21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Net cash used in operating activities for the year ended December 31, 2022 was $99.8 million, primarily consisting of our net loss of $124.7 million, which was partially offset by adjustments to reconcile net loss to net cash used in operating activities of $25.4 million and net changes in operating assets and liabilities of $0.5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Net cash used in investing activities for the year ended December 31, 2023 was $165.0 million, primarily consisting of purchases of marketable securities of $238.1 million and purchases of property and equipment of $5.1 million, which were partially offset by maturities of marketable securities of $78.1 million.</w:t>
      </w:r>
    </w:p>
    <w:p>
      <w:pPr>
        <w:spacing w:after="0" w:line="169"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Net cash used in investing activities for the year ended December 31, 2022 was $13.0 million, consisting of purchases of property and equipment.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left="120" w:right="400" w:firstLine="551"/>
        <w:spacing w:after="0" w:line="253" w:lineRule="auto"/>
        <w:rPr>
          <w:sz w:val="20"/>
          <w:szCs w:val="20"/>
          <w:color w:val="auto"/>
        </w:rPr>
      </w:pPr>
      <w:r>
        <w:rPr>
          <w:rFonts w:ascii="Arial" w:cs="Arial" w:eastAsia="Arial" w:hAnsi="Arial"/>
          <w:sz w:val="18"/>
          <w:szCs w:val="18"/>
          <w:color w:val="auto"/>
        </w:rPr>
        <w:t>Net cash provided by financing activities for the year ended December 31, 2023 was $92.1 million, primarily consisting of net proceeds received from the sale of shares of our Series C convertible preferred stock of $96.6 million and proceeds received from the exercise of stock options of $0.3 million, which were partially offset by the $4.8 million repayment of our LSA.</w:t>
      </w:r>
    </w:p>
    <w:p>
      <w:pPr>
        <w:spacing w:after="0" w:line="16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Net cash provided by financing activities for the year ended December 31, 2022 was $182.7 million, primarily consisting of net proceeds from the sale of shares of our convertible preferred stock of $177.8 million, proceeds from the LSA of $4.9 million, and proceeds from the exercise of stock options of $0.1 million.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and Collaboration Agreements</w:t>
      </w:r>
    </w:p>
    <w:p>
      <w:pPr>
        <w:spacing w:after="0" w:line="104"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Below is a summary of the key terms for certain of our license and collaboration agreements. For a more detailed description of these agreements, see the section titled “</w:t>
      </w:r>
      <w:r>
        <w:rPr>
          <w:rFonts w:ascii="Arial" w:cs="Arial" w:eastAsia="Arial" w:hAnsi="Arial"/>
          <w:sz w:val="18"/>
          <w:szCs w:val="18"/>
          <w:i w:val="1"/>
          <w:iCs w:val="1"/>
          <w:color w:val="auto"/>
        </w:rPr>
        <w:t>Business—License and Collaboration Agreements</w:t>
      </w:r>
      <w:r>
        <w:rPr>
          <w:rFonts w:ascii="Arial" w:cs="Arial" w:eastAsia="Arial" w:hAnsi="Arial"/>
          <w:sz w:val="18"/>
          <w:szCs w:val="18"/>
          <w:color w:val="auto"/>
        </w:rPr>
        <w:t>” included elsewhere in this prospectus.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J&amp;J Strategic Collaboration, Option and License Agreement</w:t>
      </w:r>
    </w:p>
    <w:p>
      <w:pPr>
        <w:spacing w:after="0" w:line="102"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In March 2024, we entered into the J&amp;J Agreement to jointly discover and optimize small molecule medicines against select therapeutic targets using our artificial intelligence and machine learning capability. We received a one-time, nonrefundable upfront payment of $6.5 million, and may be eligible to receive additional payments of approximately $839.0 million based on the achievement of research, development, commercialization approval and sales milestones and the option exercise described in the agreement. In the event of commercialization by J&amp;J of certain products arising from the collaboration, we are also eligible to receive tiered royalties based on low to mid-single digits on future net sales (subject to certain deductions).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 Material Transfer and Evaluation Agreement</w:t>
      </w:r>
    </w:p>
    <w:p>
      <w:pPr>
        <w:spacing w:after="0" w:line="102"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In December 2022, we entered into the Pfizer MTA, in which we granted to Pfizer a nonexclusive license to access our intellectual property. Under the Pfizer MTA, we and Pfizer will jointly conduct research to identify novel hits using our natural product platform to initiate a preclinical drug discovery program against an oncogenic transcription factor.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In 2023, Pfizer paid us a nonrefundable upfront payment of $ 1.0 million in exchange for the nonexclusive license as well as certain research and development services performed by us over the initial period. In addition, we are eligible to receive up to $985,000 following the completion of additional milestones.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December 2023, we achieved the first milestone and subsequently invoiced $0.4 million under the terms of the Pfizer MTA.</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Terray Collaboration</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September 2024, we entered into a collaboration and license agreement, or the Terray Agreement, with Terray Therapeutics, Inc., or Terray, to discover, develop and commercialize or out-license products directed to IRF5. 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 The activities performed under the Terray Agreement are governed by a joint steering committee, made up of two employees designated by each party. No upfront payments were made upon the execution of the Terray Agreement and no activities under the Terray Agreement have commenced as of September 30, 2024.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September 2021, we entered into an operating lease agreement for our corporate headquarters located in Boston, Massachusetts, expiring in September 2029. We are also party to several operating leases for office and lab space in San Diego, California, Ann Arbor, Michigan, New York, New York and Frankfurt, Germany, as well as finance leases for certain lab equipment. As of September 30, 2024, our non-cancellable lease obligations were $42.4 million and $0.2 million under our operating and finance leases, respectively, of which $7.3 million and $0.1 million related to operating and finance leases, respectively, are due within the next 12 months. Refer to Note 9 to our audited consolidated financial statements and Note 9 to our unaudited condensed consolidated financial statements included elsewhere in this prospectus for more information on our lease obligations.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and Collaboration Agreements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enter into license and collaboration agreements in the normal course of business in order to advance product development and obtain technologies and services related to our business. We are obligated to pay annual maintenance payments from zero to $40,000 per year to certain of the licensors. We could be required to make clinical, development and regulatory milestones of up to $3.5 million and low single-digit royalty payments to licensors based on the net sales of the licensed products. To date, we have incurred $0.1 million in upfront and milestone payments under these agreements. We may cancel these agreements at any time by providing 30 to 90 days’ notice to the other party. See Note 15 to our audited consolidated financial statements and Note 14 to our unaudited condensed consolidated financial statements included elsewhere in this prospectus for additional details on these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and Other Obligations</w:t>
      </w:r>
    </w:p>
    <w:p>
      <w:pPr>
        <w:spacing w:after="0" w:line="10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We enter into contracts in the normal course of business with CROs for clinical trials, with CMOs for clinical manufacturing supplies and with other vendors for preclinical studies, supplies and other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products and services for operating purposes. These agreements generally provide for termination at the request of either party with 30 to 90 days’ prior written notice and, therefore, we believe that our non-cancellable obligations under these agreements are not material. We do not currently expect any of these agreements to be terminated and did not have any non-cancellable obligations under these agreements as of September 30, 2024 and December 31, 2023.</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IFM Acquisition Contingent Consideration</w:t>
      </w:r>
    </w:p>
    <w:p>
      <w:pPr>
        <w:spacing w:after="0" w:line="102" w:lineRule="exact"/>
        <w:rPr>
          <w:sz w:val="20"/>
          <w:szCs w:val="20"/>
          <w:color w:val="auto"/>
        </w:rPr>
      </w:pPr>
    </w:p>
    <w:p>
      <w:pPr>
        <w:jc w:val="both"/>
        <w:ind w:left="120" w:right="80" w:firstLine="551"/>
        <w:spacing w:after="0" w:line="241" w:lineRule="auto"/>
        <w:rPr>
          <w:sz w:val="20"/>
          <w:szCs w:val="20"/>
          <w:color w:val="auto"/>
        </w:rPr>
      </w:pPr>
      <w:r>
        <w:rPr>
          <w:rFonts w:ascii="Arial" w:cs="Arial" w:eastAsia="Arial" w:hAnsi="Arial"/>
          <w:sz w:val="18"/>
          <w:szCs w:val="18"/>
          <w:color w:val="auto"/>
        </w:rPr>
        <w:t>On May 6, 2022, we acquired all of the membership interests in IFM, or the IFM Acquisition. The total purchase consideration was $3.1 million, which consisted of the following: (i) 81,240 shares of our non-voting common stock at closing, with the estimated fair value of $0.2 million, (ii) cash consideration of $0.9 million at closing, (iii) a deferred payment of $0.9 million, which was paid in June 2022 and</w:t>
      </w:r>
    </w:p>
    <w:p>
      <w:pPr>
        <w:spacing w:after="0" w:line="2" w:lineRule="exact"/>
        <w:rPr>
          <w:sz w:val="20"/>
          <w:szCs w:val="20"/>
          <w:color w:val="auto"/>
        </w:rPr>
      </w:pPr>
    </w:p>
    <w:p>
      <w:pPr>
        <w:ind w:left="120" w:right="260" w:hanging="4"/>
        <w:spacing w:after="0" w:line="259" w:lineRule="auto"/>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contingent consideration in cash of up to $30.0 million, payable once for each of our NLR family pyrin domain containing 1 and melanoma differentiation-associated protein 5 programs upon the first achievement of certain development, commercial, regulatory and sales milestones related to each such program, the estimated fair value of which was determined to be $1.1 million on the acquisition date. As of September 30, 2024 and December 31, 2023, no milestones had been achieved or were deemed probable to occur.</w:t>
      </w:r>
    </w:p>
    <w:p>
      <w:pPr>
        <w:spacing w:after="0" w:line="164" w:lineRule="exact"/>
        <w:rPr>
          <w:sz w:val="20"/>
          <w:szCs w:val="20"/>
          <w:color w:val="auto"/>
        </w:rPr>
      </w:pPr>
    </w:p>
    <w:p>
      <w:pPr>
        <w:ind w:left="120" w:right="780" w:firstLine="551"/>
        <w:spacing w:after="0" w:line="271" w:lineRule="auto"/>
        <w:rPr>
          <w:sz w:val="20"/>
          <w:szCs w:val="20"/>
          <w:color w:val="auto"/>
        </w:rPr>
      </w:pPr>
      <w:r>
        <w:rPr>
          <w:rFonts w:ascii="Arial" w:cs="Arial" w:eastAsia="Arial" w:hAnsi="Arial"/>
          <w:sz w:val="18"/>
          <w:szCs w:val="18"/>
          <w:color w:val="auto"/>
        </w:rPr>
        <w:t>See Note 5 and Note 13 to our audited consolidated financial statements and Notes 5 and 14 to our unaudited condensed consolidated financial statements included elsewhere in this prospectus for additional details.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Rahko Acquisition Contingent Consideration</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October 6, 2021, we entered into share purchase agreements with Rahko, its shareholders and the representatives of the shareholders, to purchase all of the issued share capital of Rahko, or the Rahko Acquisition, in exchange for a combination of cash, shares of our capital stock and additional contingent consideration of up to approximately $30.0 million. The contingent consideration would become payable to the former shareholders of Rahko upon either: (i) the first occurrence of our total market capitalization equaling or exceeding $1.5 billion based on a five-day volume-weighted average price of our publicly traded shares following the first public offering or public listing of our shares pursuant to applicable registration requirements on the New York Stock Exchange, the Nasdaq Global Select Market, the Nasdaq Global Market, the stock exchanges of Toronto, London or any other recognized investment exchange, or (ii) an exit event such as (1) a transaction or series of transactions in which any person (or persons acting in concert), other than a person who immediately prior to such transaction owned more than a majority of our voting securities, acquires more than 50% of the combined voting power of our then outstanding voting securities, (2) our consolidation or merger with or into another entity unless our stockholders immediately prior to such transaction continue to own, directly or indirectly, a majority of the combined voting power of the outstanding voting securities of the combined company, or (3) the sale or disposition of all or substantially all of our assets, in each case for which the potential proceeds are equal to or greater than $1.5 billion.</w:t>
      </w:r>
    </w:p>
    <w:p>
      <w:pPr>
        <w:spacing w:after="0" w:line="180"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color w:val="auto"/>
        </w:rPr>
        <w:t>See Note 5 to our audited consolidated financial statements and Note 5 to our unaudited condensed consolidated financial statements included elsewhere in this prospectus for additional details.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left="120" w:right="360" w:firstLine="551"/>
        <w:spacing w:after="0" w:line="27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these financial statements requires us to make estimates and assumptions that affect the reported amounts</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revenue recognition, accrued research and development costs, stock-based compensation expense, and determination of the fair value of contingent consideration.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83" w:lineRule="exact"/>
        <w:rPr>
          <w:sz w:val="20"/>
          <w:szCs w:val="20"/>
          <w:color w:val="auto"/>
        </w:rPr>
      </w:pPr>
    </w:p>
    <w:p>
      <w:pPr>
        <w:ind w:left="120" w:right="120" w:firstLine="551"/>
        <w:spacing w:after="0" w:line="275" w:lineRule="auto"/>
        <w:rPr>
          <w:sz w:val="20"/>
          <w:szCs w:val="20"/>
          <w:color w:val="auto"/>
        </w:rPr>
      </w:pPr>
      <w:r>
        <w:rPr>
          <w:rFonts w:ascii="Arial" w:cs="Arial" w:eastAsia="Arial" w:hAnsi="Arial"/>
          <w:sz w:val="17"/>
          <w:szCs w:val="17"/>
          <w:color w:val="auto"/>
        </w:rPr>
        <w:t>Although our significant accounting policies are described in more detail in Note 2 to our audited consolidated financial statements and Note 2 to our unaudited condensed consolidated financial statements included elsewhere in this prospectus, we believe that the following accounting estimates are those most critical to the judgments and estimates used in the preparation of our financial statements.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 xml:space="preserve">To date, our revenues have consisted of payments received related to our collaboration and license agreements. We apply the revenue recognition guidance in accordance with the Financial Accounting Standards Board, or FASB, Accounting Standards Codification, or ASC, Topic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or ASC 606. Under ASC 606, we recognize revenue when our customers obtain control of promised goods or services, in an amount that reflects the consideration which we expect to receive in exchange for those goods or services.</w:t>
      </w:r>
    </w:p>
    <w:p>
      <w:pPr>
        <w:spacing w:after="0" w:line="17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 xml:space="preserve">There is judgment involved in determining whether a collaboration agreement is subject to ASC 606 or FASB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or ASC 808, in part or in full. An agreement, or portion thereof, is considered to be a collaborative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Payments received from or made to a partner as a result of a collaboration relationship with a partner, instead of a customer relationship, such as co-development activities, are recorded as a reduction or increase to research and development expense, respectively.</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For an agreement, or portion thereof, that is determined to be a customer relationship rather than a collaborative arrangement, ASC 606 will be applied. Under ASC 606, there is judgement involved in identifying the promised goods or services in the collaboration agreement, determining whether these are distinct in the context of the contract and determining if these represent a performance obligation to a customer. Additionally, we use judgement to determine whether rights to additional goods or services that are exercisable at a customer’s discretion provide a material right to the customer and if so, they are considered performance obligations. These determinations are highly subjective and can differ between arrangements based on specified contractual terms. The identified performance obligations will impact most significantly the timing of revenue recognition and is a point-in-time assessment performed at the outset of a collaboration agreement.</w:t>
      </w:r>
    </w:p>
    <w:p>
      <w:pPr>
        <w:spacing w:after="0" w:line="180"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To determine the appropriate amount of revenue to be recognized for arrangements determined to be within the scope of ASC 606, we perform the following five steps: (i) identify the contract(s) with a customer; (ii) identify the promises and performance obligations in the contract; (iii) determine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transaction price; (iv) allocate the transaction price to the performance obligations in the contract; and (v) recognize revenue when (or as) we satisfy the performance obligations. We only apply the five-step model to contracts when it is probable that we will collect consideration we are entitled to in exchange for the goods or services we transfer to our customer. As part of the accounting for these arrangements, we must use significant judgment to determine: (a) the performance obligations based on the determination under step (i) above; (b) the transaction price under step (iii) above; and (c) the stand-alone selling price for each performance obligation identified in the contract for the allocation of transaction price in step (iv) above. We also use judgment to determine whether milestones or other variable considerations, except for royalties and sales-based milestones, should be included in the transaction price. The transaction price is allocated to each performance obligation on a relative stand-alone selling price basis and we recognize revenue as or when the performance obligations under the contract are satisfied. All variable consideration, including milestones and royalties, is constrained until the cumulative revenue related to the consideration is no longer probable of reversal. Due to the uncertainty of research and development-based milestones that are not within our control, payment generally becomes probable upon achievement.</w:t>
      </w:r>
    </w:p>
    <w:p>
      <w:pPr>
        <w:spacing w:after="0" w:line="186"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w:t>
      </w:r>
    </w:p>
    <w:p>
      <w:pPr>
        <w:spacing w:after="0" w:line="15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We receive payments from our customers based on billing schedules established in each contract. Upfront payments and fees are recorded as deferred revenue upon receipt or when due until we satisfy our obligations under these arrangements.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color w:val="auto"/>
        </w:rPr>
        <w:t>Expenditures relating to research and development are expensed as incurred. Non-refundable advance payments for goods and services that will be used in future research and development activities are expensed when the activity has been performed or when the goods have been received.</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third-party research and development expenses as of each balance sheet date.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3"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jc w:val="both"/>
        <w:ind w:left="120" w:right="380" w:firstLine="551"/>
        <w:spacing w:after="0" w:line="242" w:lineRule="auto"/>
        <w:rPr>
          <w:sz w:val="20"/>
          <w:szCs w:val="20"/>
          <w:color w:val="auto"/>
        </w:rPr>
      </w:pPr>
      <w:r>
        <w:rPr>
          <w:rFonts w:ascii="Arial" w:cs="Arial" w:eastAsia="Arial" w:hAnsi="Arial"/>
          <w:sz w:val="18"/>
          <w:szCs w:val="18"/>
          <w:color w:val="auto"/>
        </w:rPr>
        <w:t xml:space="preserve">We account for stock-based compensation under the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requires all stock-based payments to employees, non-employees and directors, including grants of stock options and restricted stock, which we collectively refer to as stock awards, to be recognized in the consolidated statements of operations and comprehensive loss based on their fair values on the date of grant over the requisite service period, which is generally the vesting period of the respective award. Forfeitures are accounted for as they occur. Generally, we issue stock awards with only service-based vesting conditions and record the expense for these awards using the straight-line method.</w:t>
      </w:r>
    </w:p>
    <w:p>
      <w:pPr>
        <w:spacing w:after="0" w:line="17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estimate the fair value of each option grant using the Black-Scholes option pricing model and we estimate the fair value of each restricted stock grant using the fair value of common stock. The Black-Scholes option pricing model requires inputs based on certain highly subjective assumptions to determine the appropriate fair value of each equity-based payment award, including the expected stock price volatility, the expected term of the award, the risk-free interest rate, expected dividends, and the fair value of common stock. We estimate the expected stock price volatility based on the historical volatility of publicly traded peer companies. The expected term of our stock options has been determined utilizing the “simplified” method for awards that qualify as “plain vanilla” options. The risk-free interest rate is determined by reference to the U.S. treasury yield curve in effect at the time of grant of the award for time periods approximately equal to the expected term of the award. There is no expected dividend yield since we have never paid cash dividends on common stock and do not expect to pay any cash dividends in the foreseeable future. See Note 2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w:t>
      </w:r>
    </w:p>
    <w:p>
      <w:pPr>
        <w:spacing w:after="0" w:line="186"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We classify stock-based compensation expense in the consolidated statement of operations and comprehensive loss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As there has been no public market for our common stock to date, the historical estimated fair value of our common stock has been determined by our board of directors, with input from management, considering our most recently available independent third-party valuations of common stock.</w:t>
      </w:r>
    </w:p>
    <w:p>
      <w:pPr>
        <w:spacing w:after="0" w:line="16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 third-party valuation firm prepared valuations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using a market approach to estimate our enterprise value. In order to allocate value to the common stock, either an option pricing method, or OPM, or the hybrid method was used. The OPM treats common stock and preferred stock as call options on the total equity value of a company, with exercise prices based on the value thresholds at which the allocation among the various holders of a company’s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probability-weighed expected return method, or PWERM, where the equity value in one or more of the scenarios is calculated using an OPM. The PWERM is a scenario-based methodology that estimates the fair value of common stock based upon an analysis of the future value of our common stock, assuming various outcomes. The value of a share of common stock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each case, a discount for lack of marketability of the common stock is then applied to arrive at an indication of value for the common stock.</w:t>
      </w:r>
    </w:p>
    <w:p>
      <w:pPr>
        <w:spacing w:after="0" w:line="183"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management’s judgment. As a result, if factors or expected outcomes change and we use significantly different assumptions or estimates, our stock-based compensation expense could be materially different.</w:t>
      </w:r>
    </w:p>
    <w:p>
      <w:pPr>
        <w:spacing w:after="0" w:line="169"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Given the absence of a public market for our common stock to date, our board of directors, with input from management, considered various objective and subjective factors to determine the fair value of our common stock. The factors included, but were not limited to:</w:t>
      </w:r>
    </w:p>
    <w:p>
      <w:pPr>
        <w:spacing w:after="0" w:line="74"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external market conditions affecting the pharmaceutical and biotechnology industry and trends within the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including the status of preclinical studies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117" w:lineRule="exact"/>
        <w:rPr>
          <w:rFonts w:ascii="Arial" w:cs="Arial" w:eastAsia="Arial" w:hAnsi="Arial"/>
          <w:sz w:val="18"/>
          <w:szCs w:val="18"/>
          <w:color w:val="auto"/>
        </w:rPr>
      </w:pPr>
    </w:p>
    <w:p>
      <w:pPr>
        <w:ind w:left="880" w:right="720" w:hanging="224"/>
        <w:spacing w:after="0" w:line="271"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economic outlook including economic growth, inflation, the unemployment rate, the interest rate environment and global economic trends;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in light of prevailing market conditions; and</w:t>
      </w:r>
    </w:p>
    <w:p>
      <w:pPr>
        <w:spacing w:after="0" w:line="59"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analysis of initial public offerings and the market performance of similar companies in the pharmaceutical and biotechnology industry.</w:t>
      </w:r>
    </w:p>
    <w:p>
      <w:pPr>
        <w:spacing w:after="0" w:line="154"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Fair Value of Contingent Consideration</w:t>
      </w:r>
    </w:p>
    <w:p>
      <w:pPr>
        <w:spacing w:after="0" w:line="10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Our contingent consideration relates to potential future payments owed by us to the shareholders of IFM and Rahko as part of the IFM Acquisition and the Rahko Acquisition, respectively. We initially measure and record contingent consideration at fair value at the acquisition date. For contingent consideration that does not meet all the criteria for equity classification, such contingent consideration is required to be classified as a liability on the consolidated balance sheets and remeasured at each reporting period thereafter with changes in fair value recorded in operations.</w:t>
      </w:r>
    </w:p>
    <w:p>
      <w:pPr>
        <w:spacing w:after="0" w:line="176" w:lineRule="exact"/>
        <w:rPr>
          <w:sz w:val="20"/>
          <w:szCs w:val="20"/>
          <w:color w:val="auto"/>
        </w:rPr>
      </w:pPr>
    </w:p>
    <w:p>
      <w:pPr>
        <w:ind w:left="120" w:right="400" w:firstLine="551"/>
        <w:spacing w:after="0" w:line="255" w:lineRule="auto"/>
        <w:rPr>
          <w:sz w:val="20"/>
          <w:szCs w:val="20"/>
          <w:color w:val="auto"/>
        </w:rPr>
      </w:pPr>
      <w:r>
        <w:rPr>
          <w:rFonts w:ascii="Arial" w:cs="Arial" w:eastAsia="Arial" w:hAnsi="Arial"/>
          <w:sz w:val="17"/>
          <w:szCs w:val="17"/>
          <w:color w:val="auto"/>
        </w:rPr>
        <w:t>We estimate the fair value of the contingent consideration related to regulatory and development milestones, including the contingent consideration included as part of the IFM Acquisition, based on a discounted cash flow valuation technique. The technique considered the following assumptions: (i) the probability and timing of achieving the specified milestones as of the valuation date and</w:t>
      </w:r>
    </w:p>
    <w:p>
      <w:pPr>
        <w:spacing w:after="0" w:line="2" w:lineRule="exact"/>
        <w:rPr>
          <w:sz w:val="20"/>
          <w:szCs w:val="20"/>
          <w:color w:val="auto"/>
        </w:rPr>
      </w:pPr>
    </w:p>
    <w:p>
      <w:pPr>
        <w:ind w:left="120" w:right="380" w:hanging="4"/>
        <w:spacing w:after="0"/>
        <w:tabs>
          <w:tab w:leader="none" w:pos="3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market-based discount rates. The fair value of the contingent consideration could change in future periods depending on the prospects for our drug discovery programs achieving regulatory and development milestones. The most significant assumptions in the discounted cash flow valuation technique that impact the fair value of the contingent consideration are the timing of the projected milestones and the probability of the milestones being met.</w:t>
      </w:r>
    </w:p>
    <w:p>
      <w:pPr>
        <w:spacing w:after="0" w:line="180"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fair value of contingent consideration related to potential qualifying events, including the contingent consideration included as part of the Rahko Acquisition, is determined based on the Monte-Carlo simulation model which utilizes a geometric Brownian motion to estimate the equity value of a company at expected qualifying event dates. The model utilizes the risk-free rate, volatility and discount rate to simulate the expected equity value of a company as of expected qualifying event dates. The risk-free rate is based upon the interest rates corresponding to the time period for U.S. treasury notes published by the U.S. Federal Reserve. The volatility is estimated based on equity volatility indications from our peer public companies and our capital structure.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have identified a material weakness in our internal control over financial reporting for the years ended December 31, 2023 and 2022, which material weakness remained unremediated as of September 30, 2024. See “</w:t>
      </w:r>
      <w:r>
        <w:rPr>
          <w:rFonts w:ascii="Arial" w:cs="Arial" w:eastAsia="Arial" w:hAnsi="Arial"/>
          <w:sz w:val="18"/>
          <w:szCs w:val="18"/>
          <w:i w:val="1"/>
          <w:iCs w:val="1"/>
          <w:color w:val="auto"/>
        </w:rPr>
        <w:t>Risk Factors—We have identified a material</w:t>
      </w:r>
      <w:r>
        <w:rPr>
          <w:rFonts w:ascii="Arial" w:cs="Arial" w:eastAsia="Arial" w:hAnsi="Arial"/>
          <w:sz w:val="18"/>
          <w:szCs w:val="18"/>
          <w:color w:val="auto"/>
        </w:rPr>
        <w:t xml:space="preserve"> </w:t>
      </w:r>
      <w:r>
        <w:rPr>
          <w:rFonts w:ascii="Arial" w:cs="Arial" w:eastAsia="Arial" w:hAnsi="Arial"/>
          <w:sz w:val="18"/>
          <w:szCs w:val="18"/>
          <w:i w:val="1"/>
          <w:iCs w:val="1"/>
          <w:color w:val="auto"/>
        </w:rPr>
        <w:t>weakness in our internal control over financial reporting. If we fail to remediate this material weakness, or if we experience additional material weaknesses in the future or otherwise fail to maintain effective internal control over financial reporting or disclosure control in the future, we may be unable to produce accurate and timely financial statements or detect acts of fraud, which may adversely affect investor confidence in us, and, as a result, the value of our common stock, or result in delisting, sanctions or other penalties that could harm our business</w:t>
      </w:r>
      <w:r>
        <w:rPr>
          <w:rFonts w:ascii="Arial" w:cs="Arial" w:eastAsia="Arial" w:hAnsi="Arial"/>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4" w:lineRule="exact"/>
        <w:rPr>
          <w:sz w:val="20"/>
          <w:szCs w:val="20"/>
          <w:color w:val="auto"/>
        </w:rPr>
      </w:pPr>
    </w:p>
    <w:p>
      <w:pPr>
        <w:ind w:left="120" w:right="660" w:firstLine="551"/>
        <w:spacing w:after="0" w:line="27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provided in Note 2 to our audited consolidated financial statements included elsewhere in this prospectus.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primary objectives of our investment activities are to ensure liquidity and to preserve capital. As of September 30, 2024 and December 31, 2023, we had $11.3 million and $36.1 million, respectively, in interest bearing money market accounts with maturities of less than three months. As of September 30, 2024 and December 31, 2023, we had $115.5 million and $163.6 million, respectively, in marketable securities. Our exposure to interest rate sensitivity is impacted by changes in the underlying bank interest rates. Our surplus cash has been invested in overnight cash sweeps, money market funds, U.S. treasury bills and U.S. treasury notes.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 As of September 30, 2024 and December 31, 2023, we had no debt outstanding that is subject to interest rate variability. Therefore, we are not subject to interest rate risk related to debt.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Our employees and our operations are currently predominately located in the United States and our expenses are generally denominated in U.S. dollars. However, we do use research and development vendors outside of the United States. As such, our expenses are denominated in both U.S. dollars and foreign currencies. In addition, we translate the assets and liabilities of our foreign subsidiaries from their respective functional currencies to U.S. dollars at the appropriate rates as of the balance sheet date. Changes in the carrying value of these assets and liabilities attributable to fluctuations in rates are included in accumulated other comprehensive loss on our consolidated balance sheets. Income statement accounts are translated using the monthly average exchange rates during the year. Therefore, our operations are and will continue to be subject to fluctuations in foreign currency exchange rates. Foreign currency transaction gains and losses are included in other income (expense), net in the consolidated statements of operations and comprehensive loss as incurred.</w:t>
      </w:r>
    </w:p>
    <w:p>
      <w:pPr>
        <w:spacing w:after="0" w:line="183"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elsewhere in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qualify as an “emerging growth company,” or an EGC, as defined in the Jumpstart Our Business Startup Act, or the JOBS Act. As an EGC, we may take advantage of specified reduced disclosure and other requirements that are otherwise applicable generally to public companies. These provisions include: (i) being permitted to present only two years of audited financial statements, in addition to any required unaudited condensed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(v) an exemption from compliance with the requirements of the Public Company Accounting Oversight Board regarding the communication of critical audit matters, or CAMS,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our auditor’s report on the financial statements and (vi) being permitted to take advantage of an extended transition period for complying with new or revised accounting standards, which allows us to delay the adoption of certain accounting standards until those standards would otherwise apply to private companies.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take advantage of these exemptions for up to five years or such earlier time that we are no longer an EGC. We would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cease to be an EGC on the date that is the earliest of (i) the last day of the fiscal year in which we have total annual gross revenues of</w:t>
      </w:r>
    </w:p>
    <w:p>
      <w:pPr>
        <w:ind w:left="120"/>
        <w:spacing w:after="0" w:line="234" w:lineRule="auto"/>
        <w:rPr>
          <w:sz w:val="20"/>
          <w:szCs w:val="20"/>
          <w:color w:val="auto"/>
        </w:rPr>
      </w:pPr>
      <w:r>
        <w:rPr>
          <w:rFonts w:ascii="Arial" w:cs="Arial" w:eastAsia="Arial" w:hAnsi="Arial"/>
          <w:sz w:val="18"/>
          <w:szCs w:val="18"/>
          <w:color w:val="auto"/>
        </w:rPr>
        <w:t>$1.235 billion or more; (ii) the last day of our fiscal year following the fifth anniversary of the date of the completion of this offering; (iii) the</w:t>
      </w:r>
    </w:p>
    <w:p>
      <w:pPr>
        <w:ind w:left="120"/>
        <w:spacing w:after="0" w:line="235" w:lineRule="auto"/>
        <w:rPr>
          <w:sz w:val="20"/>
          <w:szCs w:val="20"/>
          <w:color w:val="auto"/>
        </w:rPr>
      </w:pPr>
      <w:r>
        <w:rPr>
          <w:rFonts w:ascii="Arial" w:cs="Arial" w:eastAsia="Arial" w:hAnsi="Arial"/>
          <w:sz w:val="18"/>
          <w:szCs w:val="18"/>
          <w:color w:val="auto"/>
        </w:rPr>
        <w:t>date on which we have issued more than $1.0 billion in nonconvertible debt during the previous three years; or (iv) the date on which we</w:t>
      </w:r>
    </w:p>
    <w:p>
      <w:pPr>
        <w:ind w:left="120"/>
        <w:spacing w:after="0" w:line="235" w:lineRule="auto"/>
        <w:rPr>
          <w:sz w:val="20"/>
          <w:szCs w:val="20"/>
          <w:color w:val="auto"/>
        </w:rPr>
      </w:pPr>
      <w:r>
        <w:rPr>
          <w:rFonts w:ascii="Arial" w:cs="Arial" w:eastAsia="Arial" w:hAnsi="Arial"/>
          <w:sz w:val="18"/>
          <w:szCs w:val="18"/>
          <w:color w:val="auto"/>
        </w:rPr>
        <w:t>are deemed to be a large accelerated filer under the rules of the SEC. We may choose to take advantage of some but not all of these</w:t>
      </w:r>
    </w:p>
    <w:p>
      <w:pPr>
        <w:ind w:left="120"/>
        <w:spacing w:after="0" w:line="235" w:lineRule="auto"/>
        <w:rPr>
          <w:sz w:val="20"/>
          <w:szCs w:val="20"/>
          <w:color w:val="auto"/>
        </w:rPr>
      </w:pPr>
      <w:r>
        <w:rPr>
          <w:rFonts w:ascii="Arial" w:cs="Arial" w:eastAsia="Arial" w:hAnsi="Arial"/>
          <w:sz w:val="18"/>
          <w:szCs w:val="18"/>
          <w:color w:val="auto"/>
        </w:rPr>
        <w:t>exemptions. We have elected not to “opt out” of the extended transition period for new or revised accounting standards described above</w:t>
      </w:r>
    </w:p>
    <w:p>
      <w:pPr>
        <w:ind w:left="120"/>
        <w:spacing w:after="0" w:line="235" w:lineRule="auto"/>
        <w:rPr>
          <w:sz w:val="20"/>
          <w:szCs w:val="20"/>
          <w:color w:val="auto"/>
        </w:rPr>
      </w:pPr>
      <w:r>
        <w:rPr>
          <w:rFonts w:ascii="Arial" w:cs="Arial" w:eastAsia="Arial" w:hAnsi="Arial"/>
          <w:sz w:val="18"/>
          <w:szCs w:val="18"/>
          <w:color w:val="auto"/>
        </w:rPr>
        <w:t>and have elected to avail ourselves of the exemption from the requirement to communicate CAMs. As a result of these decisions, our</w:t>
      </w:r>
    </w:p>
    <w:p>
      <w:pPr>
        <w:ind w:left="120"/>
        <w:spacing w:after="0" w:line="234" w:lineRule="auto"/>
        <w:rPr>
          <w:sz w:val="20"/>
          <w:szCs w:val="20"/>
          <w:color w:val="auto"/>
        </w:rPr>
      </w:pPr>
      <w:r>
        <w:rPr>
          <w:rFonts w:ascii="Arial" w:cs="Arial" w:eastAsia="Arial" w:hAnsi="Arial"/>
          <w:sz w:val="18"/>
          <w:szCs w:val="18"/>
          <w:color w:val="auto"/>
        </w:rPr>
        <w:t>financial statements may not be comparable to those of other public companies that comply with new or revised accounting</w:t>
      </w:r>
    </w:p>
    <w:p>
      <w:pPr>
        <w:ind w:left="120"/>
        <w:spacing w:after="0" w:line="235" w:lineRule="auto"/>
        <w:rPr>
          <w:sz w:val="20"/>
          <w:szCs w:val="20"/>
          <w:color w:val="auto"/>
        </w:rPr>
      </w:pPr>
      <w:r>
        <w:rPr>
          <w:rFonts w:ascii="Arial" w:cs="Arial" w:eastAsia="Arial" w:hAnsi="Arial"/>
          <w:sz w:val="18"/>
          <w:szCs w:val="18"/>
          <w:color w:val="auto"/>
        </w:rPr>
        <w:t>pronouncements as of public company effective dates and include a discussion of their CAMs. We may choose to early adopt any new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revised accounting standards whenever such early adoption is permitted for private companies.</w:t>
      </w:r>
    </w:p>
    <w:p>
      <w:pPr>
        <w:spacing w:after="0" w:line="19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Odyssey is a clinical-stage biopharmaceutical company led by a team and board of drug hunters seeking to transform the standard of care for patients suffering from autoimmune and inflammatory diseases. To accomplish this, we are developing medicines that are designed to precisely target disease pathology with an initial emphasis on the innate immune system. We believe our deep understanding of immunobiology, coupled with leading expertise in medicinal, computational and protein chemistry, structural biology, genetics and pharmacology allows us to identify and drug key signaling nodes that drive disease. Our model for drug discovery and development has been built and refined over several successful companies, and we believe it is replicable and scalable. Since our founding in 2021, we have efficiently built a portfolio of internally discovered product candidates that we believe have the potential to induce deep and durable remission for patients across several inflammatory diseases with unmet need. We have prioritized targets where we believe the underlying disease biology is understood through genetic, clinical or translational evidence. Our most advanced programs include OD-07656, a small molecule scaffolding inhibitor of receptor-interacting protein kinase 2, or RIPK2, a small molecule scaffolding inhibitor of interleukin-1 receptor-associated kinase 4, or IRAK4, and OD-00910, an agonistic protein therapeutic targeting tumor necrosis factor receptor 2, or TNFR2, built from camelid heavy chain variable regions, or VHH, domains (which we term a V-body). These programs have the potential to yield treatments for inflammatory diseases that have large addressable patient populations globally and a lack of effective treatments, including inflammatory bowel disease, or IBD, atopic dermatitis, or AD, and systemic lupus erythematosus, or SLE.</w:t>
      </w:r>
    </w:p>
    <w:p>
      <w:pPr>
        <w:spacing w:after="0" w:line="189"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The immune system has two main components: (1) the innate immune system, composed of cells like macrophages and neutrophils, is the first line of defense and (2) the adaptive immune system, made up of B and T cells, functions to eliminate pathogens and establish durable immunological memory. Adaptive immunity has been studied for decades and its role in disease is well understood. This knowledge underpinned the discovery and development of many currently existing medicines for inflammatory diseases. However, industry knowledge of innate immunity has lagged and only recently has there been a sufficient understanding to enable successful drug discovery. Based on this biology, we believe that modulating key signaling nodes in the innate system, given its proximal role in initiating immune responses, has the potential to afford more effective and safer immunomodulators that could provide transformative benefit for patients. Therapies targeting initial innate immune responses have the potential to serve as new tools in the prescriber armamentarium with the potential to prevent pathologic inflammation from initiating versus neutralizing downstream inflammatory mediators or adaptive immune cells (akin to stopping a fire from starting versus having to put it out).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40" w:firstLine="551"/>
        <w:spacing w:after="0" w:line="271" w:lineRule="auto"/>
        <w:rPr>
          <w:sz w:val="20"/>
          <w:szCs w:val="20"/>
          <w:color w:val="auto"/>
        </w:rPr>
      </w:pPr>
      <w:r>
        <w:rPr>
          <w:rFonts w:ascii="Arial" w:cs="Arial" w:eastAsia="Arial" w:hAnsi="Arial"/>
          <w:sz w:val="18"/>
          <w:szCs w:val="18"/>
          <w:color w:val="auto"/>
        </w:rPr>
        <w:t>Our wholly owned drug development pipeline is shown below, along with our collaborations with pharmaceutical and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-27305</wp:posOffset>
            </wp:positionV>
            <wp:extent cx="4937760" cy="2220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3776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OD-07656, our oral small molecule RIPK2 scaffolding inhibitor product candidate, is entering Phase 2a development for the treatment of ulcerative colitis, or UC, one of the two main types of IBD. IBD is an autoimmune disease that degrades, damages and can perforate the gastrointestinal, or GI, tract and afflicts two-to-three million people in the United States. Despite there being more than ten approved therapies spanning multiple mechanisms of action, placebo-adjusted remission rates for IBD do not exceed approximately 30% (a so called “therapeutic ceiling”). Moreover, a majority of patients who initially respond to treatment with existing approved therapies are likely to lose response within five years.</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RIPK2 is a critical signaling protein of the innate immune system that responds to bacterial byproducts from the GI tract and has been implicated both as an initiator of IBD and a mechanism of resistance to standard of care therapies, including tumor necrosis factor, or TNF, and integrin blocking therapies. Based on the observations of increased activation of RIPK2 in IBD patients, the linkage of RIPK2-associated gene expression with disease severity and the reduction of disease following RIPK2 knockout or inhibition in preclinical models, we believe that blocking RIPK2 has the potential to address the core pathology of IBD. RIPK2 inhibition blocks the production of multiple cytokines in response to bacterial byproducts, many of which are validated therapeutic targets for IBD treatment, including TNF, TNF-like cytokine 1A, or TL1A, and interleukin 23, or IL-23. By blocking these cytokines, the adaptive immune response is reduced. In addition, by blocking RIPK2, we believe we can also prevent direct damage to the gut epithelial lining by the activation of innate immune cells. We believe that OD-07656, as either monotherapy or in combination with existing therapies, has the potential to break the therapeutic ceiling in IBD. In our Phase 1 healthy volunteer trial conducted in Australia, OD-07656 was well tolerated and provided continuous target coverage. We currently expect to commence a Phase 2a trial assessing OD-07656 as monotherapy in UC patients in the first quarter of 2025 and to release topline induction results in the first half of 2026. We also expect to commence a second Phase 2a trial assessing OD-07656 in combination with the standard of care, integrin blocking therapy, vedolizumab in the first half of 2026 with topline combination induction results expected to be released in mid-2027. We anticipate conducting our RIPK2 Phase 2a trials pursuant to clinical trial applications, or CTAs, at approximately 60 sites globally in the Asia-Pacific region, Europe, the Middle East and Canada and pursuant to an investigational new drug application, or IND, in the United States, pending submission of such applications and approval and clearance to proceed under them by the applicable regulatory authority.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oral small molecule scaffolding inhibitor of IRAK4 is designed to block inflammatory signaling by the myddosome, a protein complex found in multiple cell types across tissues. The myddosome serves as a key junction of inflammatory signaling where innate immune signals converge to initiate a broad downstream cytokine response. We believe IRAK4 scaffolding inhibition has the potential to be developed for multiple inflammatory diseases, including AD, hidradenitis suppurativa, or HS, and osteoarthritis, or OA. Our program is designed to address the shortcomings of other programs targeting IRAK4, including small molecule kinase inhibitors and degraders, by achieving the desired pharmacology to block cytokine production across disease-relevant cell types, both inside and outside of the immune system (e.g., myeloid and non-myeloid cells). The Phase 1 trial in healthy volunteers is expected to consist of a single ascending dose, or SAD, component, and a multiple ascending dose, or MAD, component to assess safety, pharmacokinetics, or PK, and pharmacodynamics, or PD. We expect to nominate a development candidate for our IRAK4 program in the fourth quarter of 2024 and, pending an acceptable profile in IND-enabling toxicology studies, to file a CTA in Australia by the end of 2025. We currently expect to commence this trial in the first half of 2026, pending approval to proceed from the Australian Therapeutic Goods Association, or TGA, and announce results from this trial in the second half of 2026.</w:t>
      </w:r>
    </w:p>
    <w:p>
      <w:pPr>
        <w:spacing w:after="0" w:line="183"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OD-00910 is a monospecific, tetravalent V-body that is designed to agonize TNFR2 selectively on regulatory T cells, or Treg. TNFR2 is a receptor that is highly expressed on Treg, with relatively limited expression on other cells. Treg are a subset of T cells that suppress the activation and function of inflammatory immune cells, including T effector cells, or Teff, and both cytotoxic CD8+ and CD4+ T-helper (Th) cells to maintain self-tolerance and prevent the development of autoimmune disease. We believe effective modulation of Treg is a compelling approach to treat autoimmune and inflammatory diseases because of the link between these diseases and Treg dysregulation. OD-00910 has the potential to harness the full capacity of a Treg-targeted therapy, because TNFR2 agonism (unlike historical approaches to induce Treg with IL-2) exerts several favorable effects on Treg. These effects include selective Treg expansion, increase in immunosuppressive function, increase in resistance to a shift to a pathogenic ex-Treg state in an inflammatory environment and induction of a tissue repair phenotype. We believe an effective modulator of Treg has broad applicability across inflammatory diseases, including AD, SLE, vitiligo and type 1 diabetes, or T1D. IND-enabling activities for OD-00910 are ongoing and, pending an acceptable profile in IND-enabling toxicology studies, we currently expect to file a CTA in Australia by the end of 2025. The Phase 1a trial is expected to consist of a SAD portion in healthy volunteers. This will be followed by a MAD portion in patients with an inflammatory disease. The purpose of each study will be to assess safety, PK and PD. We currently expect to commence the SAD portion of the trial in the first half of 2026, pending approval to proceed from the TGA, and announce results from this SAD portion of the Phase 1a trial in the second half of 2026.</w:t>
      </w:r>
    </w:p>
    <w:p>
      <w:pPr>
        <w:spacing w:after="0" w:line="18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also have a portfolio of internally discovered, wholly owned early-stage programs targeting other key signaling nodes that drive disease. We are developing a bispecific protein targeting thymic stromal lymphopoietin, or TSLP, produced mainly by epithelial cells, and the cytokine interleukin-33, or IL-33. TSLP is a validated target for treating asthma because anti-TSLP antibodies are an approved treatment of asthma. IL-33 antagonism has shown clinical activity in respiratory diseases in third-party clinical studies. We are also developing a small molecule inhibitor of NLR family pyrin domain containing 1, or NLRP1, which recent discoveries suggest may be a key activator of the inflammasome process in barrier cells. Inflammasomes are protein complexes that form an integral part of the innate immune response and are implicated in a host of inflammatory disorders, including systemic sclerosis. In addition, we are developing a small molecule inhibitor of melanoma differentiation-associated protein 5, or MDA5, which initiates inflammation in response to endogenous RNA. MDA5 is implicated in a number of diseases with unmet need, including Sjögren’s Syndrome. We also have three ongoing collaborations with pharmaceutical and biopharmaceutical companies. Our collaboration with Janssen Pharmaceutica NV, a Johnson &amp; Johnson company, or J&amp;J, utilizes our artificial intelligence, or AI, and machine learning, or ML, capability to develop molecules against multiple therapeutic targets. In our</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collaboration with Pfizer Inc., or Pfizer, we are identifying product candidates that target a transcription factor, using our natural product capability. In addition, we are collaborating with Terray Therapeutics, Inc., or Terray, to discover and develop an inhibitor of an immunology transcription factor of mutual interest, interferon regulatory factor 5, or IRF5, for SLE.</w:t>
      </w:r>
    </w:p>
    <w:p>
      <w:pPr>
        <w:spacing w:after="0" w:line="16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led by Gary D. Glick, Ph.D., our founder and Chief Executive Officer, and Jeffrey M. Leiden, M.D., Ph.D., the Chair of our board of directors and the former President, Chief Executive Officer and Chairman of the board and current Executive Chairman of Vertex Pharmaceuticals Incorporated, or Vertex. Prior to founding our company, Dr. Glick was the founder and Chief Executive Officer of Scorpion Therapeutics, Inc., or Scorpion, where he led the initiation and early discovery of several programs, including STX-478, a mutant selective PI3K inhibitor. Before Scorpion, Dr. Glick was the founder and Chief Executive Officer of IFM Therapeutics, LLC, or IFM, a company that was the first to target the NLRP3 inflammasome and stimulator of interferon genes, or STING. At IFM, Dr. Glick completed three sales of drug development programs generating proceeds to date of $750 million. Subject to the achievement of various milestones, proceeds from such sales could reach more than $4.7 billion. Earlier in his career, Dr. Glick founded Lycera Corporation, or Lycera, based on his academic research. As Chief Scientific Officer of Lycera, Dr. Glick successfully completed more than $600 million of program partnering transactions. Drs. Glick and Leiden lead our team of experienced drug hunters and developers with deep experience in identifying, developing and commercializing medicines across indications and drug types.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Mirati Therapeutics, Inc. and Vertex. Since our inception in 2021, we have raised an aggregate of approximately $501.0 million from over 25 venture capital investors, mutual funds, long-only funds, global family offices and corporate venture funds.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success of our efforts will be driven by the following differentiating factors:</w:t>
      </w:r>
    </w:p>
    <w:p>
      <w:pPr>
        <w:spacing w:after="0" w:line="117" w:lineRule="exact"/>
        <w:rPr>
          <w:sz w:val="20"/>
          <w:szCs w:val="20"/>
          <w:color w:val="auto"/>
        </w:rPr>
      </w:pPr>
    </w:p>
    <w:p>
      <w:pPr>
        <w:ind w:left="880" w:right="180" w:hanging="224"/>
        <w:spacing w:after="0" w:line="244"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Our deep knowledge of human immune biology. </w:t>
      </w:r>
      <w:r>
        <w:rPr>
          <w:rFonts w:ascii="Arial" w:cs="Arial" w:eastAsia="Arial" w:hAnsi="Arial"/>
          <w:sz w:val="18"/>
          <w:szCs w:val="18"/>
          <w:color w:val="auto"/>
        </w:rPr>
        <w:t>Our portfolio leverages our comprehensive grasp of the complex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interrelated nature of the immune system to address a broader range of targets or mechanisms than have been historically undertaken by biopharmaceutical companies. Through our own research efforts and through collaboration with our scientific co-founders and scientific advisory board members, our research is driven by our access to differentiated insights, findings and data sets that can help guide target selection and inform clinical trial design.</w:t>
      </w:r>
    </w:p>
    <w:p>
      <w:pPr>
        <w:spacing w:after="0" w:line="81" w:lineRule="exact"/>
        <w:rPr>
          <w:rFonts w:ascii="Arial" w:cs="Arial" w:eastAsia="Arial" w:hAnsi="Arial"/>
          <w:sz w:val="18"/>
          <w:szCs w:val="18"/>
          <w:color w:val="auto"/>
        </w:rPr>
      </w:pPr>
    </w:p>
    <w:p>
      <w:pPr>
        <w:ind w:left="880" w:right="60" w:hanging="224"/>
        <w:spacing w:after="0" w:line="244"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Our expertise in small molecule and protein therapeutics allows us to tackle a broad range of therapeutic targets.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have deep organizational expertise in medicinal and protein chemistry along with structural biology and biophysics, and we have efficiently invested to enable discovery and development across both modalities. This expertise enables us to take a structure-guided approach across our entire portfolio and provides the foundation to address historically challenging targets. For each program, we invest in multiple distinct series of product candidates to maximize the probability of success.</w:t>
      </w:r>
    </w:p>
    <w:p>
      <w:pPr>
        <w:spacing w:after="0" w:line="81" w:lineRule="exact"/>
        <w:rPr>
          <w:rFonts w:ascii="Arial" w:cs="Arial" w:eastAsia="Arial" w:hAnsi="Arial"/>
          <w:sz w:val="18"/>
          <w:szCs w:val="18"/>
          <w:color w:val="auto"/>
        </w:rPr>
      </w:pPr>
    </w:p>
    <w:p>
      <w:pPr>
        <w:ind w:left="880" w:right="260" w:hanging="224"/>
        <w:spacing w:after="0" w:line="242"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Highly productive and efficient research and development capabilities. </w:t>
      </w:r>
      <w:r>
        <w:rPr>
          <w:rFonts w:ascii="Arial" w:cs="Arial" w:eastAsia="Arial" w:hAnsi="Arial"/>
          <w:sz w:val="18"/>
          <w:szCs w:val="18"/>
          <w:color w:val="auto"/>
        </w:rPr>
        <w:t>Since our founding in 2021, we have internally</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discovered and developed a broad portfolio of product candidates and completed our first Phase 1 clinical trial. Our regulatory strategy is globally focused and utilizes CTA submissions prior to IND filings to accelerate development timelines through a streamlined submission process. We believe that allows us to enter the clinic sooner, ensures inclusion of high-enrolling sites globally by allowing us to target sites with high incidence of the disease (thereby potentially increasing the speed of enrollment) and potentially reduces research and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spacing w:after="0" w:line="253" w:lineRule="auto"/>
        <w:rPr>
          <w:sz w:val="20"/>
          <w:szCs w:val="20"/>
          <w:color w:val="auto"/>
        </w:rPr>
      </w:pPr>
      <w:r>
        <w:rPr>
          <w:rFonts w:ascii="Arial" w:cs="Arial" w:eastAsia="Arial" w:hAnsi="Arial"/>
          <w:sz w:val="18"/>
          <w:szCs w:val="18"/>
          <w:color w:val="auto"/>
        </w:rPr>
        <w:t>development costs by allowing us to leverage local tax incentives available to companies conducting clinical trials in foreign jurisdictions. In designing our Phase 1 and Phase 2 trials, we strive to efficiently obtain proof-of-mechanism and proof-of-concept readouts, respectively.</w:t>
      </w:r>
    </w:p>
    <w:p>
      <w:pPr>
        <w:spacing w:after="0" w:line="74" w:lineRule="exact"/>
        <w:rPr>
          <w:sz w:val="20"/>
          <w:szCs w:val="20"/>
          <w:color w:val="auto"/>
        </w:rPr>
      </w:pPr>
    </w:p>
    <w:p>
      <w:pPr>
        <w:ind w:left="880" w:right="120" w:hanging="224"/>
        <w:spacing w:after="0" w:line="24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Our management team and board of directors have a long track record of therapeutic development and company building. </w:t>
      </w:r>
      <w:r>
        <w:rPr>
          <w:rFonts w:ascii="Arial" w:cs="Arial" w:eastAsia="Arial" w:hAnsi="Arial"/>
          <w:sz w:val="18"/>
          <w:szCs w:val="18"/>
          <w:color w:val="auto"/>
        </w:rPr>
        <w:t>Throughout their careers, our management team and our board of directors have played critical roles as successful</w:t>
      </w:r>
      <w:r>
        <w:rPr>
          <w:rFonts w:ascii="Arial" w:cs="Arial" w:eastAsia="Arial" w:hAnsi="Arial"/>
          <w:sz w:val="18"/>
          <w:szCs w:val="18"/>
          <w:b w:val="1"/>
          <w:bCs w:val="1"/>
          <w:color w:val="auto"/>
        </w:rPr>
        <w:t xml:space="preserve"> </w:t>
      </w:r>
      <w:r>
        <w:rPr>
          <w:rFonts w:ascii="Arial" w:cs="Arial" w:eastAsia="Arial" w:hAnsi="Arial"/>
          <w:sz w:val="18"/>
          <w:szCs w:val="18"/>
          <w:color w:val="auto"/>
        </w:rPr>
        <w:t>drug hunters in the discovery, development, acquisition and commercialization of multiple blockbuster therapies and in founding and building biopharmaceutical companies.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04"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Our goal is to continue building a differentiated, global biopharmaceutical company by discovering, developing and commercializing transformative medicines for underserved patient populations. We aim to be an industry leader in immunology and are advancing a diversified portfolio of programs with the intention of efficiently delivering safe and effective medicines to patients.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our strategy include:</w:t>
      </w:r>
    </w:p>
    <w:p>
      <w:pPr>
        <w:spacing w:after="0" w:line="117" w:lineRule="exact"/>
        <w:rPr>
          <w:sz w:val="20"/>
          <w:szCs w:val="20"/>
          <w:color w:val="auto"/>
        </w:rPr>
      </w:pPr>
    </w:p>
    <w:p>
      <w:pPr>
        <w:ind w:left="880" w:right="20" w:hanging="224"/>
        <w:spacing w:after="0" w:line="239"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Advance our RIPK2 scaffolding inhibitor, OD-07656, to deliver a potentially transformative therapy for patients suffering from inflammatory bowel disease. </w:t>
      </w:r>
      <w:r>
        <w:rPr>
          <w:rFonts w:ascii="Arial" w:cs="Arial" w:eastAsia="Arial" w:hAnsi="Arial"/>
          <w:sz w:val="18"/>
          <w:szCs w:val="18"/>
          <w:color w:val="auto"/>
        </w:rPr>
        <w:t>Currently, there are few oral advanced therapies approved for the treatment of IBD,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they may not be conducive for use in combination with existing standard of care to improve outcomes safely. We believe OD-07656 has the potential to be the first approved oral therapy for use as monotherapy or in combination in patients with moderate to severe disease, to potentially break the therapeutic ceiling. We currently expect to commence a Phase 2a UC trial assessing OD-07656 as a monotherapy in UC patients in the first quarter of 2025, with topline induction results expected in the first half of 2026. We also expect to commence a second Phase 2a trial assessing OD-07656 in combination with standard of care vedolizumab for induction therapy in UC patients, followed by OD-07656 only maintenance treatment, in the first half of 2026, with topline combination induction results expected in mid-2027.</w:t>
      </w:r>
    </w:p>
    <w:p>
      <w:pPr>
        <w:spacing w:after="0" w:line="88" w:lineRule="exact"/>
        <w:rPr>
          <w:rFonts w:ascii="Arial" w:cs="Arial" w:eastAsia="Arial" w:hAnsi="Arial"/>
          <w:sz w:val="18"/>
          <w:szCs w:val="18"/>
          <w:color w:val="auto"/>
        </w:rPr>
      </w:pPr>
    </w:p>
    <w:p>
      <w:pPr>
        <w:ind w:left="880" w:right="2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Advance our IRAK4 scaffolding inhibitor and our TNFR2 agonist, OD-00910, into clinical development and assess potential benefit across a range of autoimmune and inflammatory indications. </w:t>
      </w:r>
      <w:r>
        <w:rPr>
          <w:rFonts w:ascii="Arial" w:cs="Arial" w:eastAsia="Arial" w:hAnsi="Arial"/>
          <w:sz w:val="18"/>
          <w:szCs w:val="18"/>
          <w:color w:val="auto"/>
        </w:rPr>
        <w:t>We expect to submit a CTA in Australia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IRAK4 scaffolding inhibitor by the end of 2025 and, if approved, to initiate a Phase 1 trial in healthy volunteers in the first half of 2026. Following this Phase 1 trial and subject to required regulatory approvals, we expect to initiate a Phase 2a signal seeking trial in two or more inflammatory conditions (e.g., AD, OA and HS). We expect to submit a CTA in Australia for OD-00910 by the end of 2025 and, if approved, to initiate a Phase 1a SAD trial in healthy volunteers in the first half of 2026 and a Phase 1b MAD trial in patients with a to-be-determined inflammatory disease (e.g., SLE, AD or vitiligo).</w:t>
      </w:r>
    </w:p>
    <w:p>
      <w:pPr>
        <w:spacing w:after="0" w:line="90" w:lineRule="exact"/>
        <w:rPr>
          <w:rFonts w:ascii="Arial" w:cs="Arial" w:eastAsia="Arial" w:hAnsi="Arial"/>
          <w:sz w:val="18"/>
          <w:szCs w:val="18"/>
          <w:color w:val="auto"/>
        </w:rPr>
      </w:pPr>
    </w:p>
    <w:p>
      <w:pPr>
        <w:ind w:left="880" w:right="80" w:hanging="224"/>
        <w:spacing w:after="0" w:line="261"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Invest in our early-stage pipeline and enabling capabilities. </w:t>
      </w:r>
      <w:r>
        <w:rPr>
          <w:rFonts w:ascii="Arial" w:cs="Arial" w:eastAsia="Arial" w:hAnsi="Arial"/>
          <w:sz w:val="17"/>
          <w:szCs w:val="17"/>
          <w:color w:val="auto"/>
        </w:rPr>
        <w:t>We intend to advance one or more of our early-stage programs</w:t>
      </w:r>
      <w:r>
        <w:rPr>
          <w:rFonts w:ascii="Arial" w:cs="Arial" w:eastAsia="Arial" w:hAnsi="Arial"/>
          <w:sz w:val="17"/>
          <w:szCs w:val="17"/>
          <w:b w:val="1"/>
          <w:bCs w:val="1"/>
          <w:color w:val="auto"/>
        </w:rPr>
        <w:t xml:space="preserve"> </w:t>
      </w:r>
      <w:r>
        <w:rPr>
          <w:rFonts w:ascii="Arial" w:cs="Arial" w:eastAsia="Arial" w:hAnsi="Arial"/>
          <w:sz w:val="17"/>
          <w:szCs w:val="17"/>
          <w:color w:val="auto"/>
        </w:rPr>
        <w:t>into clinical development and continue to invest in further elucidating immune biology to support new target discovery, validation and therapeutic development. We expect this will allow us to build a diversified portfolio of candidates at various stages of development to create a repeatable drug development model with a sustainable organization size. The tools we provide our scientists, including AI/ML, proteomics and transcription factor reconstitution platforms, are purpose-built to support these goals.</w:t>
      </w:r>
    </w:p>
    <w:p>
      <w:pPr>
        <w:spacing w:after="0" w:line="71" w:lineRule="exact"/>
        <w:rPr>
          <w:rFonts w:ascii="Arial" w:cs="Arial" w:eastAsia="Arial" w:hAnsi="Arial"/>
          <w:sz w:val="17"/>
          <w:szCs w:val="17"/>
          <w:color w:val="auto"/>
        </w:rPr>
      </w:pPr>
    </w:p>
    <w:p>
      <w:pPr>
        <w:ind w:left="880" w:right="280" w:hanging="224"/>
        <w:spacing w:after="0" w:line="253"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Execute on our existing, and pursue additional, collaborations. </w:t>
      </w:r>
      <w:r>
        <w:rPr>
          <w:rFonts w:ascii="Arial" w:cs="Arial" w:eastAsia="Arial" w:hAnsi="Arial"/>
          <w:sz w:val="18"/>
          <w:szCs w:val="18"/>
          <w:color w:val="auto"/>
        </w:rPr>
        <w:t>A component of our corporate development strategy is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collaborate with pharmaceutical and biotechnology companies on challenging targets of mutual interest to increase our probability of success by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spacing w:after="0" w:line="247" w:lineRule="auto"/>
        <w:rPr>
          <w:sz w:val="20"/>
          <w:szCs w:val="20"/>
          <w:color w:val="auto"/>
        </w:rPr>
      </w:pPr>
      <w:r>
        <w:rPr>
          <w:rFonts w:ascii="Arial" w:cs="Arial" w:eastAsia="Arial" w:hAnsi="Arial"/>
          <w:sz w:val="18"/>
          <w:szCs w:val="18"/>
          <w:color w:val="auto"/>
        </w:rPr>
        <w:t>accessing unique tools and reducing our costs to enable breadth of our portfolio. We have entered into one collaboration to date with Terray on our IRF5 program and two discovery collaborations that have provided us with non-dilutive capital, the first focused on our AI/ML capability with J&amp;J on multiple targets, and the second focused on our natural products capability with Pfizer on a transcription factor target. We intend to collaborate on additional programs and capabilities in the future.</w:t>
      </w:r>
    </w:p>
    <w:p>
      <w:pPr>
        <w:spacing w:after="0" w:line="79" w:lineRule="exact"/>
        <w:rPr>
          <w:sz w:val="20"/>
          <w:szCs w:val="20"/>
          <w:color w:val="auto"/>
        </w:rPr>
      </w:pPr>
    </w:p>
    <w:p>
      <w:pPr>
        <w:ind w:left="880" w:right="220" w:hanging="224"/>
        <w:spacing w:after="0" w:line="244"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Build our development capabilities to support advancement of candidates into late-stage development. </w:t>
      </w:r>
      <w:r>
        <w:rPr>
          <w:rFonts w:ascii="Arial" w:cs="Arial" w:eastAsia="Arial" w:hAnsi="Arial"/>
          <w:sz w:val="18"/>
          <w:szCs w:val="18"/>
          <w:color w:val="auto"/>
        </w:rPr>
        <w:t>We aim to</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our internal expertise and AI/ML capability to create an integrated discovery, development and commercialization biotechnology company. We have a robust internal pipeline of preclinical programs that we are selectively developing. As we grow the size of our company and raise additional capital, our plan is to invest more into building these in-house development capabilities to complement our use of external support.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 and Investors</w:t>
      </w:r>
    </w:p>
    <w:p>
      <w:pPr>
        <w:spacing w:after="0" w:line="104"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We are led by Gary D. Glick, Ph.D., our founder and Chief Executive Officer, and Jeffrey M. Leiden, M.D., Ph.D., the Chair of our board of directors and the former President, Chief Executive Officer, and Chairman of the board and current Executive Chairman of Vertex, one of the world’s largest pharmaceutical companies.</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Prior to founding our company, Dr. Glick was the founder and Chief Executive Officer of Scorpion where he led the initiation and early discovery of several programs, including STX-478, a mutant selective PI3K inhibitor. Before Scorpion, Dr. Glick was the founder and Chief Executive Officer of IFM, a company that was the first to target the NLRP3 inflammasome and STING. At IFM, Dr. Glick completed three sales of drug development programs generating proceeds to date of $750 million. Subject to the achievement of various milestones, proceeds from such sales could reach more than $4.7 billion. Earlier in his career, Dr. Glick founded Lycera based on his academic research. At Lycera, Dr. Glick served as Chief Scientific Officer. During his tenure, Lycera successfully completed more than $600 million of program partnering transactions.</w:t>
      </w:r>
    </w:p>
    <w:p>
      <w:pPr>
        <w:spacing w:after="0" w:line="185"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Dr. Leiden served as Chief Executive Officer of Vertex for eight years, during which time Vertex delivered multiple approved medicines to treat the underlying cause of cystic fibrosis for patients with certain forms of the disease, including KALYDECO®, ORKAMBI® and TRIKAFTA®. Prior to Vertex, Dr. Leiden was President, Chief Operating Officer and Chief Scientific Officer of Abbott Laboratories, Pharmaceutical Products Group, where he led the development and commercialization of HUMIRA®, a drug approved for nine indications with over $200 billion in lifetime sales. Dr. Leiden is actively involved in all aspects of our business, including our preclinical, clinical and business development activities.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Drs. Glick and Leiden lead our team of experienced drug hunters and developers with deep experience in identifying, developing and commercializing medicines across indications and drug types. Members of our management team have served in senior positions at Merck &amp; Co., Inc., Sanofi S.A., Pfizer Inc., Prevail Therapeutics Inc., SpringWorks Therapeutics, Inc., IFM Therapeutics, Novartis AG and Bristol-Myers Squibb Company.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Mirati Therapeutics, Inc. and Vertex.</w:t>
      </w:r>
    </w:p>
    <w:p>
      <w:pPr>
        <w:spacing w:after="0" w:line="185"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Our management and board of directors are complemented by scientific co-founders and a Scientific Advisory Board composed of preeminent immunology researchers. These include multiple Howard Hughes Medical Institute investigators and leading experts globally who have conducted foundational research to identify and characterize a number of our therapeutic targets, including RIPK2, IRAK4, TNFR2, NLRP1 and MDA5.</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5" w:right="5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Since our inception in 2021, we have raised an aggregate of approximately $501.0 million from a collection of leading investors, mutual funds and global family offices. Our investor syndicate includes over 25 venture capital investors, mutual funds, long-only funds, global family offices and corporate venture funds.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to Immunology</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The human immune system is a complex network of cells, tissues and organs that can be divided into two primary components: the innate immune system and adaptive immune system. The innate immune system, which forms the body’s first line of defense, is a cellular network with highly selective receptors and activators that responds to pathogenic stimuli, both directly and by producing pro-inflammatory cytokines that activate the secondary line of defense: the adaptive immune system. The adaptive immune system helps eliminate pathogens and retains a memory of them for a more effective immune response to previously encountered pathogens. While these responses are necessary for normal homeostatic function and host defense, </w:t>
      </w:r>
      <w:r>
        <w:rPr>
          <w:rFonts w:ascii="Arial" w:cs="Arial" w:eastAsia="Arial" w:hAnsi="Arial"/>
          <w:sz w:val="18"/>
          <w:szCs w:val="18"/>
          <w:i w:val="1"/>
          <w:iCs w:val="1"/>
          <w:color w:val="auto"/>
        </w:rPr>
        <w:t>chronic</w:t>
      </w:r>
      <w:r>
        <w:rPr>
          <w:rFonts w:ascii="Arial" w:cs="Arial" w:eastAsia="Arial" w:hAnsi="Arial"/>
          <w:sz w:val="18"/>
          <w:szCs w:val="18"/>
          <w:color w:val="auto"/>
        </w:rPr>
        <w:t xml:space="preserve"> pro-inflammatory signaling that remains unresolved propagates inflammatory disease and organ damage,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128905</wp:posOffset>
            </wp:positionV>
            <wp:extent cx="5194935" cy="21342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9493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Current therapies for inflammatory diseases, which are largely focused on the downstream adaptive immune response— specifically, the inhibition of cytokines—have produced meaningful benefits for patients, but also share fundamental limitations despite targeting different cytokines. Because cytokines have redundant function, blocking any one cytokine does not prevent others from activating the adaptive immune response. Cytokines have many functions and therefore inhibiting a cytokine relevant in disease also negatively impacts normal homeostasis and is typically associated with immunosuppression. Therapeutic approaches that block multiple cytokines have the potential to increase susceptibility to life-threatening infection. In addition, cytokine inhibition does not address parts of the innate immune response, such as recruitment and activation of neutrophils or macrophages, which themselves can damage tissue independent of the adaptive immune response. Therefore, we believe existing therapeutics will continue to be challenging to combine safely into additive or synergistic multidrug regimens. By targeting innate immune responses as shown in the graphic below, our product candidates have the potential, whether as monotherapies or in combination, to address the issue of downstream cytokine redundancy and mitigate direct damage caused by the innate immune response, while having less immunosuppressive risk.</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Mechanisms of Action for Our Portfolio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163195</wp:posOffset>
            </wp:positionV>
            <wp:extent cx="4937760" cy="2177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3776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We believe our portfolio of product candidates aimed at known and novel targets in the innate immune system can produce major treatment advances for patients by expanding the aperture of how inflammatory diseases can be treated. Our strategy is focused on modulating the root of inflammatory dysregulation through highly selective targeting of key nodes in the innate immune system. Through this approach, we believe we can provide new monotherapy treatments for patients and physicians and enable tolerable combination options to further improve the breadth, depth and durability of patient responses.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to Therapeutic Development</w:t>
      </w:r>
    </w:p>
    <w:p>
      <w:pPr>
        <w:spacing w:after="0" w:line="104" w:lineRule="exact"/>
        <w:rPr>
          <w:sz w:val="20"/>
          <w:szCs w:val="20"/>
          <w:color w:val="auto"/>
        </w:rPr>
      </w:pPr>
    </w:p>
    <w:p>
      <w:pPr>
        <w:ind w:left="120" w:right="820" w:firstLine="551"/>
        <w:spacing w:after="0" w:line="271" w:lineRule="auto"/>
        <w:rPr>
          <w:sz w:val="20"/>
          <w:szCs w:val="20"/>
          <w:color w:val="auto"/>
        </w:rPr>
      </w:pPr>
      <w:r>
        <w:rPr>
          <w:rFonts w:ascii="Arial" w:cs="Arial" w:eastAsia="Arial" w:hAnsi="Arial"/>
          <w:sz w:val="18"/>
          <w:szCs w:val="18"/>
          <w:color w:val="auto"/>
        </w:rPr>
        <w:t>Our replicable model for drug discovery and development is run by our team of experts who collectively have decades of experience in the field with other companies.</w:t>
      </w:r>
    </w:p>
    <w:p>
      <w:pPr>
        <w:spacing w:after="0" w:line="15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We first seek to identify targets that address patient populations with significant unmet need within immunology. In considering targets, we prefer those where the biology is well characterized and where clinical or translational evidence can be combined with human genetics to inform potential safety and efficacy.</w:t>
      </w:r>
    </w:p>
    <w:p>
      <w:pPr>
        <w:spacing w:after="0" w:line="16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After identifying a potential therapeutic target and a patient population with unmet need, we focus on five questions: (1) what specific problem(s) are we seeking to address, (2) is there an opportunity to make significant advances over standard of care, (3) is the patient population sufficiently large to support a meaningful commercial opportunity in one or more indications, (4) can the drug candidate make a timely entry to the market (e.g., as one of the first two entrants for a particular mechanism) and (5) will any given target have potential additivity or synergy with other drug candidates in our portfolio? We strive to have conviction on these questions when we initiate a program and continually revisit these as programs advance.</w:t>
      </w:r>
    </w:p>
    <w:p>
      <w:pPr>
        <w:spacing w:after="0" w:line="179"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We then filter targets using considerations including the clinical development path, time and investment to achieve value inflection. For example, we evaluate whether there is a definable patient population that can provide unambiguous proof-of-concept or the potential to establish proof-of-mechanism to be demonstrated in healthy volunteer studies. In addition, we consider whether there is a patient selection or biomarker strategy in key indications that can improve probability of success.</w:t>
      </w:r>
    </w:p>
    <w:p>
      <w:pPr>
        <w:spacing w:after="0" w:line="17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Following target selection, we leverage internal capabilities to determine which modality—small molecule or protein therapeutic—is optimal for effectively drugging the core biology we aim to address.</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5"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We believe that our approach has the potential to develop medicines targeting diseases across the estimated $100 billion inflammatory disease market.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Small Molecules</w:t>
      </w:r>
    </w:p>
    <w:p>
      <w:pPr>
        <w:spacing w:after="0" w:line="102"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Small molecules are preferred to address intracellular targets or provide an oral option where that administration route will be important for prescribers and patients. To support our discovery and development, we have invested in a suite of tools and capabilities, including our AI/ML, natural products and covalent chemistry platforms.</w:t>
      </w:r>
    </w:p>
    <w:p>
      <w:pPr>
        <w:spacing w:after="0" w:line="74" w:lineRule="exact"/>
        <w:rPr>
          <w:sz w:val="20"/>
          <w:szCs w:val="20"/>
          <w:color w:val="auto"/>
        </w:rPr>
      </w:pPr>
    </w:p>
    <w:p>
      <w:pPr>
        <w:ind w:left="880" w:hanging="224"/>
        <w:spacing w:after="0" w:line="242"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AI/ML platform is designed to support small molecule drug discovery from program initiation through identification of a development candidate. Specifically, our platform can help elucidate cryptic pockets through novel techniques pioneered by our employees, use virtual screening and generative chemistry to identify and optimize hits and be used alongside traditional medicinal chemistry efforts to efficiently progress our programs. This capability has been instrumental in the discovery and development of some of our product candidates. We are using this technology in our collaboration with J&amp;J and the collaboration has enabled us to further build out this capability with non-dilutive capital.</w:t>
      </w:r>
    </w:p>
    <w:p>
      <w:pPr>
        <w:spacing w:after="0" w:line="84" w:lineRule="exact"/>
        <w:rPr>
          <w:rFonts w:ascii="Arial" w:cs="Arial" w:eastAsia="Arial" w:hAnsi="Arial"/>
          <w:sz w:val="18"/>
          <w:szCs w:val="18"/>
          <w:color w:val="auto"/>
        </w:rPr>
      </w:pPr>
    </w:p>
    <w:p>
      <w:pPr>
        <w:ind w:left="880" w:right="6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a natural products platform through which we believe we can discover biologically relevant molecules produced by microbes (e.g., bacteria or fungi) because ligand binding sites are generally conserved through evolution. We use this capability specifically for difficult drug targets where traditional synthetic chemistry has been unsuccessful. The strengths of this approach rely on two pieces: (1) an ultra-high throughput screening approach that can replicate the scale of testing 30,000 384-well plates per day and (2) a highly diverse library of hundreds of thousands of microbes sourced from around the globe. Our natural products platform is the focus of a target-specific collaboration with Pfizer, which has also enabled us to build out this capability with non-dilutive capital.</w:t>
      </w:r>
    </w:p>
    <w:p>
      <w:pPr>
        <w:spacing w:after="0" w:line="90" w:lineRule="exact"/>
        <w:rPr>
          <w:rFonts w:ascii="Arial" w:cs="Arial" w:eastAsia="Arial" w:hAnsi="Arial"/>
          <w:sz w:val="18"/>
          <w:szCs w:val="18"/>
          <w:color w:val="auto"/>
        </w:rPr>
      </w:pPr>
    </w:p>
    <w:p>
      <w:pPr>
        <w:ind w:left="880" w:right="2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covalent chemistry platform fuses cutting-edge medicinal chemistry with real-time data integration into our AI/ML engine. Leveraging our proprietary internal library targeting both cysteines and lysines, alongside external DNA-Encoded Libraries, we efficiently uncover chemical starting points and druggable pockets. Using these discoveries, we can further transition to non-covalent approaches. By integrating covalent chemistry, hit and pocket identification and vast proteome-wide selectivity data, our AI/ML platform generates interactive and predictive Connectivity Maps of covalent compounds and ligandable protein sites. With these Connectivity Maps and proprietary libraries, we believe we have created a differentiated solution to finding drug starting points.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Protein Therapeutics</w:t>
      </w:r>
    </w:p>
    <w:p>
      <w:pPr>
        <w:spacing w:after="0" w:line="102"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believe that protein therapeutics are ideal for extracellular targets particularly where multiple targets or receptors must be engaged for desired pharmacology. Within the protein therapeutic class, there are numerous formats that have been used in approved drugs, including monoclonal antibodies or their fragments, or Fab, bispecific antibodies, fusion proteins and VHH-based single domain antibodies and derivatives thereof. We believe VHH provide a superior platform for the development of next-generation protein therapeutics compared to conventional antibodies and fusion proteins because of their lower molecular weight, modularity, ease of engineering and manufacturing and developability characteristics—such as higher melting temperatures that are correlated with improved stability, which can simplify storage and transportation. In addition, VHH are typically more soluble than monoclonal antibodies, which can enable high-concentration formulations for sub-cutaneous dosing—preferred by patients and payors—compared to intravenous delivery. Like our small molecule research, we employ AI and ML models in developing our protein therapeutics. These models enable us to identify favorable combinations of VHH and help guide optimization of affinity, stability and developability.</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use of individual VHH domains and the ability to modify the number and relative arrangement of such domains, has the potential to allow us to create versatile molecules that can be combined to recognize distinct features of a particular target or multiple distinct targets. Combining multiple targeting molecules could enable us to create biparatopic antibodies, which use multiple binders on the same target for receptor clustering, or against multiple receptor targets (e.g., bispecific or trispecific) to improve potency and cell type selectivity or induce novel cell-cell interactions. We believe the VHH platform also offers the flexibility to enable the inclusion of other technologies, such as half-life extension, use of multiple formats (e.g., Fc-based or linear), and the creation of non-antibody like geometric arrangements of binding domains, such as variable interdomain linker length to modulate spacing between binding elements, which can optimize binding selectivity and PK properties.</w:t>
      </w:r>
    </w:p>
    <w:p>
      <w:pPr>
        <w:spacing w:after="0" w:line="18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expertise and investment in protein production, purification and reconstitution enables us to take a structure-guided approach across our entire portfolio of small molecule and protein therapeutics, and provides an opportunity to address historically challenging targets, such as transcription factors. Transcription factors are difficult drug targets due to their inherent flexibility and poor behavior in the absence of stabilizing co-factors. Our team consists of scientists who have conducted and published leading research in the field of reconstituting functional transcription factor complexes for biochemical and structural characterization. We believe we can use structure-guided hit finding in such reconstitution processes and direct biochemical assessments to characterize hits, instead of relying on downstream, indirect phenotypic readouts that are poorly translatable to target-directed drug discovery.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Candidates</w:t>
      </w:r>
    </w:p>
    <w:p>
      <w:pPr>
        <w:spacing w:after="0" w:line="104"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Our portfolio consists of six disclosed wholly owned immunology programs across two therapeutic modalities: small molecule and protein therapeutics. We believe that considering two modalities provides us with a better ability to select the right modality to most effectively treat the core biology problem we are aiming to address, and each of our modalities has well prescribed development and regulatory pathways. For our lead programs, we have prioritized targets that we believe are of high interest to pharmaceutical companies to provide partnering flexibility, and for which we believe the disease biology is relatively understood through the availability and use of genetic, clinical or translational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RIPK2</w:t>
      </w:r>
    </w:p>
    <w:p>
      <w:pPr>
        <w:spacing w:after="0" w:line="102" w:lineRule="exact"/>
        <w:rPr>
          <w:sz w:val="20"/>
          <w:szCs w:val="20"/>
          <w:color w:val="auto"/>
        </w:rPr>
      </w:pPr>
    </w:p>
    <w:p>
      <w:pPr>
        <w:ind w:left="120" w:right="260" w:firstLine="551"/>
        <w:spacing w:after="0" w:line="244" w:lineRule="auto"/>
        <w:rPr>
          <w:sz w:val="20"/>
          <w:szCs w:val="20"/>
          <w:color w:val="auto"/>
        </w:rPr>
      </w:pPr>
      <w:r>
        <w:rPr>
          <w:rFonts w:ascii="Arial" w:cs="Arial" w:eastAsia="Arial" w:hAnsi="Arial"/>
          <w:sz w:val="18"/>
          <w:szCs w:val="18"/>
          <w:color w:val="auto"/>
        </w:rPr>
        <w:t>OD-07656, our oral small molecule RIPK2 scaffolding inhibitor product candidate, is entering Phase 2a development for the treatment of UC, one of the two main types of IBD. RIPK2 is a critical signaling protein of the innate immune system that responds to bacterial byproducts from the GI tract and has been implicated both as an initiator of IBD and a mechanism of resistance to standard of care therapies, including TNF and integrin blocking therapies. We believe that OD-07656, as either monotherapy or in combination with existing therapies, has the potential to break the current therapeutic ceiling in IBD.</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OD-07656 is designed to be an advanced oral therapy that is amenable for broad use in patients with moderate to severe IBD, either as monotherapy or in combination, by addressing IBD at an upstream point in the immune response. By blocking RIPK2 scaffolding with XIAP, which we believe is critical to downstream pathway signaling and activation of proinflammatory cells of both the innate and adaptive immune systems, OD-07656 is designed to inhibit cytokine and chemokine expression that activate the adaptive immune response and propagate the inflammatory response, thereby reducing inflammation in the gut and allowing the epithelial lining of the GI tract to repair itself. OD-07656 is also designed to downregulate activity of innate immune system effector cells, such as neutrophils, which have been shown to directly damage the GI tract.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completed a Phase 1 trial of OD-07656 in adult healthy volunteers in Australia in the fourth quarter of 2024, in which OD-07656 was well tolerated and provided continuous target coverage. We currently expect to commence a Phase 2a trial assessing OD-07656 as monotherapy in UC patients in the first quarter of 2025 and to release topline induction results in the first half of 2026. We also expect to commence a second Phase 2a trial assessing OD-07656 in combination with standard of care vedolizumab for induction therapy in UC patients, followed by OD-07656 maintenance monotherapy, in the first half of 2026 with topline combination induction results expected in mid-2027. We anticipate conducting our RIPK2 Phase 2a trials pursuant to CTAs at approximately 60 sites globally in the Asia-Pacific region, Europe, the Middle East and Canada and pursuant to an IND in the United States, pending submission of such applications and approval and clearance to proceed under them by the applicable regulatory authority.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RIPK2 Function as a Signaling Node Mediates Inflammatory Bowel Disease</w:t>
      </w:r>
    </w:p>
    <w:p>
      <w:pPr>
        <w:spacing w:after="0" w:line="102"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Activation of RIPK2 in innate immune cells is linked to multiple aspects of IBD pathogenesis through its role as a signal transducer and amplifier of cytokine production. Cytokine production induces an adaptive immune response. In addition to their role in cytokine production, activated innate immune cells can directly contribute to barrier disruption.</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RIPK2 is expressed in innate immune effector cells in the intestine, primarily in monocytes, dendritic cells and macrophages. These innate immune effector cells detect the presence of bacteria and recruit, through cytokine production, adaptive immune cells, such as B cells and T cells, to respond to reduce the threat posed by bacteria. RIPK2 plays a key role in this process, as a signaling node within the innate immune cells that connects to the upstream NOD1 and NOD2 receptors. NOD1 and NOD2 are the only receptors known to be specifically activated by the presence of peptidoglycan, or PGN, which is a component of all bacterial cells. When NOD1 and NOD2 are activated by PGN, they bind to RIPK2, forming a signaling complex in which RIPK2 then undergoes a conformational change that enables it to become a scaffold that binds to X-linked inhibitor of apoptosis, or XIAP. Once bound to RIPK2, XIAP modifies RIPK2 so that it can bind and activate transforming growth factor-</w:t>
      </w:r>
      <w:r>
        <w:rPr>
          <w:rFonts w:ascii="Arial" w:cs="Arial" w:eastAsia="Arial" w:hAnsi="Arial"/>
          <w:sz w:val="18"/>
          <w:szCs w:val="18"/>
          <w:i w:val="1"/>
          <w:iCs w:val="1"/>
          <w:color w:val="auto"/>
        </w:rPr>
        <w:t>ß</w:t>
      </w:r>
      <w:r>
        <w:rPr>
          <w:rFonts w:ascii="Arial" w:cs="Arial" w:eastAsia="Arial" w:hAnsi="Arial"/>
          <w:sz w:val="18"/>
          <w:szCs w:val="18"/>
          <w:color w:val="auto"/>
        </w:rPr>
        <w:t>-activated kinase 1, or TAK1. The kinase function of activated TAK1 in turn activates both nuclear factor kappa B subunit 1, or NF</w:t>
      </w:r>
      <w:r>
        <w:rPr>
          <w:rFonts w:ascii="Times New Roman" w:cs="Times New Roman" w:eastAsia="Times New Roman" w:hAnsi="Times New Roman"/>
          <w:sz w:val="18"/>
          <w:szCs w:val="18"/>
          <w:color w:val="auto"/>
        </w:rPr>
        <w:t>k</w:t>
      </w:r>
      <w:r>
        <w:rPr>
          <w:rFonts w:ascii="Arial" w:cs="Arial" w:eastAsia="Arial" w:hAnsi="Arial"/>
          <w:sz w:val="18"/>
          <w:szCs w:val="18"/>
          <w:color w:val="auto"/>
        </w:rPr>
        <w:t>B, and mitogen-activated protein kinases, or MAPK, signaling pathways that mediate production and release of pro-inflammatory cytokines.</w:t>
      </w:r>
    </w:p>
    <w:p>
      <w:pPr>
        <w:spacing w:after="0" w:line="184" w:lineRule="exact"/>
        <w:rPr>
          <w:sz w:val="20"/>
          <w:szCs w:val="20"/>
          <w:color w:val="auto"/>
        </w:rPr>
      </w:pPr>
    </w:p>
    <w:p>
      <w:pPr>
        <w:ind w:left="120" w:right="120" w:firstLine="551"/>
        <w:spacing w:after="0" w:line="286" w:lineRule="auto"/>
        <w:rPr>
          <w:sz w:val="20"/>
          <w:szCs w:val="20"/>
          <w:color w:val="auto"/>
        </w:rPr>
      </w:pPr>
      <w:r>
        <w:rPr>
          <w:rFonts w:ascii="Arial" w:cs="Arial" w:eastAsia="Arial" w:hAnsi="Arial"/>
          <w:sz w:val="18"/>
          <w:szCs w:val="18"/>
          <w:color w:val="auto"/>
        </w:rPr>
        <w:t>The graphic below illustrates the role of RIPK2 in the activation of the NF</w:t>
      </w:r>
      <w:r>
        <w:rPr>
          <w:rFonts w:ascii="Times New Roman" w:cs="Times New Roman" w:eastAsia="Times New Roman" w:hAnsi="Times New Roman"/>
          <w:sz w:val="18"/>
          <w:szCs w:val="18"/>
          <w:color w:val="auto"/>
        </w:rPr>
        <w:t>k</w:t>
      </w:r>
      <w:r>
        <w:rPr>
          <w:rFonts w:ascii="Arial" w:cs="Arial" w:eastAsia="Arial" w:hAnsi="Arial"/>
          <w:sz w:val="18"/>
          <w:szCs w:val="18"/>
          <w:color w:val="auto"/>
        </w:rPr>
        <w:t>B and MAPK signaling pathways that lead to production of pro-inflammatory cytokines.</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RIPK2 Signaling Results from Binding to XIAP and its Subsequent Ubiquitination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8890</wp:posOffset>
            </wp:positionV>
            <wp:extent cx="1457325" cy="18942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573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RIPK2 signaling pathway has been observed to have three primary effects on innate immune cells: (1) causing innate immune cells to produce proinflammatory cytokines, (2) amplifying production of cytokines induced by stimuli other than PGN that activate innate immune cells and (3) inducing an activated phenotype in innate immune cells, which, depending on the specific cell type, damages the surrounding normal tissue by killing intestinal epithelial cells and degrading the supporting extracellular structure. The cytokines directly induced or amplified by RIPK2, including TNF, TL1A, IL-23, interleukin 6, or IL-6, and interleukin 1, or IL-1, recruit and activate T cells to initiate an adaptive immune response that is not specific for bacteria, resulting in damage to intestinal epithelial cells.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graphic below illustrates the role of RIPK2 in activating and amplifying immune response.</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RIPK2’s Role in Innate Immune Activation and Adaptive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197485</wp:posOffset>
            </wp:positionV>
            <wp:extent cx="5194935" cy="2837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9493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Toll-like receptors, or TLRs, are another family of receptor proteins found in innate immune cells that respond to bacteria products other than PGN (i.e., LTA, flagellin and LPS). To show RIPK2’s role in amplification of TLR signaling, we conducted a study in which we exposed human peripheral blood mononuclear cells, or PBMCs, to a fragment of the bacterial byproduct PGN or a TLR agonist separately or PGN and a TLR agonist combined. When the cells were exposed to both PGN and TLR, we observed an increase in pro-inflammatory TNF production by between four and 10 times when compared to PGN or TLR alone.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5"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left="480" w:right="60"/>
        <w:spacing w:after="0" w:line="281" w:lineRule="auto"/>
        <w:rPr>
          <w:sz w:val="20"/>
          <w:szCs w:val="20"/>
          <w:color w:val="auto"/>
        </w:rPr>
      </w:pPr>
      <w:r>
        <w:rPr>
          <w:rFonts w:ascii="Arial" w:cs="Arial" w:eastAsia="Arial" w:hAnsi="Arial"/>
          <w:sz w:val="18"/>
          <w:szCs w:val="18"/>
          <w:b w:val="1"/>
          <w:bCs w:val="1"/>
          <w:color w:val="auto"/>
        </w:rPr>
        <w:t>Observed Increase in Pro-Inflammatory Cytokine Production by Human PBMCs When Exposed to Both PGN and TLR Agonists Over Either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149860</wp:posOffset>
            </wp:positionV>
            <wp:extent cx="3188970" cy="18599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8897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480"/>
        <w:spacing w:after="0" w:line="258" w:lineRule="auto"/>
        <w:rPr>
          <w:sz w:val="20"/>
          <w:szCs w:val="20"/>
          <w:color w:val="auto"/>
        </w:rPr>
      </w:pPr>
      <w:r>
        <w:rPr>
          <w:rFonts w:ascii="Arial" w:cs="Arial" w:eastAsia="Arial" w:hAnsi="Arial"/>
          <w:sz w:val="16"/>
          <w:szCs w:val="16"/>
          <w:i w:val="1"/>
          <w:iCs w:val="1"/>
          <w:color w:val="auto"/>
        </w:rPr>
        <w:t>Human PBMCs were stimulated for 24 hours by PGN fragment L18-MDP, a NOD2 agonist, or flagellin, a TLR5 agonist. Data from a single representative donor shown above as mean ± standard deviation; three individual donors tested total. PGN + TLR agonist co-stimulation resulted in significantly higher TNF production as compared to PGN alone, **** p &lt; 0.0001, and TLR agonist alone, **** p &lt; 0.0001. Statistical significance was calculated in GraphPad Prism 10.2.3 using one-way ANOVA.</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RIPK2’s role in stimulating and amplifying the adaptive immune response, through cytokine production, innate immune cells, such as neutrophils, also express RIPK2 and become activated following exposure to PGN. Activated neutrophils have been observed to directly damage the epithelial lining and mucosal immune defense barrier of the GI tract by releasing human neutrophil elastases that degrade key components of the intestinal epithelial membrane, a3 and a4 chains of type IV collagen. As a result, the mucosal immune defense barrier of the membrane fails, allowing bacteria and bacterial byproducts access to deeper layers of the intestine creating a feed-forward response cycle. Since this tissue-damaging cycle only requires cells of the innate immune system, it may explain why therapies targeting the adaptive immune response, even when used in combination, induce remission in less than half of all patients. The ability of the innate immune system alone to initiate and sustain IBD is supported by experiments in animals that lack a functional adaptive immune system, such as in mice that lack recombination activating genes (RAG1 and RAG2), genes essential for the development of the adaptive immune cell. For example, CD40 stimulation in RAG1/2 knockout mice activates the innate intestinal immune system in the absence of any cells of the adaptive immune system and causes intestinal inflammation and tissue damage. The TRUC model, in which mice are genetically deficient in both T-bet (a transcription factor) and RAG2, provides another example where IBD occurs in the absence mature lymphocytes, the cells that mediate adaptive immune responses. In this model, the presence of specific but not pathogenic microbiota is sufficient to trigger the activation of the innate immune system, which leads to intestinal inflammation and damage.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Inflammatory Bowel Disease Background</w:t>
      </w:r>
    </w:p>
    <w:p>
      <w:pPr>
        <w:spacing w:after="0" w:line="10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IBD is a complex disease with many contributing factors, including genetic, environmental and immunologic factors, and is divided into two primary categories: UC, involving the innermost lining of the large intestine, and Crohn’s disease, which can affect the full thickness of the bowel wall and all parts of the GI tract. Both types are chronic, relapsing, remitting, inflammatory conditions of the GI tract that begin most commonly during adolescence and young adulthood. IBD is characterized by a breakdown of the epithelial lining of the intestines, which leads to an inflammatory response that is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triggered by exposing deeper parts of intestinal tissue to the bacteria present in the lumen of the GI tract. The inflammatory response can further damage epithelial tissue in the GI tract and prevent healing of existing damage, resulting in a continuing, self-perpetuating cycle of damage to the intestine in IBD. In addition to direct disease impacts, patients with IBD experience negative impacts on their mental health, careers and quality of life as compared to healthy individuals as a result of their recurrent disease symptoms and the need to cycle through therapeutic options.</w:t>
      </w:r>
    </w:p>
    <w:p>
      <w:pPr>
        <w:spacing w:after="0" w:line="176" w:lineRule="exact"/>
        <w:rPr>
          <w:sz w:val="20"/>
          <w:szCs w:val="20"/>
          <w:color w:val="auto"/>
        </w:rPr>
      </w:pPr>
    </w:p>
    <w:p>
      <w:pPr>
        <w:jc w:val="both"/>
        <w:ind w:left="120" w:right="120" w:firstLine="551"/>
        <w:spacing w:after="0" w:line="253" w:lineRule="auto"/>
        <w:rPr>
          <w:sz w:val="20"/>
          <w:szCs w:val="20"/>
          <w:color w:val="auto"/>
        </w:rPr>
      </w:pPr>
      <w:r>
        <w:rPr>
          <w:rFonts w:ascii="Arial" w:cs="Arial" w:eastAsia="Arial" w:hAnsi="Arial"/>
          <w:sz w:val="18"/>
          <w:szCs w:val="18"/>
          <w:color w:val="auto"/>
        </w:rPr>
        <w:t>IBD is estimated to affect two-to-three million people in the United States and over six million people globally. The IBD market was approximately $16 billion in the United States and $23 billion globally in 2023 and is expected to grow to approximately $22 billion in the United States and $33 billion globally by 2030.</w:t>
      </w:r>
    </w:p>
    <w:p>
      <w:pPr>
        <w:spacing w:after="0" w:line="169"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Approved biologics and those in late-stage development as well as targeted small molecule therapies only target cytokines that regulate downstream adaptive immune responses (e.g., TNF, IL-23 or TL1A) or block the recruitment and migration of adaptive immune cells (e.g., integrin or S1P1R), and therefore fail to address the inflammation and tissue damage caused directly by activated innate immune cells. Because existing therapies focus solely on the adaptive immune system, we believe that a novel therapy that blocks innate immune cell activation in response to microbial signals that initiate and drive IBD is needed. Cytokines and T cells within the adaptive immune system operate together through different mechanisms that are not inhibited by targeting only one aspect of the adaptive immune response. Although combinations of adaptive immune targeted therapies are currently being evaluated in clinical trials, we believe there are key limitations to this approach due to the number of cytokines and adaptive cell types involved downstream of the RIPK2 node. Moreover, these approaches leave the innate immune response unchecked, allowing for ongoing intestinal inflammation and epithelial barrier breakdown irrespective of cytokine blockade or reduced adaptive immune activation and recruitment.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Existing IBD Therapies</w:t>
      </w:r>
    </w:p>
    <w:p>
      <w:pPr>
        <w:spacing w:after="0" w:line="102"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A broad spectrum of cytokines and chemokines have been implicated in both UC and Crohn’s disease, several of which have been validated as drug targets to treat patients with moderate to severe IBD, starting with the TNF cytokine. Since the approval of the first TNF blocking agent, HUMIRA®, in 1998, a number of additional medicines targeting different cytokines or adaptive immune cells (e.g., integrins, IL-23, S1P1 and JAK) have been approved to treat IBD.</w:t>
      </w:r>
    </w:p>
    <w:p>
      <w:pPr>
        <w:spacing w:after="0" w:line="17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Despite the number of therapeutic options available today, remission rates remain modest; 20-30% of patients (placebo adjusted) will respond to a particular treatment and reach disease remission. In addition, up to 45% of those who do initially respond to therapy eventually lose response over time and no approved therapies have addressed fibrostenotic disease. This leads to many patients having to cycle through therapies throughout their lives. In addition, some therapies, such as JAK inhibitors have a black-box warning for the risk of fatal cardiovascular events.</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placebo-adjusted clinical remission rates for drugs currently approved to treat UC and Crohn’s disease, targeting TNFs, integrins, IL-23, S1P1 or JAK, range from 8% to 26% for UC and 6% to 21% for Crohn’s disease, based on consolidated results from the respective approval studies summarized in Section 14 of their FDA labels. There are also two product candidates in development targeting integrins and TL1A, respectively, for which reported clinical trial results show an absolute clinical remission rate of 26% in an open-label trial in UC, a placebo-adjusted clinical remission rate of 25% in UC and a historical placebo-adjusted clinical remission rate of 33% in an open-label trial in Crohn’s disease.</w:t>
      </w:r>
    </w:p>
    <w:p>
      <w:pPr>
        <w:spacing w:after="0" w:line="179"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Based on the observed limitations of the advanced therapies, we believe that there is considerable interest for improved efficacy in UC and Crohn’s disease treatments, either through novel</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therapeutic mechanisms or by combining approved agents. We believe the underlying reason for the lack of transformative benefit to date is due to the number of cytokines and chemokines activated downstream of RIPK2 that have overlapping and redundant pathogenic effects in IBD, and the focus of existing therapies solely on the adaptive, and not the innate, immune system.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for RIPK2 Inhibition Across IBD Patients</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Activated RIPK2 has been observed in IBD across multiple preclinical analyses and studies. In particular, ubiquitin side chains have been observed on RIPK2, which is a post-translational modification (ubiquitination) understood to be formed only following RIPK2 activation by XIAP. As reflected in the graphic below, biopsy samples from both UC and Crohn’s disease patients were reported by a third party in the article titled “</w:t>
      </w:r>
      <w:r>
        <w:rPr>
          <w:rFonts w:ascii="Arial" w:cs="Arial" w:eastAsia="Arial" w:hAnsi="Arial"/>
          <w:sz w:val="18"/>
          <w:szCs w:val="18"/>
          <w:i w:val="1"/>
          <w:iCs w:val="1"/>
          <w:color w:val="auto"/>
        </w:rPr>
        <w:t>Simultaneous substrate and ubiquitin modification recognition by bispecific antibodies enables detection of</w:t>
      </w:r>
      <w:r>
        <w:rPr>
          <w:rFonts w:ascii="Arial" w:cs="Arial" w:eastAsia="Arial" w:hAnsi="Arial"/>
          <w:sz w:val="18"/>
          <w:szCs w:val="18"/>
          <w:color w:val="auto"/>
        </w:rPr>
        <w:t xml:space="preserve"> </w:t>
      </w:r>
      <w:r>
        <w:rPr>
          <w:rFonts w:ascii="Arial" w:cs="Arial" w:eastAsia="Arial" w:hAnsi="Arial"/>
          <w:sz w:val="18"/>
          <w:szCs w:val="18"/>
          <w:i w:val="1"/>
          <w:iCs w:val="1"/>
          <w:color w:val="auto"/>
        </w:rPr>
        <w:t>ubiquitinated RIP1 and RIP2</w:t>
      </w:r>
      <w:r>
        <w:rPr>
          <w:rFonts w:ascii="Arial" w:cs="Arial" w:eastAsia="Arial" w:hAnsi="Arial"/>
          <w:sz w:val="18"/>
          <w:szCs w:val="18"/>
          <w:color w:val="auto"/>
        </w:rPr>
        <w:t>” published in Volume 17, Issue 819 of Science Signaling, to have elevated levels of ubiquitin side chains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non-IBD patients, suggesting that RIPK2 was activated in IBD patients.</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Increased Levels of Activated (Ubiquitinated) RIPK2 in Patients with UC and Crohn’s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163195</wp:posOffset>
            </wp:positionV>
            <wp:extent cx="2400300" cy="18516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0030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Statistical significance was calculated with Mann-Whitney test; *** p &lt; 0.001.</w:t>
      </w:r>
    </w:p>
    <w:p>
      <w:pPr>
        <w:spacing w:after="0" w:line="21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In an internal analysis, we used our proprietary and patented gene signature that measures levels of ribonucleic acid, or RNA, made by a specific set of genes that we believe are regulated by RIPK2, following PGN stimulation. We refer to such levels using gene set variation analysis, or GSVA, of the RIPK2 gene signature. The chart below illustrates the results of a preclinical analysis, using third-party data from UC and Crohn’s disease patients in “</w:t>
      </w:r>
      <w:r>
        <w:rPr>
          <w:rFonts w:ascii="Arial" w:cs="Arial" w:eastAsia="Arial" w:hAnsi="Arial"/>
          <w:sz w:val="18"/>
          <w:szCs w:val="18"/>
          <w:i w:val="1"/>
          <w:iCs w:val="1"/>
          <w:color w:val="auto"/>
        </w:rPr>
        <w:t>Ulcerative colitis mucosal transcriptomes reveal mitochondriopathy and personalized</w:t>
      </w:r>
      <w:r>
        <w:rPr>
          <w:rFonts w:ascii="Arial" w:cs="Arial" w:eastAsia="Arial" w:hAnsi="Arial"/>
          <w:sz w:val="18"/>
          <w:szCs w:val="18"/>
          <w:color w:val="auto"/>
        </w:rPr>
        <w:t xml:space="preserve"> </w:t>
      </w:r>
      <w:r>
        <w:rPr>
          <w:rFonts w:ascii="Arial" w:cs="Arial" w:eastAsia="Arial" w:hAnsi="Arial"/>
          <w:sz w:val="18"/>
          <w:szCs w:val="18"/>
          <w:i w:val="1"/>
          <w:iCs w:val="1"/>
          <w:color w:val="auto"/>
        </w:rPr>
        <w:t>mechanisms underlying disease severity and treatment response</w:t>
      </w:r>
      <w:r>
        <w:rPr>
          <w:rFonts w:ascii="Arial" w:cs="Arial" w:eastAsia="Arial" w:hAnsi="Arial"/>
          <w:sz w:val="18"/>
          <w:szCs w:val="18"/>
          <w:color w:val="auto"/>
        </w:rPr>
        <w:t>” published in Volume 10 of Nature Communications and in</w:t>
      </w:r>
      <w:r>
        <w:rPr>
          <w:rFonts w:ascii="Arial" w:cs="Arial" w:eastAsia="Arial" w:hAnsi="Arial"/>
          <w:sz w:val="18"/>
          <w:szCs w:val="18"/>
          <w:i w:val="1"/>
          <w:iCs w:val="1"/>
          <w:color w:val="auto"/>
        </w:rPr>
        <w:t xml:space="preserve"> “IL-1-driven stromal–neutrophil interactions define a subset of patients with inflammatory bowel disease that does not respond to therapies” </w:t>
      </w:r>
      <w:r>
        <w:rPr>
          <w:rFonts w:ascii="Arial" w:cs="Arial" w:eastAsia="Arial" w:hAnsi="Arial"/>
          <w:sz w:val="18"/>
          <w:szCs w:val="18"/>
          <w:color w:val="auto"/>
        </w:rPr>
        <w:t>published</w:t>
      </w:r>
      <w:r>
        <w:rPr>
          <w:rFonts w:ascii="Arial" w:cs="Arial" w:eastAsia="Arial" w:hAnsi="Arial"/>
          <w:sz w:val="18"/>
          <w:szCs w:val="18"/>
          <w:i w:val="1"/>
          <w:iCs w:val="1"/>
          <w:color w:val="auto"/>
        </w:rPr>
        <w:t xml:space="preserve"> </w:t>
      </w:r>
      <w:r>
        <w:rPr>
          <w:rFonts w:ascii="Arial" w:cs="Arial" w:eastAsia="Arial" w:hAnsi="Arial"/>
          <w:sz w:val="18"/>
          <w:szCs w:val="18"/>
          <w:color w:val="auto"/>
        </w:rPr>
        <w:t>in Volume 27 of Nature Medicine, and deposited in the Gene Expression Omnibus, that we conducted with a proprietary gene signature that shows RIPK2 dependent gene expression in intestinal biopsies from UC and Crohn’s disease patients compared to healthy subjects. In this analysis, we observed that UC and Crohn’s disease patients, and in particular patients in the more severe disease categories, had a greater incidence of the RIPK2 GSVA (i.e., RIPK2 gene activation).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left="440"/>
        <w:spacing w:after="0" w:line="281" w:lineRule="auto"/>
        <w:rPr>
          <w:sz w:val="20"/>
          <w:szCs w:val="20"/>
          <w:color w:val="auto"/>
        </w:rPr>
      </w:pPr>
      <w:r>
        <w:rPr>
          <w:rFonts w:ascii="Arial" w:cs="Arial" w:eastAsia="Arial" w:hAnsi="Arial"/>
          <w:sz w:val="18"/>
          <w:szCs w:val="18"/>
          <w:b w:val="1"/>
          <w:bCs w:val="1"/>
          <w:color w:val="auto"/>
        </w:rPr>
        <w:t>Expression of Genes Induced by Active RIPK2 was Increased in Patient Biopsies from UC and Crohn’s Disease Patients; Highest Expression Observed in Moderate and Severe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175895</wp:posOffset>
            </wp:positionV>
            <wp:extent cx="4457700" cy="2057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57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40" w:right="20"/>
        <w:spacing w:after="0" w:line="265" w:lineRule="auto"/>
        <w:rPr>
          <w:sz w:val="20"/>
          <w:szCs w:val="20"/>
          <w:color w:val="auto"/>
        </w:rPr>
      </w:pPr>
      <w:r>
        <w:rPr>
          <w:rFonts w:ascii="Arial" w:cs="Arial" w:eastAsia="Arial" w:hAnsi="Arial"/>
          <w:sz w:val="16"/>
          <w:szCs w:val="16"/>
          <w:i w:val="1"/>
          <w:iCs w:val="1"/>
          <w:color w:val="auto"/>
        </w:rPr>
        <w:t>The dashed line indicates 99th percentile of the patient’s t-distribution derived from the healthy control group (GSVA cutoff for the panel of UC=0.46 and Crohn’s disease=0.42). This value was used as a cutoff for patient-level determination of elevated RIPK2 signaling. Statistical significance was calculated with a Mann Whitney U-Test.</w:t>
      </w:r>
    </w:p>
    <w:p>
      <w:pPr>
        <w:spacing w:after="0" w:line="167"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have also measured our proprietary RIPK2 gene signature in a preclinical study of IBD patient biopsy samples both before and after treatment with approved drugs used to treat IBD. In this study and as set forth in and below the following figure, we observed that RIPK2 GSVA levels had a statistically significant decrease following treatment with several standard of care IBD therapies (infliximab, vedolizumab and ustekinumab) in a majority of patients who responded to treatment, whereas pre- and post-treatment GSVA levels were statistically indistinguishable in a majority of patients who did not respond to treatment. Based on our observations, we believe that RIPK2 is activated in most IBD patients before treatment and remains activated in IBD patients who fail to respond to approved IBD therapies. We believe inhibiting RIPK2 as a treatment method has the potential to serve as a first-line therapy for patients with moderate to severe IBD and as a second-line treatment in patients who have been previously treated but have not responded to standard of care therapies, including infliximab, vedolizumab or ustekinumab.</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charts below show the results of an analysis we conducted on public data sets described below.</w:t>
      </w:r>
    </w:p>
    <w:p>
      <w:pPr>
        <w:spacing w:after="0" w:line="320" w:lineRule="exact"/>
        <w:rPr>
          <w:sz w:val="20"/>
          <w:szCs w:val="20"/>
          <w:color w:val="auto"/>
        </w:rPr>
      </w:pPr>
    </w:p>
    <w:p>
      <w:pPr>
        <w:jc w:val="center"/>
        <w:ind w:left="500" w:right="20"/>
        <w:spacing w:after="0" w:line="281" w:lineRule="auto"/>
        <w:rPr>
          <w:sz w:val="20"/>
          <w:szCs w:val="20"/>
          <w:color w:val="auto"/>
        </w:rPr>
      </w:pPr>
      <w:r>
        <w:rPr>
          <w:rFonts w:ascii="Arial" w:cs="Arial" w:eastAsia="Arial" w:hAnsi="Arial"/>
          <w:sz w:val="18"/>
          <w:szCs w:val="18"/>
          <w:b w:val="1"/>
          <w:bCs w:val="1"/>
          <w:color w:val="auto"/>
        </w:rPr>
        <w:t>Observed RIPK2 Gene Signature Expression Rates Remained Elevated in Non-Responders to Currently Available Therapies vs. Responding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175895</wp:posOffset>
            </wp:positionV>
            <wp:extent cx="5194935" cy="1482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9493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480" w:right="20"/>
        <w:spacing w:after="0" w:line="252" w:lineRule="auto"/>
        <w:rPr>
          <w:sz w:val="20"/>
          <w:szCs w:val="20"/>
          <w:color w:val="auto"/>
        </w:rPr>
      </w:pPr>
      <w:r>
        <w:rPr>
          <w:rFonts w:ascii="Arial" w:cs="Arial" w:eastAsia="Arial" w:hAnsi="Arial"/>
          <w:sz w:val="16"/>
          <w:szCs w:val="16"/>
          <w:i w:val="1"/>
          <w:iCs w:val="1"/>
          <w:color w:val="auto"/>
        </w:rPr>
        <w:t>The infliximab and vedolizumab datasets used inflamed mucosal tissue and all patients in the dataset were included in the analysis. The ustekinumab dataset used uninflamed mucosal tissue and therefore the analysis was performed on a subset of patients (53%) having evidence of RIPK2 activation at baseline (GSVA score &gt; 0.1).</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Note: ** = p &lt; 0.01; *** = p &lt; 0.001; n.s. = not significant.</w:t>
      </w:r>
    </w:p>
    <w:p>
      <w:pPr>
        <w:spacing w:after="0" w:line="207" w:lineRule="exact"/>
        <w:rPr>
          <w:sz w:val="20"/>
          <w:szCs w:val="20"/>
          <w:color w:val="auto"/>
        </w:rPr>
      </w:pPr>
    </w:p>
    <w:p>
      <w:pPr>
        <w:jc w:val="both"/>
        <w:ind w:left="260" w:right="20" w:hanging="57"/>
        <w:spacing w:after="0" w:line="252" w:lineRule="auto"/>
        <w:rPr>
          <w:sz w:val="20"/>
          <w:szCs w:val="20"/>
          <w:color w:val="auto"/>
        </w:rPr>
      </w:pPr>
      <w:r>
        <w:rPr>
          <w:rFonts w:ascii="Arial" w:cs="Arial" w:eastAsia="Arial" w:hAnsi="Arial"/>
          <w:sz w:val="16"/>
          <w:szCs w:val="16"/>
          <w:i w:val="1"/>
          <w:iCs w:val="1"/>
          <w:color w:val="auto"/>
        </w:rPr>
        <w:t>The infliximab dataset included samples from 12 healthy subjects as a comparator (mean signature score = -0.71). The gene signature was observed to decrease selectively in responder populations post-treatment (n=8, mean pre-treatment score=0.23, mean post-treatment score=-0.61). At 80% power and p=0.05 significance, the analysis was designed to be sufficient to detect significant decreases to less than a mean post-treatment score of -0.22.</w:t>
      </w:r>
    </w:p>
    <w:p>
      <w:pPr>
        <w:spacing w:after="0" w:line="1" w:lineRule="exact"/>
        <w:rPr>
          <w:sz w:val="20"/>
          <w:szCs w:val="20"/>
          <w:color w:val="auto"/>
        </w:rPr>
      </w:pPr>
    </w:p>
    <w:p>
      <w:pPr>
        <w:jc w:val="center"/>
        <w:ind w:left="480" w:right="120"/>
        <w:spacing w:after="0" w:line="256" w:lineRule="auto"/>
        <w:rPr>
          <w:sz w:val="20"/>
          <w:szCs w:val="20"/>
          <w:color w:val="auto"/>
        </w:rPr>
      </w:pPr>
      <w:r>
        <w:rPr>
          <w:rFonts w:ascii="Arial" w:cs="Arial" w:eastAsia="Arial" w:hAnsi="Arial"/>
          <w:sz w:val="16"/>
          <w:szCs w:val="16"/>
          <w:i w:val="1"/>
          <w:iCs w:val="1"/>
          <w:color w:val="auto"/>
        </w:rPr>
        <w:t>There was no significant decrease observed in the non-responder populations post-treatment (n=15, mean pre-treatment-score =0.54, mean post-treatment score=0.22. At 80% power and p=0.05 significance, the analysis was designed to be sufficient to detect significant decreases to less than a mean post-treatment score of 0.076.</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The vedolizumab dataset included samples from 12 healthy subjects as a comparator (mean signature score = -0.71). The gene signature was observed</w:t>
      </w:r>
    </w:p>
    <w:p>
      <w:pPr>
        <w:spacing w:after="0" w:line="19" w:lineRule="exact"/>
        <w:rPr>
          <w:sz w:val="20"/>
          <w:szCs w:val="20"/>
          <w:color w:val="auto"/>
        </w:rPr>
      </w:pPr>
    </w:p>
    <w:p>
      <w:pPr>
        <w:jc w:val="center"/>
        <w:ind w:left="500" w:right="40"/>
        <w:spacing w:after="0" w:line="251" w:lineRule="auto"/>
        <w:rPr>
          <w:sz w:val="20"/>
          <w:szCs w:val="20"/>
          <w:color w:val="auto"/>
        </w:rPr>
      </w:pPr>
      <w:r>
        <w:rPr>
          <w:rFonts w:ascii="Arial" w:cs="Arial" w:eastAsia="Arial" w:hAnsi="Arial"/>
          <w:sz w:val="16"/>
          <w:szCs w:val="16"/>
          <w:i w:val="1"/>
          <w:iCs w:val="1"/>
          <w:color w:val="auto"/>
        </w:rPr>
        <w:t>to decrease selectively in responder populations post-treatment (n=16, mean pre-treatment score=0.10, mean post-treatment score=-0.60). At 80% power and p=0.05 significance, the analysis was designed to be sufficient to detect significant decreases to less than a mean post-treatment score of -0.27. There was no significant decrease observed in the non-responder populations post-treatment (n=6, mean pre-treatment-score =0.26, mean post-treatment score=0.33. At 80% power and p=0.05 significance, the analysis was designed to be sufficient to detect significant decreases to less than a mean post-treatment score of -0.78.</w:t>
      </w:r>
    </w:p>
    <w:p>
      <w:pPr>
        <w:spacing w:after="0" w:line="185" w:lineRule="exact"/>
        <w:rPr>
          <w:sz w:val="20"/>
          <w:szCs w:val="20"/>
          <w:color w:val="auto"/>
        </w:rPr>
      </w:pPr>
    </w:p>
    <w:p>
      <w:pPr>
        <w:jc w:val="center"/>
        <w:ind w:left="480"/>
        <w:spacing w:after="0" w:line="254" w:lineRule="auto"/>
        <w:rPr>
          <w:sz w:val="20"/>
          <w:szCs w:val="20"/>
          <w:color w:val="auto"/>
        </w:rPr>
      </w:pPr>
      <w:r>
        <w:rPr>
          <w:rFonts w:ascii="Arial" w:cs="Arial" w:eastAsia="Arial" w:hAnsi="Arial"/>
          <w:sz w:val="16"/>
          <w:szCs w:val="16"/>
          <w:i w:val="1"/>
          <w:iCs w:val="1"/>
          <w:color w:val="auto"/>
        </w:rPr>
        <w:t>The ustekinumab dataset included samples from 26 healthy subjects as a comparator (mean signature score = -0.29). The gene signature was observed to decrease selectively in responder populations post-treatment (n=17, mean pre-treatment score=0.44, post-treatment score=0.038). At 80% power and p=0.05 significance, the analysis was designed to be sufficient to detect significant decreases to less than a mean post-treatment score of 0.052. There was no significant decrease observed in the non-responder populations post-treatment (n=8, mean pre-treatment-score =0.57, mean post-treatment score=0.37. At 80% power and p=0.05 significance, the analysis was designed to be sufficient to detect significant decreases to less than a mean post-treatment score of -0.049.</w:t>
      </w:r>
    </w:p>
    <w:p>
      <w:pPr>
        <w:spacing w:after="0" w:line="17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another preclinical study reflected below, we evaluated inflammatory and fibrotic gene expression in human IBD biopsies treated with OD-07656. Multiple biopsies from inflamed mucosa of IBD patients were collected and cultured with either 1</w:t>
      </w:r>
      <w:r>
        <w:rPr>
          <w:rFonts w:ascii="Times New Roman" w:cs="Times New Roman" w:eastAsia="Times New Roman" w:hAnsi="Times New Roman"/>
          <w:sz w:val="18"/>
          <w:szCs w:val="18"/>
          <w:color w:val="auto"/>
        </w:rPr>
        <w:t>m</w:t>
      </w:r>
      <w:r>
        <w:rPr>
          <w:rFonts w:ascii="Arial" w:cs="Arial" w:eastAsia="Arial" w:hAnsi="Arial"/>
          <w:sz w:val="18"/>
          <w:szCs w:val="18"/>
          <w:color w:val="auto"/>
        </w:rPr>
        <w:t>M of OD-07656 or vehicle control, followed by gene expression analysis using RNA sequencing. We observed a statistically significant reduction in the RIPK2 gene signature relative to random permutations. In addition, we assessed the treatment effect of OD-07656 using published gene expression profiles associated with activation of inflammatory and fibrosis pathways. We observed a statistically significant reduction in an inflammatory monocyte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5"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8" w:lineRule="auto"/>
        <w:rPr>
          <w:sz w:val="20"/>
          <w:szCs w:val="20"/>
          <w:color w:val="auto"/>
        </w:rPr>
      </w:pPr>
      <w:r>
        <w:rPr>
          <w:rFonts w:ascii="Arial" w:cs="Arial" w:eastAsia="Arial" w:hAnsi="Arial"/>
          <w:sz w:val="17"/>
          <w:szCs w:val="17"/>
          <w:color w:val="auto"/>
        </w:rPr>
        <w:t>signature (M5) and an inflammatory fibroblast signature (M4) reported in “</w:t>
      </w:r>
      <w:r>
        <w:rPr>
          <w:rFonts w:ascii="Arial" w:cs="Arial" w:eastAsia="Arial" w:hAnsi="Arial"/>
          <w:sz w:val="17"/>
          <w:szCs w:val="17"/>
          <w:i w:val="1"/>
          <w:iCs w:val="1"/>
          <w:color w:val="auto"/>
        </w:rPr>
        <w:t>IL-1-driven stromal–neutrophil interactions define a subset of</w:t>
      </w:r>
      <w:r>
        <w:rPr>
          <w:rFonts w:ascii="Arial" w:cs="Arial" w:eastAsia="Arial" w:hAnsi="Arial"/>
          <w:sz w:val="17"/>
          <w:szCs w:val="17"/>
          <w:color w:val="auto"/>
        </w:rPr>
        <w:t xml:space="preserve"> </w:t>
      </w:r>
      <w:r>
        <w:rPr>
          <w:rFonts w:ascii="Arial" w:cs="Arial" w:eastAsia="Arial" w:hAnsi="Arial"/>
          <w:sz w:val="17"/>
          <w:szCs w:val="17"/>
          <w:i w:val="1"/>
          <w:iCs w:val="1"/>
          <w:color w:val="auto"/>
        </w:rPr>
        <w:t>patients with inflammatory bowel disease that does not respond to therapies</w:t>
      </w:r>
      <w:r>
        <w:rPr>
          <w:rFonts w:ascii="Arial" w:cs="Arial" w:eastAsia="Arial" w:hAnsi="Arial"/>
          <w:sz w:val="17"/>
          <w:szCs w:val="17"/>
          <w:color w:val="auto"/>
        </w:rPr>
        <w:t>” published in Volume 27 of Nature Medicine, a TNF-mediated</w:t>
      </w:r>
      <w:r>
        <w:rPr>
          <w:rFonts w:ascii="Arial" w:cs="Arial" w:eastAsia="Arial" w:hAnsi="Arial"/>
          <w:sz w:val="17"/>
          <w:szCs w:val="17"/>
          <w:i w:val="1"/>
          <w:iCs w:val="1"/>
          <w:color w:val="auto"/>
        </w:rPr>
        <w:t xml:space="preserve"> </w:t>
      </w:r>
      <w:r>
        <w:rPr>
          <w:rFonts w:ascii="Arial" w:cs="Arial" w:eastAsia="Arial" w:hAnsi="Arial"/>
          <w:sz w:val="17"/>
          <w:szCs w:val="17"/>
          <w:color w:val="auto"/>
        </w:rPr>
        <w:t>inflammation signature, defined as the union between sets N00446 (TNF-jun N-terminal kinases, or JNK), N00444 (TNF-p38), and N00151 (TNF-NF-</w:t>
      </w:r>
      <w:r>
        <w:rPr>
          <w:rFonts w:ascii="Times New Roman" w:cs="Times New Roman" w:eastAsia="Times New Roman" w:hAnsi="Times New Roman"/>
          <w:sz w:val="17"/>
          <w:szCs w:val="17"/>
          <w:color w:val="auto"/>
        </w:rPr>
        <w:t>k</w:t>
      </w:r>
      <w:r>
        <w:rPr>
          <w:rFonts w:ascii="Arial" w:cs="Arial" w:eastAsia="Arial" w:hAnsi="Arial"/>
          <w:sz w:val="17"/>
          <w:szCs w:val="17"/>
          <w:color w:val="auto"/>
        </w:rPr>
        <w:t>B) (KEGG pathway) and in a Crohn’s disease-penetrating fibrosis dataset published by “</w:t>
      </w:r>
      <w:r>
        <w:rPr>
          <w:rFonts w:ascii="Arial" w:cs="Arial" w:eastAsia="Arial" w:hAnsi="Arial"/>
          <w:sz w:val="17"/>
          <w:szCs w:val="17"/>
          <w:i w:val="1"/>
          <w:iCs w:val="1"/>
          <w:color w:val="auto"/>
        </w:rPr>
        <w:t>Reverse translation approach</w:t>
      </w:r>
    </w:p>
    <w:p>
      <w:pPr>
        <w:ind w:left="120" w:right="140"/>
        <w:spacing w:after="0" w:line="250" w:lineRule="auto"/>
        <w:rPr>
          <w:sz w:val="20"/>
          <w:szCs w:val="20"/>
          <w:color w:val="auto"/>
        </w:rPr>
      </w:pPr>
      <w:r>
        <w:rPr>
          <w:rFonts w:ascii="Arial" w:cs="Arial" w:eastAsia="Arial" w:hAnsi="Arial"/>
          <w:sz w:val="18"/>
          <w:szCs w:val="18"/>
          <w:i w:val="1"/>
          <w:iCs w:val="1"/>
          <w:color w:val="auto"/>
        </w:rPr>
        <w:t>generates a signature of penetrating fibrosis in Crohn’s disease that is associated with anti-TNF response</w:t>
      </w:r>
      <w:r>
        <w:rPr>
          <w:rFonts w:ascii="Arial" w:cs="Arial" w:eastAsia="Arial" w:hAnsi="Arial"/>
          <w:sz w:val="18"/>
          <w:szCs w:val="18"/>
          <w:color w:val="auto"/>
        </w:rPr>
        <w:t>” published in Volume 71, Issue</w:t>
      </w:r>
      <w:r>
        <w:rPr>
          <w:rFonts w:ascii="Arial" w:cs="Arial" w:eastAsia="Arial" w:hAnsi="Arial"/>
          <w:sz w:val="18"/>
          <w:szCs w:val="18"/>
          <w:i w:val="1"/>
          <w:iCs w:val="1"/>
          <w:color w:val="auto"/>
        </w:rPr>
        <w:t xml:space="preserve"> </w:t>
      </w:r>
      <w:r>
        <w:rPr>
          <w:rFonts w:ascii="Arial" w:cs="Arial" w:eastAsia="Arial" w:hAnsi="Arial"/>
          <w:sz w:val="18"/>
          <w:szCs w:val="18"/>
          <w:color w:val="auto"/>
        </w:rPr>
        <w:t>7 of Gut.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RIPK2 Inhibition Reduced Expression of Inflammation and Fibrosis-Associated Gene 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223520</wp:posOffset>
            </wp:positionV>
            <wp:extent cx="2623185" cy="32746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2318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line="254" w:lineRule="auto"/>
        <w:rPr>
          <w:sz w:val="20"/>
          <w:szCs w:val="20"/>
          <w:color w:val="auto"/>
        </w:rPr>
      </w:pPr>
      <w:r>
        <w:rPr>
          <w:rFonts w:ascii="Arial" w:cs="Arial" w:eastAsia="Arial" w:hAnsi="Arial"/>
          <w:sz w:val="16"/>
          <w:szCs w:val="16"/>
          <w:i w:val="1"/>
          <w:iCs w:val="1"/>
          <w:color w:val="auto"/>
        </w:rPr>
        <w:t>The figure above depicts data from a total of nine biopsy pairs across seven patients (Crohn’s disease, n=3; UC, n=4). The barplots indicate fold-change in expression of gene sets between OD-07656 treatment and control, error bars indicate standard deviation and p-values indicate enrichment of gene sets among downregulated genes. To calculate p-values relative to fold-change distributions, genes were randomly permuted 1000 times with a total of 20 genes in each permutation. Average-fold-change was calculated for each permutation, creating a null distribution from which the p-value was determined. The fold-change cutoff for p=0.05 significance is -0.30. Average-fold-change in each of the gene sets listed in the figure in order of left to right is -0.51, -0.38, -0.47, -0.48 and -0.68, and average fold-changes in each gene set included above were statistically significant.</w:t>
      </w:r>
    </w:p>
    <w:p>
      <w:pPr>
        <w:spacing w:after="0" w:line="175" w:lineRule="exact"/>
        <w:rPr>
          <w:sz w:val="20"/>
          <w:szCs w:val="20"/>
          <w:color w:val="auto"/>
        </w:rPr>
      </w:pPr>
    </w:p>
    <w:p>
      <w:pPr>
        <w:jc w:val="both"/>
        <w:ind w:left="120" w:right="80" w:firstLine="551"/>
        <w:spacing w:after="0" w:line="253" w:lineRule="auto"/>
        <w:rPr>
          <w:sz w:val="20"/>
          <w:szCs w:val="20"/>
          <w:color w:val="auto"/>
        </w:rPr>
      </w:pPr>
      <w:r>
        <w:rPr>
          <w:rFonts w:ascii="Arial" w:cs="Arial" w:eastAsia="Arial" w:hAnsi="Arial"/>
          <w:sz w:val="18"/>
          <w:szCs w:val="18"/>
          <w:color w:val="auto"/>
        </w:rPr>
        <w:t>Based on the observations described above, we believe that RIPK2 was active in patients with IBD and that sustained RIPK2 gene expression in patients non-responsive to standard of care therapies suggests this pathway may be responsible for resistance. In addition, we believe the concordance between decreases in the RIPK2 gene signature and published gene signatures of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inflammation and fibrosis following treatment with OD-07656 suggests potential benefits on reducing inflammatory signaling and fibrosis. We believe that reducing fibrosis in IBD patients may prevent serious long-term manifestations of the disease that are linked to surgical interventions and morbidity.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Solution—RIPK2 Scaffolding Inhibitor (OD-07656)</w:t>
      </w:r>
    </w:p>
    <w:p>
      <w:pPr>
        <w:spacing w:after="0" w:line="102"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OD-07656 is designed to be an advanced oral therapy that is amenable for broad use in moderate to severe IBD patients, either as monotherapy or in combination. By blocking RIPK2 scaffolding with XIAP, which we believe is critical to downstream pathway signaling and activation of proinflammatory cells of both the innate and adaptive immune systems, OD-07656 is designed to inhibit cytokine and chemokine production that activate the adaptive immune system and propagate the inflammatory response to reduce inflammation in the gut and allow the epithelial lining of the GI tract to heal. OD-07656 is also designed to downregulate activity of innate immune system effector cells, such as neutrophils, which have been shown to directly damage the GI tract.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Preclinical Data</w:t>
      </w:r>
    </w:p>
    <w:p>
      <w:pPr>
        <w:spacing w:after="0" w:line="102"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 xml:space="preserve">We have conducted a number of preclinical studies to examine the role of RIPK2 and OD-07656 and we believe our preclinical data supports the potential of OD-07656 as an oral treatment to suppress microbial signaling from PGN and reduce amplification of the innate immune response following exposure to microbiota, with potential to be used as a monotherapy or combination therapy. In our preclinical studies, we observed that RIPK2 inhibition has the potential to be additive or synergistic with standard of care therapies to reduce cytokine production, which may improve remission rates and prevent the development of resistance. Finally, the effects of RIPK2 scaffolding inhibition using OD-07656 in our preclinical observations to date have been consistent across healthy and diseased human cells and potency in human cells was observed to be generally consistent with activity in murine cells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which enables development of </w:t>
      </w:r>
      <w:r>
        <w:rPr>
          <w:rFonts w:ascii="Arial" w:cs="Arial" w:eastAsia="Arial" w:hAnsi="Arial"/>
          <w:sz w:val="17"/>
          <w:szCs w:val="17"/>
          <w:i w:val="1"/>
          <w:iCs w:val="1"/>
          <w:color w:val="auto"/>
        </w:rPr>
        <w:t>in vitro-in vivo</w:t>
      </w:r>
      <w:r>
        <w:rPr>
          <w:rFonts w:ascii="Arial" w:cs="Arial" w:eastAsia="Arial" w:hAnsi="Arial"/>
          <w:sz w:val="17"/>
          <w:szCs w:val="17"/>
          <w:color w:val="auto"/>
        </w:rPr>
        <w:t xml:space="preserve"> correlations to inform dose selection and assessment of a PK-PD relationship in clinical development.</w:t>
      </w:r>
    </w:p>
    <w:p>
      <w:pPr>
        <w:spacing w:after="0" w:line="168"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As part of our preclinical development, we conducted a study where we stimulated human monocytes or a human NOD2 reporter cell line with a NOD2 agonist and treated either with OD-07656 or a RIPK2 kinase inhibitor that entered third-party clinical trials, which we refer to as RIPK2 Kinase Inhibitor 1, to measure potential differences in impact on RIPK2 inhibition. RIPK2 Kinase Inhibitor 1 is a compound described in the article titled “</w:t>
      </w:r>
      <w:r>
        <w:rPr>
          <w:rFonts w:ascii="Arial" w:cs="Arial" w:eastAsia="Arial" w:hAnsi="Arial"/>
          <w:sz w:val="18"/>
          <w:szCs w:val="18"/>
          <w:i w:val="1"/>
          <w:iCs w:val="1"/>
          <w:color w:val="auto"/>
        </w:rPr>
        <w:t>Discovery of a First-in-Class Receptor Interacting Protein 2 (RIP2) Kinase Specific Clinical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 2-((4-(Benzo[d]thiazol-5-ylamino)-6-(tert-butylsulfonyl)quinazolin-7-yl)oxy)ethyl Dihydrogen Phosphate, for the Treatment of Inflammatory Diseases” </w:t>
      </w:r>
      <w:r>
        <w:rPr>
          <w:rFonts w:ascii="Arial" w:cs="Arial" w:eastAsia="Arial" w:hAnsi="Arial"/>
          <w:sz w:val="18"/>
          <w:szCs w:val="18"/>
          <w:color w:val="auto"/>
        </w:rPr>
        <w:t>published in Volume 62, Issue 14 of the Journal of Medicinal Chemistry. The comparisons and results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using the RIPK2 kinase inhibitor may differ in material ways from third-party studies that use such inhibitor. In our study comparing OD-07656 and RIPK2 Kinase Inhibitor 1, we observed differentiation of our scaffolding approach on RIPK2 activation (ubiquitination) and on multiple downstream steps indicative of RIPK2 pathway activity (e.g., NF-</w:t>
      </w:r>
      <w:r>
        <w:rPr>
          <w:rFonts w:ascii="Times New Roman" w:cs="Times New Roman" w:eastAsia="Times New Roman" w:hAnsi="Times New Roman"/>
          <w:sz w:val="18"/>
          <w:szCs w:val="18"/>
          <w:color w:val="auto"/>
        </w:rPr>
        <w:t>k</w:t>
      </w:r>
      <w:r>
        <w:rPr>
          <w:rFonts w:ascii="Arial" w:cs="Arial" w:eastAsia="Arial" w:hAnsi="Arial"/>
          <w:sz w:val="18"/>
          <w:szCs w:val="18"/>
          <w:color w:val="auto"/>
        </w:rPr>
        <w:t>B activation and phosphorylation of p38 and JNK) from RIPK2 Kinase Inhibitor 1 under the same conditions. The graphics below illustrate the results from our study. As set forth below, we observed a blockade of downstream activation steps by scaffolding inhibition but not kinase inhibition at concentrations of 33 nM and above. Even at concentrations up to 1000 nM, the kinase inhibitor did not show greater than 50% inhibition of NF-</w:t>
      </w:r>
      <w:r>
        <w:rPr>
          <w:rFonts w:ascii="Times New Roman" w:cs="Times New Roman" w:eastAsia="Times New Roman" w:hAnsi="Times New Roman"/>
          <w:sz w:val="18"/>
          <w:szCs w:val="18"/>
          <w:color w:val="auto"/>
        </w:rPr>
        <w:t>k</w:t>
      </w:r>
      <w:r>
        <w:rPr>
          <w:rFonts w:ascii="Arial" w:cs="Arial" w:eastAsia="Arial" w:hAnsi="Arial"/>
          <w:sz w:val="18"/>
          <w:szCs w:val="18"/>
          <w:color w:val="auto"/>
        </w:rPr>
        <w:t>B, a transcription factor believed to play a key role in inflammatory processes.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OD-07656 Scaffolding Inhibition Reduced RIPK2 Activation (Ubiquitination) for Downstream Signaling (MAPK, JNK, NF-</w:t>
      </w:r>
      <w:r>
        <w:rPr>
          <w:rFonts w:ascii="Times New Roman" w:cs="Times New Roman" w:eastAsia="Times New Roman" w:hAnsi="Times New Roman"/>
          <w:sz w:val="18"/>
          <w:szCs w:val="18"/>
          <w:color w:val="auto"/>
        </w:rPr>
        <w:t>k</w:t>
      </w: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231775</wp:posOffset>
            </wp:positionV>
            <wp:extent cx="5194935" cy="2040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9493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460" w:right="60"/>
        <w:spacing w:after="0" w:line="255" w:lineRule="auto"/>
        <w:rPr>
          <w:sz w:val="20"/>
          <w:szCs w:val="20"/>
          <w:color w:val="auto"/>
        </w:rPr>
      </w:pPr>
      <w:r>
        <w:rPr>
          <w:rFonts w:ascii="Arial" w:cs="Arial" w:eastAsia="Arial" w:hAnsi="Arial"/>
          <w:sz w:val="16"/>
          <w:szCs w:val="16"/>
          <w:i w:val="1"/>
          <w:iCs w:val="1"/>
          <w:color w:val="auto"/>
        </w:rPr>
        <w:t>Left panel: Activated human macrophages were stimulated with the PGN fragment L18-MDP, a NOD2 agonist, for 30 minutes. RIPK2 ubiquitination was measured by immunoprecipitation of total ubiquitinated proteins using a ubiquitin specific antibody (anti-FK2) followed by detection of RIPK2 by</w:t>
      </w:r>
    </w:p>
    <w:p>
      <w:pPr>
        <w:spacing w:after="0" w:line="1" w:lineRule="exact"/>
        <w:rPr>
          <w:sz w:val="20"/>
          <w:szCs w:val="20"/>
          <w:color w:val="auto"/>
        </w:rPr>
      </w:pPr>
    </w:p>
    <w:p>
      <w:pPr>
        <w:jc w:val="center"/>
        <w:ind w:left="440" w:right="80"/>
        <w:spacing w:after="0" w:line="256" w:lineRule="auto"/>
        <w:rPr>
          <w:sz w:val="20"/>
          <w:szCs w:val="20"/>
          <w:color w:val="auto"/>
        </w:rPr>
      </w:pPr>
      <w:r>
        <w:rPr>
          <w:rFonts w:ascii="Arial" w:cs="Arial" w:eastAsia="Arial" w:hAnsi="Arial"/>
          <w:sz w:val="16"/>
          <w:szCs w:val="16"/>
          <w:i w:val="1"/>
          <w:iCs w:val="1"/>
          <w:color w:val="auto"/>
        </w:rPr>
        <w:t>immunoblot. RIPK2 pathway activation was then assessed by measuring phosphorylation, a measure of cell signaling, of p38, phosphorylation of JNK, and degradation of IkB ± using immunoblot of indicated proteins in whole cell lysate. Data from a single representative experiment shown above; RIPK2 ubiquitination was observed in two independent experiments and RIPK2 pathway activation was observed in three independent experiments.</w:t>
      </w:r>
    </w:p>
    <w:p>
      <w:pPr>
        <w:spacing w:after="0" w:line="180" w:lineRule="exact"/>
        <w:rPr>
          <w:sz w:val="20"/>
          <w:szCs w:val="20"/>
          <w:color w:val="auto"/>
        </w:rPr>
      </w:pPr>
    </w:p>
    <w:p>
      <w:pPr>
        <w:jc w:val="center"/>
        <w:ind w:left="440" w:right="120"/>
        <w:spacing w:after="0" w:line="283" w:lineRule="auto"/>
        <w:rPr>
          <w:sz w:val="20"/>
          <w:szCs w:val="20"/>
          <w:color w:val="auto"/>
        </w:rPr>
      </w:pPr>
      <w:r>
        <w:rPr>
          <w:rFonts w:ascii="Arial" w:cs="Arial" w:eastAsia="Arial" w:hAnsi="Arial"/>
          <w:sz w:val="16"/>
          <w:szCs w:val="16"/>
          <w:i w:val="1"/>
          <w:iCs w:val="1"/>
          <w:color w:val="auto"/>
        </w:rPr>
        <w:t>Right panel: HEK-Blue hNOD2 reporter cells were stimulated with the PGN fragment L18-MDP, a NOD2 agonist, for 24 hours. Average dose-response curves for OD-07656 (n=3) and a RIPK2 kinase inhibitor 1 (n=2) shown.</w:t>
      </w:r>
    </w:p>
    <w:p>
      <w:pPr>
        <w:spacing w:after="0" w:line="153"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 another preclinical study, we observed OD-07656 to achieve greater maximal inhibition of disease relevant cytokines (TNF, TL1A and IL-23) than RIPK2 Kinase Inhibitor 1 in human macrophages stimulated with PGN. The graphs below show the levels of cytokine inhibition observed following dosing with OD-07656 and RIPK2 Kinase Inhibitor 1. These graphs support our hypothesis that changing the structure of RIPK2 by blocking XIAP from binding inhibits the production of downstream proinflammatory cytokines more effectively than RIPK2 Kinase Inhibitor 1.</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OD-07656 Treatment Resulted in Greater Cytokine Inhibition vs. Kinase Inhibition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223520</wp:posOffset>
            </wp:positionV>
            <wp:extent cx="5194935" cy="1568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9493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40"/>
        <w:spacing w:after="0" w:line="283" w:lineRule="auto"/>
        <w:rPr>
          <w:sz w:val="20"/>
          <w:szCs w:val="20"/>
          <w:color w:val="auto"/>
        </w:rPr>
      </w:pPr>
      <w:r>
        <w:rPr>
          <w:rFonts w:ascii="Arial" w:cs="Arial" w:eastAsia="Arial" w:hAnsi="Arial"/>
          <w:sz w:val="16"/>
          <w:szCs w:val="16"/>
          <w:i w:val="1"/>
          <w:iCs w:val="1"/>
          <w:color w:val="auto"/>
        </w:rPr>
        <w:t>Activated human macrophages were stimulated with the PGN fragment L18-MDP, a NOD2 agonist, for 24 hours. Average dose-response curves of OD-07656 (n=3) and RIPK2 Kinase Inhibitor 1 (n=3) for inhibition of TNF, TL1A, and IL-23 shown. Average data shown as mean ± standard error of the mean.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56" w:lineRule="auto"/>
        <w:rPr>
          <w:sz w:val="20"/>
          <w:szCs w:val="20"/>
          <w:color w:val="auto"/>
        </w:rPr>
      </w:pPr>
      <w:r>
        <w:rPr>
          <w:rFonts w:ascii="Arial" w:cs="Arial" w:eastAsia="Arial" w:hAnsi="Arial"/>
          <w:sz w:val="17"/>
          <w:szCs w:val="17"/>
          <w:color w:val="auto"/>
        </w:rPr>
        <w:t>We believe OD-07656 has the potential to be a potent and selective inhibitor of PGN induced cytokine production. In another study comparing the effect of OD-07656 on TNF production from three off-target innate immune receptors, TLR5, TLR4 and TLR2, we did not observe any effect of OD-07656 on TLR induced signaling at concentrations greater than 100 times the EC</w:t>
      </w:r>
      <w:r>
        <w:rPr>
          <w:rFonts w:ascii="Arial" w:cs="Arial" w:eastAsia="Arial" w:hAnsi="Arial"/>
          <w:sz w:val="12"/>
          <w:szCs w:val="12"/>
          <w:color w:val="auto"/>
        </w:rPr>
        <w:t>90</w:t>
      </w:r>
      <w:r>
        <w:rPr>
          <w:rFonts w:ascii="Arial" w:cs="Arial" w:eastAsia="Arial" w:hAnsi="Arial"/>
          <w:sz w:val="17"/>
          <w:szCs w:val="17"/>
          <w:color w:val="auto"/>
        </w:rPr>
        <w:t>, a concentration to achieve 90% inhibition effect, for PGN mediated TNF production. We believe that this selectivity can prevent adverse immunosuppression, allowing cells to respond to other pathogenic bacteria and prevent increased infection risk. The charts below show results from this study using the indicated agonist. At OD-07656 concentrations of less than 10 nM, we observed 100% inhibition of TNF from PGN, whereas at concentrations approximately 100 times higher, 1000 nM, we observed no significant inhibition of TNF from activators of other innate immune receptors, suggesting highly potent and selective activity of OD-07656 for only NOD1 or NOD2 mediated signaling from PGN.</w:t>
      </w:r>
    </w:p>
    <w:p>
      <w:pPr>
        <w:spacing w:after="0" w:line="276" w:lineRule="exact"/>
        <w:rPr>
          <w:sz w:val="20"/>
          <w:szCs w:val="20"/>
          <w:color w:val="auto"/>
        </w:rPr>
      </w:pPr>
    </w:p>
    <w:p>
      <w:pPr>
        <w:jc w:val="center"/>
        <w:ind w:left="440" w:right="240"/>
        <w:spacing w:after="0" w:line="281" w:lineRule="auto"/>
        <w:rPr>
          <w:sz w:val="20"/>
          <w:szCs w:val="20"/>
          <w:color w:val="auto"/>
        </w:rPr>
      </w:pPr>
      <w:r>
        <w:rPr>
          <w:rFonts w:ascii="Arial" w:cs="Arial" w:eastAsia="Arial" w:hAnsi="Arial"/>
          <w:sz w:val="18"/>
          <w:szCs w:val="18"/>
          <w:b w:val="1"/>
          <w:bCs w:val="1"/>
          <w:color w:val="auto"/>
        </w:rPr>
        <w:t>OD-07656 Was Highly Selective—Capable of Inhibiting TNF from NOD2 Agonism (On-Target) While Sparing TNF Production From Off-Target Immune Receptors (TLR5, TLR4 and TLR2)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175895</wp:posOffset>
            </wp:positionV>
            <wp:extent cx="4903470" cy="12687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0347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60" w:right="60"/>
        <w:spacing w:after="0" w:line="265" w:lineRule="auto"/>
        <w:rPr>
          <w:sz w:val="20"/>
          <w:szCs w:val="20"/>
          <w:color w:val="auto"/>
        </w:rPr>
      </w:pPr>
      <w:r>
        <w:rPr>
          <w:rFonts w:ascii="Arial" w:cs="Arial" w:eastAsia="Arial" w:hAnsi="Arial"/>
          <w:sz w:val="16"/>
          <w:szCs w:val="16"/>
          <w:i w:val="1"/>
          <w:iCs w:val="1"/>
          <w:color w:val="auto"/>
        </w:rPr>
        <w:t>Human monocytes were stimulated with the indicated agonist for 24 hours. Dose-response curve of OD-07656 for inhibition of TNF following stimulation with the PGN fragment L18-MDP (n=7), flagellin (n=4), LPS (n=4), or Pam3csk4 (n=4) shown. Average data shown as mean ± standard error of the mean.</w:t>
      </w:r>
    </w:p>
    <w:p>
      <w:pPr>
        <w:spacing w:after="0" w:line="167"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Given the safety profile of OD-07656 we observed in preclinical studies, we believe that it has the potential to be combined with standard of care therapies targeting the adaptive immune system to produce greater therapeutic results for patients. Similar to the effect of RIPK2 inhibition on the exaggerated innate immune response to multiple microbial ligands, we believe RIPK2 can also modulate the exaggerated response observed when TNF is activated alongside PGN. In addition, we observed in a study that while monotherapy treatment of RIPK2 or TNF blocking agents have similar effect on IL-6 levels in murine lamina propria mononuclear cells, or LPMCs, which are mucosal membrane cells in mice, the combination of both reduces IL-6 activation to unstimulated levels.</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graphs below show the effect we observed on IL-6 levels in human monocytes stimulated with TNF or PGN or a combination of both and exposed to 100 nM of OD-07656 and murine LPMCs stimulated with phorbol 12-myristate 13-acetate, or PMA, ionomycin and PGN to mimic the simultaneous activation of the adaptive and innate immune systems. The elevated levels of IL-6 we observed when stimulated by PGN and TNF aligns with our belief of the dual roles of RIPK2 as a signal transducer and amplifier. We believe the significant decrease in IL-6 levels observed from OD-07656 alone in the human model and OD-07656 both alone and with a TNF blocker in the murine model suggests RIPK2 inhibition is important in reducing proinflammatory cytokines.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left="440" w:right="240"/>
        <w:spacing w:after="0" w:line="281" w:lineRule="auto"/>
        <w:rPr>
          <w:sz w:val="20"/>
          <w:szCs w:val="20"/>
          <w:color w:val="auto"/>
        </w:rPr>
      </w:pPr>
      <w:r>
        <w:rPr>
          <w:rFonts w:ascii="Arial" w:cs="Arial" w:eastAsia="Arial" w:hAnsi="Arial"/>
          <w:sz w:val="18"/>
          <w:szCs w:val="18"/>
          <w:b w:val="1"/>
          <w:bCs w:val="1"/>
          <w:color w:val="auto"/>
        </w:rPr>
        <w:t>Treatment with OD-07656 Reduced IL-6 Levels in PGN and TNF Stimulated Human Monocytes and in Combination with TNF Blocker (Anti-TNF) in Murine LPMC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175895</wp:posOffset>
            </wp:positionV>
            <wp:extent cx="4457700" cy="24003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577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460"/>
        <w:spacing w:after="0" w:line="265" w:lineRule="auto"/>
        <w:rPr>
          <w:sz w:val="20"/>
          <w:szCs w:val="20"/>
          <w:color w:val="auto"/>
        </w:rPr>
      </w:pPr>
      <w:r>
        <w:rPr>
          <w:rFonts w:ascii="Arial" w:cs="Arial" w:eastAsia="Arial" w:hAnsi="Arial"/>
          <w:sz w:val="16"/>
          <w:szCs w:val="16"/>
          <w:i w:val="1"/>
          <w:iCs w:val="1"/>
          <w:color w:val="auto"/>
        </w:rPr>
        <w:t>Left panel: Human monocytes were stimulated for 24 hours by PGN fragment L18-MDP, a NOD2 agonist, or recombinant human TNF or a combination of both. Data is pooled from 13 individual donors and shown as mean ± standard error of the mean. Statistical significance was calculated in GraphPad Prism 10.2.3 using one-way ANOVA; *** p &lt; 0.001, ** p &lt; 0.01, n.s. = not significant.</w:t>
      </w:r>
    </w:p>
    <w:p>
      <w:pPr>
        <w:spacing w:after="0" w:line="174" w:lineRule="exact"/>
        <w:rPr>
          <w:sz w:val="20"/>
          <w:szCs w:val="20"/>
          <w:color w:val="auto"/>
        </w:rPr>
      </w:pPr>
    </w:p>
    <w:p>
      <w:pPr>
        <w:jc w:val="center"/>
        <w:ind w:left="440" w:right="120"/>
        <w:spacing w:after="0" w:line="265" w:lineRule="auto"/>
        <w:rPr>
          <w:sz w:val="20"/>
          <w:szCs w:val="20"/>
          <w:color w:val="auto"/>
        </w:rPr>
      </w:pPr>
      <w:r>
        <w:rPr>
          <w:rFonts w:ascii="Arial" w:cs="Arial" w:eastAsia="Arial" w:hAnsi="Arial"/>
          <w:sz w:val="16"/>
          <w:szCs w:val="16"/>
          <w:i w:val="1"/>
          <w:iCs w:val="1"/>
          <w:color w:val="auto"/>
        </w:rPr>
        <w:t>Right panel: Murine LPMCs isolated from inflamed colons of 3% DSS mice and activated in vitro with a combination of the PGN fragment C12-iE-DAP (NOD1 agonist), PMA, and ionomycin. Data from a single representative experiment shown above as mean ± standard deviation, a total of 3 individual experiments were performed. Statistical significance was calculated in GraphPad Prism 10.2.3 using one-way ANOVA; **** p &lt; 0.0001.</w:t>
      </w:r>
    </w:p>
    <w:p>
      <w:pPr>
        <w:spacing w:after="0" w:line="167" w:lineRule="exact"/>
        <w:rPr>
          <w:sz w:val="20"/>
          <w:szCs w:val="20"/>
          <w:color w:val="auto"/>
        </w:rPr>
      </w:pPr>
    </w:p>
    <w:p>
      <w:pPr>
        <w:ind w:left="120" w:right="240" w:firstLine="551"/>
        <w:spacing w:after="0" w:line="252" w:lineRule="auto"/>
        <w:rPr>
          <w:sz w:val="20"/>
          <w:szCs w:val="20"/>
          <w:color w:val="auto"/>
        </w:rPr>
      </w:pPr>
      <w:r>
        <w:rPr>
          <w:rFonts w:ascii="Arial" w:cs="Arial" w:eastAsia="Arial" w:hAnsi="Arial"/>
          <w:sz w:val="18"/>
          <w:szCs w:val="18"/>
          <w:color w:val="auto"/>
        </w:rPr>
        <w:t>We have also observed this synergy in combination with other standard of care therapies for IBD. For example, in one of our preclinical studies where we combined OD-07656 and an approved JAK inhibitor, we observed that the combination had the potential to not only deepen activity of either agent alone, but to reduce inflammation to baseline or below, as seen with IL-6 and IFN</w:t>
      </w:r>
      <w:r>
        <w:rPr>
          <w:rFonts w:ascii="Times New Roman" w:cs="Times New Roman" w:eastAsia="Times New Roman" w:hAnsi="Times New Roman"/>
          <w:sz w:val="18"/>
          <w:szCs w:val="18"/>
          <w:color w:val="auto"/>
        </w:rPr>
        <w:t>g</w:t>
      </w:r>
      <w:r>
        <w:rPr>
          <w:rFonts w:ascii="Arial" w:cs="Arial" w:eastAsia="Arial" w:hAnsi="Arial"/>
          <w:sz w:val="18"/>
          <w:szCs w:val="18"/>
          <w:color w:val="auto"/>
        </w:rPr>
        <w:t xml:space="preserve"> in the below graphs.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left="460" w:right="380"/>
        <w:spacing w:after="0" w:line="295" w:lineRule="auto"/>
        <w:rPr>
          <w:sz w:val="20"/>
          <w:szCs w:val="20"/>
          <w:color w:val="auto"/>
        </w:rPr>
      </w:pPr>
      <w:r>
        <w:rPr>
          <w:rFonts w:ascii="Arial" w:cs="Arial" w:eastAsia="Arial" w:hAnsi="Arial"/>
          <w:sz w:val="18"/>
          <w:szCs w:val="18"/>
          <w:b w:val="1"/>
          <w:bCs w:val="1"/>
          <w:color w:val="auto"/>
        </w:rPr>
        <w:t>Treatment with OD-07656 Reduced IL-6 and IFN</w:t>
      </w:r>
      <w:r>
        <w:rPr>
          <w:rFonts w:ascii="Times New Roman" w:cs="Times New Roman" w:eastAsia="Times New Roman" w:hAnsi="Times New Roman"/>
          <w:sz w:val="18"/>
          <w:szCs w:val="18"/>
          <w:color w:val="auto"/>
        </w:rPr>
        <w:t>g</w:t>
      </w:r>
      <w:r>
        <w:rPr>
          <w:rFonts w:ascii="Arial" w:cs="Arial" w:eastAsia="Arial" w:hAnsi="Arial"/>
          <w:sz w:val="18"/>
          <w:szCs w:val="18"/>
          <w:b w:val="1"/>
          <w:bCs w:val="1"/>
          <w:color w:val="auto"/>
        </w:rPr>
        <w:t xml:space="preserve"> Levels in PMA, Ionomycin and PGN Stimulated Murine Models Both as Monotherapy and in Combination with a JAK Inhibitor (JAKi)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168275</wp:posOffset>
            </wp:positionV>
            <wp:extent cx="4457700" cy="22542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45770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460"/>
        <w:spacing w:after="0" w:line="261" w:lineRule="auto"/>
        <w:rPr>
          <w:sz w:val="20"/>
          <w:szCs w:val="20"/>
          <w:color w:val="auto"/>
        </w:rPr>
      </w:pPr>
      <w:r>
        <w:rPr>
          <w:rFonts w:ascii="Arial" w:cs="Arial" w:eastAsia="Arial" w:hAnsi="Arial"/>
          <w:sz w:val="16"/>
          <w:szCs w:val="16"/>
          <w:i w:val="1"/>
          <w:iCs w:val="1"/>
          <w:color w:val="auto"/>
        </w:rPr>
        <w:t>Murine LPMCs isolated from inflamed colons of 3% DSS mice and activated in vitro with a combination of the PGN fragment C12-iE-DAP (NOD1 agonist), PMA, and ionomycin. Data from a single representative experiment shown above as mean ± standard deviation, a total of 3 individual experiments were performed. Statistical significance was calculated in GraphPad Prism 10.2.3 using one-way ANOVA; **** p &lt; 0.0001, *** p &lt; 0.001, ** p &lt; 0.01, * p &lt; 0.05.</w:t>
      </w:r>
    </w:p>
    <w:p>
      <w:pPr>
        <w:spacing w:after="0" w:line="365"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 xml:space="preserve">The mechanisms of action of certain other approved drugs for IBD, including vedolizumab, do not translate to effects in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systems described above for TNF blockers and JAK inhibitors. Specifically, the mechanism of action of vedolizumab requires that the drug blocks the recruitment of T cells from the circulation into the intestinal tissue, which cannot be recapitulated in this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As a result, we have not similarly tested OD-07656 in certain other combinations, including with vedolizumab.</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Translational Data</w:t>
      </w:r>
    </w:p>
    <w:p>
      <w:pPr>
        <w:spacing w:after="0" w:line="10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To assess the potency of RIPK2 inhibition across human cells, we selected a panel of different immune cells from healthy donors, including macrophages, monocytes and dendritic cells, and observed similar potency (0.5 – 2.0 nM IC</w:t>
      </w:r>
      <w:r>
        <w:rPr>
          <w:rFonts w:ascii="Arial" w:cs="Arial" w:eastAsia="Arial" w:hAnsi="Arial"/>
          <w:sz w:val="13"/>
          <w:szCs w:val="13"/>
          <w:color w:val="auto"/>
        </w:rPr>
        <w:t>50</w:t>
      </w:r>
      <w:r>
        <w:rPr>
          <w:rFonts w:ascii="Arial" w:cs="Arial" w:eastAsia="Arial" w:hAnsi="Arial"/>
          <w:sz w:val="18"/>
          <w:szCs w:val="18"/>
          <w:color w:val="auto"/>
        </w:rPr>
        <w:t>, the measure of the concentration required to inhibit a process by 50%, for TNF production) across each type of cell following stimulation with PGN. We believe this consistency suggests that there will be predictable target coverage across RIPK2 expressing cells relevant to disease.</w:t>
      </w:r>
    </w:p>
    <w:p>
      <w:pPr>
        <w:spacing w:after="0" w:line="17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Thereafter, to assess the potency of RIPK2 inhibition in human cells relevant to IBD, we isolated LPMCs from colon tissue biopsies of patients with Crohn’s disease who had either not received advanced therapies or were resistant to such therapies. Similar to the experimental design in healthy human immune cells, we exposed the Crohn’s disease patients’ LPMCs to PGN after treatment with OD-07656 and observed an IC</w:t>
      </w:r>
      <w:r>
        <w:rPr>
          <w:rFonts w:ascii="Arial" w:cs="Arial" w:eastAsia="Arial" w:hAnsi="Arial"/>
          <w:sz w:val="13"/>
          <w:szCs w:val="13"/>
          <w:color w:val="auto"/>
        </w:rPr>
        <w:t>50</w:t>
      </w:r>
      <w:r>
        <w:rPr>
          <w:rFonts w:ascii="Arial" w:cs="Arial" w:eastAsia="Arial" w:hAnsi="Arial"/>
          <w:sz w:val="18"/>
          <w:szCs w:val="18"/>
          <w:color w:val="auto"/>
        </w:rPr>
        <w:t xml:space="preserve"> for TNF production of approximately 1 nM with inhibition greater than 80% in both groups. We believe these results suggest RIPK2 inhibition may be a promising treatment option for both newly diagnosed and refractory IBD patients.</w:t>
      </w:r>
    </w:p>
    <w:p>
      <w:pPr>
        <w:spacing w:after="0" w:line="176"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The table to the left below lists the observed potency of OD-07656 at inhibiting TNF production across a number of relevant cell types. The graph to the right below illustrates the TNF inhibition we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observed in LPMCs from colon tissue taken from representative Crohn’s disease patients with active disease, after we treated such LPMCs with OD-07656 prior to stimulation with PGN fragment for 72 hours. Two samples were from patients who had no known treatment with anti-TNF drugs and four were from patients who were anti-TNF drug resistant. We observed that the LPMCs from both anti-TNF naïve and anti-TNF resistant patients were sensitive to RIPK2 inhibition.</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OD-07656 was a Potent Inhibitor of TNF Across Cells of Anti-TNF Resistant and Naïve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223520</wp:posOffset>
            </wp:positionV>
            <wp:extent cx="4869180" cy="18002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691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460" w:right="40"/>
        <w:spacing w:after="0" w:line="265" w:lineRule="auto"/>
        <w:rPr>
          <w:sz w:val="20"/>
          <w:szCs w:val="20"/>
          <w:color w:val="auto"/>
        </w:rPr>
      </w:pPr>
      <w:r>
        <w:rPr>
          <w:rFonts w:ascii="Arial" w:cs="Arial" w:eastAsia="Arial" w:hAnsi="Arial"/>
          <w:sz w:val="16"/>
          <w:szCs w:val="16"/>
          <w:i w:val="1"/>
          <w:iCs w:val="1"/>
          <w:color w:val="auto"/>
        </w:rPr>
        <w:t>Human LPMCs isolated from inflamed resected intestinal tissue from Crohn’s disease patients and stimulated for 72 hours by the PGN fragment L18-MDP, a NOD2 agonist. Dose-response curve of OD-07656 for inhibition of TNF in anti-TNF resistant (n=4) or anti-TNF naïve (n=2) shown. Average data shown as mean ± standard error of the mean.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In Vivo Murine Models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Given the complex and heterogenous nature of human IBD, we do not believe that any single preclinical model has emerged as being strongly predictive for human efficacy or for providing a comparison of the therapeutic potential of different compounds or mechanisms. However, there are three preclinical models where approved cytokine therapies have been observed to be active and where we believe a genetic link to RIPK2 has been suggested through siRNA or gene knockout. We, and others, have similarly observed that the pharmacologic inhibition of RIPK2 is effective on one or more measures of disease in each of these models.</w:t>
      </w:r>
    </w:p>
    <w:p>
      <w:pPr>
        <w:spacing w:after="0" w:line="176"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The table below sets forth these three models and their microbiota, genetic or pharmacologic link to RIPK2 inhibition, and approved agents that have also demonstrated the potential translatability of these results to human.</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Murine Model Responses Across RIPK2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223520</wp:posOffset>
            </wp:positionV>
            <wp:extent cx="3394710" cy="17399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9471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Note: Activity of anti-IL-23 and anti-TNF has been shown in the TNBS murine model, which is similar to DNBS.</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Two of these models, T-bet-/- RAG2-/- UC, or TRUC, and SAMP1/YitFc, have been shown to be microbiota dependent. Boehringer Ingelheim published positive results in 2021 using their RIPK2 scaffolding inhibitor in the TRUC model, characterized by microbe-driven inflammation of the large intestine. Given the activity observed with their RIPK2 inhibitor in that model, we elected to test a close analog of OD-07656 in the SAMP1/YitFc model, which is characterized by spontaneous inflammation of the small intestines and where activity has been observed with anti-TNF therapy. In this model, we observed a statistically significant reduction in TNF gene expression in the intestine and, more importantly, a significant reduction in the histology score in the intestine, which we believe is a more accurate assessment of disease activity than cytokine production, since it captures cellular and structural changes in the intestine.</w:t>
      </w:r>
    </w:p>
    <w:p>
      <w:pPr>
        <w:spacing w:after="0" w:line="185"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The graphs below show the reduction in TNF levels and reduced histology score we observed from our preclinical study described above. In the study, we treated age-matched SAMP1/YitFc mice (7-8 weeks old) daily with 200 mg/kg of a close analog of OD-07656 or with a control vehicle for eight weeks after which TNF gene expression and intestinal pathology were assessed.</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Treatment of Mice with OD-07656 Analog Observed to Reduce TNF Production and Severity of Ileitis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223520</wp:posOffset>
            </wp:positionV>
            <wp:extent cx="3857625" cy="18002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576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500" w:right="40"/>
        <w:spacing w:after="0" w:line="265" w:lineRule="auto"/>
        <w:rPr>
          <w:sz w:val="20"/>
          <w:szCs w:val="20"/>
          <w:color w:val="auto"/>
        </w:rPr>
      </w:pPr>
      <w:r>
        <w:rPr>
          <w:rFonts w:ascii="Arial" w:cs="Arial" w:eastAsia="Arial" w:hAnsi="Arial"/>
          <w:sz w:val="16"/>
          <w:szCs w:val="16"/>
          <w:i w:val="1"/>
          <w:iCs w:val="1"/>
          <w:color w:val="auto"/>
        </w:rPr>
        <w:t>Left figure presents TNF fold-change based on the relative RNA expression compared to age-matched non-disease animals in vehicle group (N=9) and RIPK2 treatment group (N=15). Right figure presents total histology score in vehicle group (N=10) and RIPK2 treatment group (N=15). Statistical significance was calculated in GraphPad Prism 10.2.3 using unpaired t test; * = p &lt; 0.05; *** = p &lt; 0.001.</w:t>
      </w:r>
    </w:p>
    <w:p>
      <w:pPr>
        <w:spacing w:after="0" w:line="16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To test the relationship between PK and PD, effect (e.g., reduction of cytokine production systemically and in the colon), we used a PGN stimulation PK/PD model. In this model, we dosed mice with OD-07656 ranging from 100-300 mg/kg, which achieved trough concentrations of OD-07656 of 1-10 nM in the blood and at the time the trough concentration was measured we administered the PGN stimulus. We observed reductions in TNF in the plasma and in colon tissue following PGN stimulation in mice treated with OD-07656. The graphs below show the statistically significant reduction of TNF levels in the plasma and colon tissue of the mice observed following OD-07656 doses greater than or equal to 100 mg/kg. The figure to the right shows that doses of OD-07656 equal to or greater than 100 mg/kg were observed to achieve trough concentrations of OD-07656 that were greater than 1 nM in plasma. The observations from this preclinical study further support our belief that RIPK2 inhibition with OD-07656 has the potential to significantly reduce signaling leading to TNF production, which we believe is a key mediator of inflammatory damage in IBD patients.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OD-07656 Treatment Led to Dose Dependent Reduction in TNF Expression in Plasma and Colon Tissue in Murine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223520</wp:posOffset>
            </wp:positionV>
            <wp:extent cx="4612005" cy="1945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61200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60"/>
        <w:spacing w:after="0" w:line="254" w:lineRule="auto"/>
        <w:rPr>
          <w:sz w:val="20"/>
          <w:szCs w:val="20"/>
          <w:color w:val="auto"/>
        </w:rPr>
      </w:pPr>
      <w:r>
        <w:rPr>
          <w:rFonts w:ascii="Arial" w:cs="Arial" w:eastAsia="Arial" w:hAnsi="Arial"/>
          <w:sz w:val="16"/>
          <w:szCs w:val="16"/>
          <w:i w:val="1"/>
          <w:iCs w:val="1"/>
          <w:color w:val="auto"/>
        </w:rPr>
        <w:t>Data is shown as mean ± standard error of the mean. Each dot represents an individual mouse excluding identified outliers. For plasma samples group sizes are as follows control (n=4), vehicle (n=8), 1 mg/kg OD-07656 (n=9), 10 mg/kg OD-07656 (n=9), 100 mg/kg OD-07656 (n=8), and 300 mg/kg OD-07656 (n=9). For colon tissue samples group sizes are as follows control (n=4), vehicle (n=10), 1 mg/kg OD-07656 (n=10), 10 mg/kg OD-07656 (n=10), 100 mg/kg OD-07656 (n=10), and 300 mg/kg OD-07656 (n=10). Identification of outliers within groups was performed using the GraphPad Prism “Identify Outlier” function and applying Method “ROUT” and setting the remove outlier parameter at Q = 1%. Statistical significance was calculated in GraphPad Prism 10.2.3 using one-way ANOVA; ** = p &lt; 0.01; **** = p &lt; 0.0001.</w:t>
      </w:r>
    </w:p>
    <w:p>
      <w:pPr>
        <w:spacing w:after="0" w:line="175"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 xml:space="preserve">We then integrated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PGN challenge model with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PGN challenge model.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PGN challenge model, we dosed mice and then drew their blood approximately three hours later. The blood was subsequently stimulated with PGN and we assessed TNF levels approximately four hours later. The aim of this study was to determine if results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stimulation assay would be similar to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results. We observed a similar relationship between cytokine inhibition and potency between the models, with free drug levels of 1.5-2 nM inhibiting TNF production by 50%.</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The concentrations required in these two murine models for inhibition were also similar to the concentration required for target inhibition in human whole blood (0.6 nM), suggesting concordance between the murine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results and concentrations required for similar effect in human cells. We believe these data support the use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whole blood assay in our Phase 1 healthy volunteer trial to predict the dose required for a desired level of RIPK2 inhibition and inform dose selection for subsequent clinical trials in IBD patients. The illustration to the left below summarizes the design of both the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PGN challenge model and the preclinical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PGN challenge model. The graph to the right below illustrates the increasing level of TNF inhibition at higher concentrations of OD-07656, and the table below sets forth the observed total and free drug potency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human blood,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using mouse blood as reflected by IC</w:t>
      </w:r>
      <w:r>
        <w:rPr>
          <w:rFonts w:ascii="Arial" w:cs="Arial" w:eastAsia="Arial" w:hAnsi="Arial"/>
          <w:sz w:val="13"/>
          <w:szCs w:val="13"/>
          <w:color w:val="auto"/>
        </w:rPr>
        <w:t>50</w:t>
      </w:r>
      <w:r>
        <w:rPr>
          <w:rFonts w:ascii="Arial" w:cs="Arial" w:eastAsia="Arial" w:hAnsi="Arial"/>
          <w:sz w:val="18"/>
          <w:szCs w:val="18"/>
          <w:color w:val="auto"/>
        </w:rPr>
        <w:t xml:space="preserve"> and IC</w:t>
      </w:r>
      <w:r>
        <w:rPr>
          <w:rFonts w:ascii="Arial" w:cs="Arial" w:eastAsia="Arial" w:hAnsi="Arial"/>
          <w:sz w:val="13"/>
          <w:szCs w:val="13"/>
          <w:color w:val="auto"/>
        </w:rPr>
        <w:t>90</w:t>
      </w:r>
      <w:r>
        <w:rPr>
          <w:rFonts w:ascii="Arial" w:cs="Arial" w:eastAsia="Arial" w:hAnsi="Arial"/>
          <w:sz w:val="18"/>
          <w:szCs w:val="18"/>
          <w:color w:val="auto"/>
        </w:rPr>
        <w:t xml:space="preserve"> values, which represent 50 and 90% inhibition, respectively. The concordance across the measured values suggests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stimulation assay may be used in clinical development to inform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cytokine inhibition.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 xml:space="preserve">In Vivo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Ex Vivo </w:t>
      </w:r>
      <w:r>
        <w:rPr>
          <w:rFonts w:ascii="Arial" w:cs="Arial" w:eastAsia="Arial" w:hAnsi="Arial"/>
          <w:sz w:val="18"/>
          <w:szCs w:val="18"/>
          <w:b w:val="1"/>
          <w:bCs w:val="1"/>
          <w:color w:val="auto"/>
        </w:rPr>
        <w:t>Challenge Model Design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223520</wp:posOffset>
            </wp:positionV>
            <wp:extent cx="5194935" cy="23742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9493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40" w:right="120"/>
        <w:spacing w:after="0" w:line="241" w:lineRule="auto"/>
        <w:rPr>
          <w:sz w:val="20"/>
          <w:szCs w:val="20"/>
          <w:color w:val="auto"/>
        </w:rPr>
      </w:pPr>
      <w:r>
        <w:rPr>
          <w:rFonts w:ascii="Arial" w:cs="Arial" w:eastAsia="Arial" w:hAnsi="Arial"/>
          <w:sz w:val="18"/>
          <w:szCs w:val="18"/>
          <w:i w:val="1"/>
          <w:iCs w:val="1"/>
          <w:color w:val="auto"/>
        </w:rPr>
        <w:t>In the dose response curves, each dot represents an individual mouse excluding identified outliers. In vivo data is pooled from six independent studies with TNF inhibition shown for 212 mice. Ex vivo data is pooled from two independent studies with TNF inhibition shown for 48 mice. The dose-response curves were overlayed and analyzed in GraphPad Prism 9.2 by nonlinear regression using the “log(inhibitor) vs. normalized response – Variable slope” function with the constraint that Hill slope &gt; 1. Identification of outliers within groups was performed using the GraphPad Prism “Identify Outlier” function and applying Method “ROUT” and setting the remove outlier parameter at Q = 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OD-07656 Phase 1 Clinical Trial</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We commenced dosing in a Phase 1 clinical trial in healthy adult volunteers in the first quarter of 2024. This first-in-human, four-part, double-blind trial was designed to investigate the safety, tolerability, PK and PD of OD-07656 in a single ascending dose (SAD, part one) and multiple ascending doses (MAD, part two). In the MAD portion, patients received a dose of OD-07656 once or twice daily for 14 days. Parts three and four of the trial were included to assess food-effect and potential for drug-drug interactions, respectively. The primary objective was to assess safety and tolerability, and the secondary objective to assess PK. Exploratory endpoints included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PGN stimulation assay to determine PD effects.</w:t>
      </w:r>
    </w:p>
    <w:p>
      <w:pPr>
        <w:spacing w:after="0" w:line="17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trial included six SAD cohorts that received doses from 3 to 200 mg, with each cohort consisting of eight participants with six active and two placebo. There were four MAD cohorts that received doses from 10 mg once daily up to 50 mg twice daily, with each cohort consisting of eight participants with six active and two placebo. Thus far, all dose levels have been generally well tolerated with no serious adverse events, or SAEs, dose-limiting toxicities or suspected unexpected serious adverse reactions, or SUSAR. In part three of the trial, food effect was tested and there was no difference observed between fasted and fed states.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PK analysis in MAD groups shows proportionality of steady state exposures with dose.</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Pharmacokinetics in MAD Dose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248920</wp:posOffset>
            </wp:positionV>
            <wp:extent cx="4732020" cy="1885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3202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 xml:space="preserve">In this trial, we also utilized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PGN stimulation assay measuring TNF to confirm target and pathway inhibition. Based on the results from this assay, tolerable doses have been identified that we believe may be efficacious in patients with IBD. In the figure below, the results of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stimulation assay in participants treated with a 30 mg dose of OD-07656 twice daily are shown at trough (C</w:t>
      </w:r>
      <w:r>
        <w:rPr>
          <w:rFonts w:ascii="Arial" w:cs="Arial" w:eastAsia="Arial" w:hAnsi="Arial"/>
          <w:sz w:val="13"/>
          <w:szCs w:val="13"/>
          <w:color w:val="auto"/>
        </w:rPr>
        <w:t>min</w:t>
      </w:r>
      <w:r>
        <w:rPr>
          <w:rFonts w:ascii="Arial" w:cs="Arial" w:eastAsia="Arial" w:hAnsi="Arial"/>
          <w:sz w:val="18"/>
          <w:szCs w:val="18"/>
          <w:color w:val="auto"/>
        </w:rPr>
        <w:t xml:space="preserve"> timepoints). The results from a PK/PD model simulation of a 20 mg dose of OD-07656 administered twice daily are reflected in the figure below and such dose is projected to produce an approximately 80% inhibition effect at trough and approximately 90% inhibition effect at average when measured by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inhibition of TNF.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142240</wp:posOffset>
            </wp:positionV>
            <wp:extent cx="3188970" cy="21513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8897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have selected a 20 mg twice daily dose as the maximal dose level to be tested in our planned Phase 2a clinical trial. Based on this projected dose and the results from 3 -month rat and dog GLP-toxicology studies that we conducted, we believe we may observe an up to 23x no observe adverse event level (NOAEL) margin. We are currently conducting 9-month chronic toxicology studies and expect to complete these studies in mid-2025.</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5" w:right="5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Planned OD-07656 Phase 2a Trials in Patients with Moderate to Severe UC</w:t>
      </w:r>
    </w:p>
    <w:p>
      <w:pPr>
        <w:spacing w:after="0" w:line="102" w:lineRule="exact"/>
        <w:rPr>
          <w:sz w:val="20"/>
          <w:szCs w:val="20"/>
          <w:color w:val="auto"/>
        </w:rPr>
      </w:pPr>
    </w:p>
    <w:p>
      <w:pPr>
        <w:ind w:left="120" w:right="220" w:firstLine="551"/>
        <w:spacing w:after="0" w:line="259" w:lineRule="auto"/>
        <w:rPr>
          <w:sz w:val="20"/>
          <w:szCs w:val="20"/>
          <w:color w:val="auto"/>
        </w:rPr>
      </w:pPr>
      <w:r>
        <w:rPr>
          <w:rFonts w:ascii="Arial" w:cs="Arial" w:eastAsia="Arial" w:hAnsi="Arial"/>
          <w:sz w:val="17"/>
          <w:szCs w:val="17"/>
          <w:color w:val="auto"/>
        </w:rPr>
        <w:t>We plan to initiate two signal-seeking Phase 2a trials, with approximately 50 to 60 patients with moderate to severe UC in the monotherapy trial and 60 to 80 patients with moderate to severe UC in the combination trial. We currently expect to commence a Phase</w:t>
      </w:r>
    </w:p>
    <w:p>
      <w:pPr>
        <w:spacing w:after="0" w:line="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2a trial assessing OD-07656 as monotherapy in UC patients in the first quarter of 2025 and to release topline induction results in the first half of 2026. We also expect to commence a second Phase 2a trial assessing OD-07656 in combination with standard of care vedolizumab for induction therapy in UC patients in the first half of 2026 with topline combination induction results expected to be released in mid-2027. We anticipate conducting our RIPK2 Phase 2a trials pursuant to CTAs at approximately 60 sites globally in the Asia-Pacific region, Europe, the Middle East and Canada and pursuant to an IND in the United States, pending submission of such applications and approval and clearance to proceed under them by the applicable regulatory authority.</w:t>
      </w:r>
    </w:p>
    <w:p>
      <w:pPr>
        <w:spacing w:after="0" w:line="181"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We selected vedolizumab as the first agent for combinations due to its position as a first line advanced standard of care therapy for most UC patients, its favorable safety profile compared to other advanced agents, expected complementary mechanism of action to OD-07656, gut restricted mechanism of action, and translational evidence supporting RIPK2 activation as a potential resistance mechanism.</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primary endpoint for both Phase 2a trials is expected to be change from baseline in modified Mayo Clinic score following 12-week induction therapy. Secondary endpoints at week 12 are expected to include proportion of participants achieving clinical remission, response by Robart’s histopathology index and Mayo endoscopic score, or MES. We plan to assess additional exploratory endpoints retrospectively using pre-treatment and post-treatment biopsies to explore the prognostic value of the RIPK2 gene signature or genetic mutations that increase the activity of RIPK2 (e.g., ATG16L1 and CARD9) for future patient selection strategies or correlation with long-term disease outcomes (e.g., fibrosis resolution and mucosal healing). Following the induction period in the monotherapy trial patients will continue on vedolizumab maintenance therapy for 40 weeks and in the combination trial patients will continue on OD-07656 for 40 weeks to assess the ability of our oral therapy to maintain or deepen response after combination induction therapy.</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OD-07656 Planned Phase 2a Trial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223520</wp:posOffset>
            </wp:positionV>
            <wp:extent cx="5194935" cy="2177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9493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firstLine="551"/>
        <w:spacing w:after="0" w:line="275" w:lineRule="auto"/>
        <w:rPr>
          <w:sz w:val="20"/>
          <w:szCs w:val="20"/>
          <w:color w:val="auto"/>
        </w:rPr>
      </w:pPr>
      <w:r>
        <w:rPr>
          <w:rFonts w:ascii="Arial" w:cs="Arial" w:eastAsia="Arial" w:hAnsi="Arial"/>
          <w:sz w:val="17"/>
          <w:szCs w:val="17"/>
          <w:color w:val="auto"/>
        </w:rPr>
        <w:t>Following completion of these clinical trials, we plan to discuss the results with regulators to determine the need for future clinical trials and may initiate additional signal seeking studies in other diseases we believe may be amenable to RIPK2 inhibition, including Crohn’s disease and spondyloarthritis, a type of immune mediated arthritis commonly associated with IBD and gut inflammation.</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IRAK4</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oral small molecule scaffolding inhibitor of IRAK4 is designed to block inflammatory signaling by the myddosome, a protein complex found in multiple cell types across tissues, which serves as a key junction of inflammatory signaling where innate immune signals converge to initiate a broad downstream cytokine response. We believe IRAK4 scaffolding inhibition has the potential to be developed for multiple inflammatory diseases, including AD, HS and OA. Our program is designed to address the shortcomings of other programs targeting IRAK4, including small molecule IRAK4 kinase inhibitors and degraders, by achieving the desired pharmacology to block cytokine production across disease-relevant cell types, whether they are cells of the immune system or otherwise (e.g., myeloid and non-myeloid cells). The data presented below is based on a scaffolding inhibitor, which we refer to as the Odyssey Scaffolding Inhibitor, which is an exemplar from our late-lead optimization activities. We expect to nominate a development candidate for our IRAK4 program in the fourth quarter of 2024 and, pending an acceptable profile in IND-enabling toxicology studies, to file a CTA in Australia by the end of 2025. The Phase 1 trial in healthy volunteers is expected to consist of a SAD component, a MAD component to assess safety, PK and PD, and a food effect component. We currently expect to commence this trial in the first half of 2026, if approved to proceed, and announce results from this trial in the second half of 2026.</w:t>
      </w:r>
    </w:p>
    <w:p>
      <w:pPr>
        <w:spacing w:after="0" w:line="183"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Because we believe that IRAK4 scaffolding is essential for myddosome signaling, we designed our program to identify an IRAK4 inhibitor that works by blocking IRAK4 scaffolding, or binding, with interleukin 1 receptor associated kinase 1, or IRAK1, and interleukin 1 receptor associated kinase 2, or IRAK2, thereby blocking the innate immune response to a range of danger signals and cytokines (e.g., interleukin-1, or IL-1, family cytokines and many TLRs) that we believe either cause disease or propagate the inflammatory pathology across multiple therapeutic indications.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IRAK4’s Function in Myddosome Signaling has Potential Applications for Many Diseases</w:t>
      </w:r>
    </w:p>
    <w:p>
      <w:pPr>
        <w:spacing w:after="0" w:line="10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The myddosome is a multiprotein complex found in multiple cell types across tissues. It orchestrates the innate immune response by broadcasting signals triggered by binding ligands (e.g., DNA and RNA) to TLRs or IL-1, interleukin-18, or IL-18, IL-33, and interleukin-36, or IL-36, to cytokine receptors. The process of myddosome formation commences when a ligand binds any of these cytokine receptors or TLRs, that then recruit myeloid differentiation primary response 88, or MYD88, to the cell surface. After MYD88 is bound to the ligand-activated receptor, it in turn recruits IRAK4. Once bound to MYD88, IRAK4 undergoes a conformational change that allows it to function as a scaffold that binds IRAK1 and IRAK2. Binding of either IRAK1 or IRAK2 enables TRAF6 recruitment to the myddosome which propagates signaling and downstream cytokine and chemokine production, which then initiates an inflammatory response across multiple cell types.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Multiple Danger Signals Converge on IRAK4, Ultimately Producing Disease-Relevant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223520</wp:posOffset>
            </wp:positionV>
            <wp:extent cx="5040630" cy="39687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4063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Approved therapies that reduce IL-1R/TLR signaling, including ANAKINRA®, HUMIRA®, ACTERMA®, generally only target one upstream activator (e.g., IL-1</w:t>
      </w:r>
      <w:r>
        <w:rPr>
          <w:rFonts w:ascii="Times New Roman" w:cs="Times New Roman" w:eastAsia="Times New Roman" w:hAnsi="Times New Roman"/>
          <w:sz w:val="18"/>
          <w:szCs w:val="18"/>
          <w:color w:val="auto"/>
        </w:rPr>
        <w:t>a</w:t>
      </w:r>
      <w:r>
        <w:rPr>
          <w:rFonts w:ascii="Arial" w:cs="Arial" w:eastAsia="Arial" w:hAnsi="Arial"/>
          <w:sz w:val="18"/>
          <w:szCs w:val="18"/>
          <w:color w:val="auto"/>
        </w:rPr>
        <w:t>, IL-1ß and IL-1R) or one downstream cytokine (e.g., TNF and IL-6) in order to limit inflammatory response. While drugs targeting one upstream activator have been shown to be efficacious, these therapies can be inadequate for many patients due to the existence of other non-target upstream activators that can activate IL-1/TLR signaling on their own. Similarly, targeting only one downstream cytokine is a validated approach to treat autoimmune disease, but can be inadequate for many patients because the adaptive immune system can be activated by a number of different cytokines. There has been significant interest in targeting the signal transduction mechanism at a single point that can inhibit the response to multiple upstream signals and modulate multiple downstream effects to treat inflammatory disease. Developing a myddosome targeted therapy and in particular blocking IRAK4 has been the focus of efforts in a number of pharmaceutical companies.</w:t>
      </w:r>
    </w:p>
    <w:p>
      <w:pPr>
        <w:spacing w:after="0" w:line="181"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There is a large body of evidence that suggests that IRAK4 scaffolding is essential for myddosome signaling. In third-party studies of humans with either IRAK4 or MYD88 loss of function mutations, myddosome based signaling was blocked which we believe was due to the inability of IRAK1 or IRAK2 to bind to the IRAK4:MYD88 scaffold, a necessary step for subsequent IRAK1 or IRAK2 activation and downstream signaling of inflammatory cytokines. In third-party studies of adults and late teens with these loss of function mutations, there was no observed increased risk of infection, morbidity or mortality; however, in pediatric subjects, there was a high risk of infection and mortality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due to loss of innate immune activation in response to bacteria. We believe this age-based difference in outcomes is linked to the development of the adaptive immune system in adults, which is fundamentally formed by mid-childhood. Given these observations, we and others hypothesize that a drug that can block the ability of IRAK4 to perform scaffolding within the myddosome could have a meaningful therapeutic effect in the treatment of inflammatory diseases.</w:t>
      </w:r>
    </w:p>
    <w:p>
      <w:pPr>
        <w:spacing w:after="0" w:line="17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First, both clinical experience and preclinical models with anti-cytokine therapies suggest that the depth and breadth of cytokine inhibition is correlated with improved outcomes. In a third-party preclinical study with a murine model of rheumatoid arthritis, or RA, discussed in the article titled “</w:t>
      </w:r>
      <w:r>
        <w:rPr>
          <w:rFonts w:ascii="Arial" w:cs="Arial" w:eastAsia="Arial" w:hAnsi="Arial"/>
          <w:sz w:val="18"/>
          <w:szCs w:val="18"/>
          <w:i w:val="1"/>
          <w:iCs w:val="1"/>
          <w:color w:val="auto"/>
        </w:rPr>
        <w:t>Distinct contribution of IL-6, TNF-</w:t>
      </w:r>
      <w:r>
        <w:rPr>
          <w:rFonts w:ascii="Times New Roman" w:cs="Times New Roman" w:eastAsia="Times New Roman" w:hAnsi="Times New Roman"/>
          <w:sz w:val="18"/>
          <w:szCs w:val="18"/>
          <w:color w:val="auto"/>
        </w:rPr>
        <w:t>a</w:t>
      </w:r>
      <w:r>
        <w:rPr>
          <w:rFonts w:ascii="Arial" w:cs="Arial" w:eastAsia="Arial" w:hAnsi="Arial"/>
          <w:sz w:val="18"/>
          <w:szCs w:val="18"/>
          <w:i w:val="1"/>
          <w:iCs w:val="1"/>
          <w:color w:val="auto"/>
        </w:rPr>
        <w:t>, IL-1, and IL-10 to T cell–mediated spontaneous autoimmune arthritis in</w:t>
      </w:r>
      <w:r>
        <w:rPr>
          <w:rFonts w:ascii="Arial" w:cs="Arial" w:eastAsia="Arial" w:hAnsi="Arial"/>
          <w:sz w:val="18"/>
          <w:szCs w:val="18"/>
          <w:color w:val="auto"/>
        </w:rPr>
        <w:t xml:space="preserve"> </w:t>
      </w:r>
      <w:r>
        <w:rPr>
          <w:rFonts w:ascii="Arial" w:cs="Arial" w:eastAsia="Arial" w:hAnsi="Arial"/>
          <w:sz w:val="18"/>
          <w:szCs w:val="18"/>
          <w:i w:val="1"/>
          <w:iCs w:val="1"/>
          <w:color w:val="auto"/>
        </w:rPr>
        <w:t>mice</w:t>
      </w:r>
      <w:r>
        <w:rPr>
          <w:rFonts w:ascii="Arial" w:cs="Arial" w:eastAsia="Arial" w:hAnsi="Arial"/>
          <w:sz w:val="18"/>
          <w:szCs w:val="18"/>
          <w:color w:val="auto"/>
        </w:rPr>
        <w:t>” published in Volume 114, Number 4 of the Journal of Clinical Investigation and shown in the charts below, the authors observed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a partial, or heterozygous, knockout of three cytokines correlated with marginally reduced incidence and severity of arthritis, while a full knockout of each cytokine was observed to lead to significant reductions in the development and severity of arthritis. The study focused primarily on three cytokines, IL-6, IL-1 and TNF, all of which are linked to IRAK4 activation. Therefore, given the potential for scaffolding inhibition to completely block cytokine production across cell types, we believe that this approach can provide a more complete control of inflammatory signaling.</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Effect of Cytokine Knockout on Arthritis Incidence and Severity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223520</wp:posOffset>
            </wp:positionV>
            <wp:extent cx="5057775" cy="23660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5777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myddosome signaling pathway is functional and relevant for cytokine production in both myeloid cells and non-myeloid cell types. IRAK4 kinase activity is believed to control the ability of myeloid cells (e.g., macrophages and monocytes) to produce cytokines, but not in non-myeloid cells, which include solid tissue cells (e.g., fibroblasts, chondrocytes, synoviocytes, keratinocytes and osteoclasts). In non-myeloid cells, where IRAK4 kinase activity is not required, IRAK1 or IRAK2 binding to IRAK4 is the only prerequisite for signaling of downstream proinflammatory cytokines.</w:t>
      </w:r>
    </w:p>
    <w:p>
      <w:pPr>
        <w:spacing w:after="0" w:line="176"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Second, we believe that myddosome activity in non-myeloid cell types is a driver of disease. For example, third-party preclinical studies have assessed the impact of disrupting myddosome activity in either myeloid, non-myeloid, or both cell types on the development of arthritis, an inflammatory immune disease. These studies have shown that disrupting myddosome function in only myeloid cells does not impact disease development, whereas disrupting it in non-myeloid cells generally blocks disease and is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as effective as inhibiting myddosome function across cell types. On this basis, we believe these data support the conclusion that blocking myddosome signaling in non-myeloid cell types is crucial for maximal efficacy in inflammatory diseases.</w:t>
      </w:r>
    </w:p>
    <w:p>
      <w:pPr>
        <w:spacing w:after="0" w:line="15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Third, we believe blocking myddosome signaling has the potential to address the issue of cytokine redundancy, which has limited the benefit of treatment with inhibitors of a single upstream or downstream cytokine. Since IRAK4 is believed to be necessary for myddosome signaling based on its non-redundant scaffolding function with other proteins in the complex, it offers the potential to completely block inflammatory signaling from multiple IL-1 family receptors and TLRs. In human and preclinical models, it has been observed that IRAK1 or IRAK2 have the ability to compensate for the loss of the other protein. As a result, we do not believe that targeting either of these alone is expected to be as efficient in limiting downstream proinflammatory signaling as is targeting IRAK4 to inhibit its ability to bind IRAK1 and IRAK2. Targeting the pathway further downstream of IRAK1 or IRAK2 presents an additional set of potential targets (e.g., TRAF6) that would be non-selective for the myddosome pathway due to their function in other critical cellular processes.</w:t>
      </w:r>
    </w:p>
    <w:p>
      <w:pPr>
        <w:spacing w:after="0" w:line="168"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We believe that the inflammatory signaling mediated by IRAK4 underlies a large range of human disease, from inflammatory skin diseases to joint diseases and neuronal degeneration. We believe that the role of the myddosome in responding to activation from at least eight different pro-inflammatory receptors that converge on the myddosome is one reason IRAK4 may be implicated in such a wide range of diseases. Each of these receptors can be triggered by one or more ligands.</w:t>
      </w:r>
    </w:p>
    <w:p>
      <w:pPr>
        <w:spacing w:after="0" w:line="174"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The table below sets forth the signaling pathways for a number of diseases and impacted tissues that we think could potentially benefit from IRAK4 inhibition because IRAK4 is required for signaling by cytokines that are therapeutic targets in each of the diseases below. In light of the development of therapies targeting cytokine that activate the myddosome in a variety of indications as shown in the table below, we believe IRAK4 scaffolding inhibition has broad potential applicability and we currently intend to conduct a signal seeking trial in two or more indications such as AD, HS and OA, following our planned Phase 1 trial.</w:t>
      </w:r>
    </w:p>
    <w:p>
      <w:pPr>
        <w:spacing w:after="0" w:line="284" w:lineRule="exact"/>
        <w:rPr>
          <w:sz w:val="20"/>
          <w:szCs w:val="20"/>
          <w:color w:val="auto"/>
        </w:rPr>
      </w:pPr>
    </w:p>
    <w:p>
      <w:pPr>
        <w:jc w:val="center"/>
        <w:ind w:left="480"/>
        <w:spacing w:after="0" w:line="281" w:lineRule="auto"/>
        <w:rPr>
          <w:sz w:val="20"/>
          <w:szCs w:val="20"/>
          <w:color w:val="auto"/>
        </w:rPr>
      </w:pPr>
      <w:r>
        <w:rPr>
          <w:rFonts w:ascii="Arial" w:cs="Arial" w:eastAsia="Arial" w:hAnsi="Arial"/>
          <w:sz w:val="18"/>
          <w:szCs w:val="18"/>
          <w:b w:val="1"/>
          <w:bCs w:val="1"/>
          <w:color w:val="auto"/>
        </w:rPr>
        <w:t>IRAK4 Inhibition is Potentially Relevant Across Multiple Indications as Shown by Third Party Development of Agents that Target Activators of IRAK4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-38100</wp:posOffset>
            </wp:positionV>
            <wp:extent cx="5194935" cy="2091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9493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5"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Approaches Targeting IRAK4</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IRAK4 Kinase Inhibitors</w:t>
      </w:r>
    </w:p>
    <w:p>
      <w:pPr>
        <w:spacing w:after="0" w:line="102"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7"/>
          <w:szCs w:val="17"/>
          <w:color w:val="auto"/>
        </w:rPr>
        <w:t>Early disclosed attempts to drug IRAK4 were generally based on strategies to inhibit its kinase function. Several kinase inhibitors have been advanced into clinical studies with limited evidence of benefits to patients with autoimmune disorders, which we believe is due to their inability to block IRAK4 scaffolding or production of cytokines in non-myeloid cells. To analyze this, we assessed three publicly disclosed IRAK4 kinase inhibitors that were, or currently are, in clinical development. Kinase Inhibitor A is a compound described in the article titled “</w:t>
      </w:r>
      <w:r>
        <w:rPr>
          <w:rFonts w:ascii="Arial" w:cs="Arial" w:eastAsia="Arial" w:hAnsi="Arial"/>
          <w:sz w:val="17"/>
          <w:szCs w:val="17"/>
          <w:i w:val="1"/>
          <w:iCs w:val="1"/>
          <w:color w:val="auto"/>
        </w:rPr>
        <w:t>Discovery of Clinical Candidate 1-{[(2S,3S,4S)-3-Ethyl-4-fluoro-5-oxopyrrolidin-2-yl]methoxy}-7-methoxyisoquinoline-6-carboxamide (PF-06650833), a Potent, Selective Inhibitor of Interleukin-1 Receptor Associated Kinase 4 (IRAK4), by Fragment-Based Drug Design</w:t>
      </w:r>
      <w:r>
        <w:rPr>
          <w:rFonts w:ascii="Arial" w:cs="Arial" w:eastAsia="Arial" w:hAnsi="Arial"/>
          <w:sz w:val="17"/>
          <w:szCs w:val="17"/>
          <w:color w:val="auto"/>
        </w:rPr>
        <w:t>” published in Volume 60, Issue 13 of the Journal of Medicinal Chemistry. Kinase Inhibitor B is a compound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titled “</w:t>
      </w:r>
      <w:r>
        <w:rPr>
          <w:rFonts w:ascii="Arial" w:cs="Arial" w:eastAsia="Arial" w:hAnsi="Arial"/>
          <w:sz w:val="17"/>
          <w:szCs w:val="17"/>
          <w:i w:val="1"/>
          <w:iCs w:val="1"/>
          <w:color w:val="auto"/>
        </w:rPr>
        <w:t>IRAK4 inhibition dampens pathogenic processes driving inflammatory skin diseases</w:t>
      </w:r>
      <w:r>
        <w:rPr>
          <w:rFonts w:ascii="Arial" w:cs="Arial" w:eastAsia="Arial" w:hAnsi="Arial"/>
          <w:sz w:val="17"/>
          <w:szCs w:val="17"/>
          <w:color w:val="auto"/>
        </w:rPr>
        <w:t>” published in Volume 15, No. 683 of Science Translational Medicine. Kinase Inhibitor C is a compound described in patent application WO2020014468. We used these compounds in our own preclinical studies to evaluate scaffolding function and cytokine production in myeloid and non-myeloid cell types. The comparisons and results described below may differ in material ways from third-party studies that use such IRAK4 kinase inhibitors.</w:t>
      </w:r>
    </w:p>
    <w:p>
      <w:pPr>
        <w:spacing w:after="0" w:line="177"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When we treated myeloid cells and non-myeloid cells with Kinase Inhibitor A, Kinase Inhibitor B or Kinase Inhibitor C, we observed little or no effect on recruitment of IRAK4 to the myddosome, little to no effect on binding of IRAK1 to the myddosome and an apparent reduction in IRAK2 binding to the myddosome.</w:t>
      </w:r>
    </w:p>
    <w:p>
      <w:pPr>
        <w:spacing w:after="0" w:line="169"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The graphic below to the left shows bone marrow derived macrophages, or BMDM, a type of myeloid cell, that we treated separately with each of the three IRAK4 kinase inhibitors and stimulated with lipopolysaccharide, or LPS. We observed that both IRAK4 and IRAK1 were present in the immunoprecipitated myddosome of these myeloid cells. The graphic at right shows apparently similar results we observed in human neonatal fibroblasts, a type of non-myeloid cell, which we believe suggests that the impact of kinase inhibitors is similar across cell types.</w:t>
      </w:r>
    </w:p>
    <w:p>
      <w:pPr>
        <w:spacing w:after="0" w:line="284" w:lineRule="exact"/>
        <w:rPr>
          <w:sz w:val="20"/>
          <w:szCs w:val="20"/>
          <w:color w:val="auto"/>
        </w:rPr>
      </w:pPr>
    </w:p>
    <w:p>
      <w:pPr>
        <w:jc w:val="center"/>
        <w:ind w:left="540" w:right="40"/>
        <w:spacing w:after="0" w:line="281" w:lineRule="auto"/>
        <w:rPr>
          <w:sz w:val="20"/>
          <w:szCs w:val="20"/>
          <w:color w:val="auto"/>
        </w:rPr>
      </w:pPr>
      <w:r>
        <w:rPr>
          <w:rFonts w:ascii="Arial" w:cs="Arial" w:eastAsia="Arial" w:hAnsi="Arial"/>
          <w:sz w:val="18"/>
          <w:szCs w:val="18"/>
          <w:b w:val="1"/>
          <w:bCs w:val="1"/>
          <w:color w:val="auto"/>
        </w:rPr>
        <w:t>Presence of IRAK1, IRAK2, IRAK4, and MYD88 in the Myddosome of Myeloid and Non-Myeloid Cells Following Treatment With Kinase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-38100</wp:posOffset>
            </wp:positionV>
            <wp:extent cx="4457700" cy="20313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4577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Given the apparently similar effects of each kinase inhibitor on protein binding to the myddosome observed in our study described above, we used Kinase Inhibitor A in further studies testing effects on</w:t>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40"/>
          </w:cols>
          <w:pgMar w:left="320" w:top="455" w:right="5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downstream cytokine production. We evaluated TNF inhibition by Kinase Inhibitor A across different subtypes of myeloid cells from healthy donors. As shown in the figures below, Kinase Inhibitor A appeared to inhibit cytokine production in myeloid cells to nearly 100%. Based on these results we believe that IRAK4 kinase activity is necessary for downstream signal transduction in myeloid cell types.</w:t>
      </w: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Inhibition of Cytokine Production by Kinase Inhibitor A in 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223520</wp:posOffset>
            </wp:positionV>
            <wp:extent cx="4989195" cy="14573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891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right="220" w:firstLine="551"/>
        <w:spacing w:after="0" w:line="244" w:lineRule="auto"/>
        <w:rPr>
          <w:sz w:val="20"/>
          <w:szCs w:val="20"/>
          <w:color w:val="auto"/>
        </w:rPr>
      </w:pPr>
      <w:r>
        <w:rPr>
          <w:rFonts w:ascii="Arial" w:cs="Arial" w:eastAsia="Arial" w:hAnsi="Arial"/>
          <w:sz w:val="18"/>
          <w:szCs w:val="18"/>
          <w:color w:val="auto"/>
        </w:rPr>
        <w:t>By contrast, as shown in the graphs below, when different subtypes of non-myeloid cells are treated with Kinase Inhibitor A, we observed that inhibition of cytokine production measured by CXCL1 in any non-myeloid cell did not appear to exceed 50%. In the study represented below, the dermal fibroblasts were taken from healthy donors, chondrocytes were from RA patients, and synoviocytes were from OA patients. Based on these results we believe that IRAK4 kinase activity is not necessary for downstream signal transduction in non-myeloid cell types.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Inhibition of Cytokine Production by Kinase Inhibitor A in Non-Myeloid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223520</wp:posOffset>
            </wp:positionV>
            <wp:extent cx="5194935" cy="14147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9493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IRAK4 Degraders</w:t>
      </w:r>
    </w:p>
    <w:p>
      <w:pPr>
        <w:spacing w:after="0" w:line="10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There have been at least two IRAK4 degraders in clinical development. These degrader approaches aim to reduce IRAK4 protein levels by linking an IRAK4 kinase inhibitor to a ligand of an E3 ligase, such as cereblon, which is responsible for tagging IRAK4 for degradation. We believe that this approach to IRAK4 protein degraders allows them to have a dual function, both as an IRAK4 kinase inhibitor as a result of their targeting moiety, and as an IRAK4 protein degrader. As observed in the preceding data, we believe that kinase inhibition is not effective in all cell types, and that for degraders to be effective, IRAK4 protein should be eliminated from the myddosome. If a degrader can eliminate IRAK4 from the myddosome, we believe it can prevent the scaffolding of IRAK1 or IRAK2 and block cytokine signaling downstream of the myddosome.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To begin to study the degree to which degraders might sufficiently deplete IRAK4 protein to prevent myddosome function, we conducted a study to assess three IRAK4 protein degraders (including one IRAK4 degrader currently in third-party clinical development) using information published either in peer-reviewed or patent literature independent of us, which we refer to as IRAK4 Degrader A, IRAK4 Degrader B and IRAK4 Degrader C, and to evaluate their effect on IRAK4 protein levels in the whole cell lysate, at the myddosome, effect on scaffolding function and cytokine production in myeloid and non-myeloid cell types. IRAK4 Degrader A is a compound described in patent application WO2020113233 and in the article titled “</w:t>
      </w:r>
      <w:r>
        <w:rPr>
          <w:rFonts w:ascii="Arial" w:cs="Arial" w:eastAsia="Arial" w:hAnsi="Arial"/>
          <w:sz w:val="18"/>
          <w:szCs w:val="18"/>
          <w:i w:val="1"/>
          <w:iCs w:val="1"/>
          <w:color w:val="auto"/>
        </w:rPr>
        <w:t>Discovery of KT-474–a Potent, Selective, and Orally Bioavailable IRAK4</w:t>
      </w:r>
      <w:r>
        <w:rPr>
          <w:rFonts w:ascii="Arial" w:cs="Arial" w:eastAsia="Arial" w:hAnsi="Arial"/>
          <w:sz w:val="18"/>
          <w:szCs w:val="18"/>
          <w:color w:val="auto"/>
        </w:rPr>
        <w:t xml:space="preserve"> </w:t>
      </w:r>
      <w:r>
        <w:rPr>
          <w:rFonts w:ascii="Arial" w:cs="Arial" w:eastAsia="Arial" w:hAnsi="Arial"/>
          <w:sz w:val="18"/>
          <w:szCs w:val="18"/>
          <w:i w:val="1"/>
          <w:iCs w:val="1"/>
          <w:color w:val="auto"/>
        </w:rPr>
        <w:t>Degrader for the Treatment of Autoimmune Diseases</w:t>
      </w:r>
      <w:r>
        <w:rPr>
          <w:rFonts w:ascii="Arial" w:cs="Arial" w:eastAsia="Arial" w:hAnsi="Arial"/>
          <w:sz w:val="18"/>
          <w:szCs w:val="18"/>
          <w:color w:val="auto"/>
        </w:rPr>
        <w:t>” published in Volume 67, Issue 20 of the Journal of Medicinal Chemistry. IRAK4</w:t>
      </w:r>
      <w:r>
        <w:rPr>
          <w:rFonts w:ascii="Arial" w:cs="Arial" w:eastAsia="Arial" w:hAnsi="Arial"/>
          <w:sz w:val="18"/>
          <w:szCs w:val="18"/>
          <w:i w:val="1"/>
          <w:iCs w:val="1"/>
          <w:color w:val="auto"/>
        </w:rPr>
        <w:t xml:space="preserve"> </w:t>
      </w:r>
      <w:r>
        <w:rPr>
          <w:rFonts w:ascii="Arial" w:cs="Arial" w:eastAsia="Arial" w:hAnsi="Arial"/>
          <w:sz w:val="18"/>
          <w:szCs w:val="18"/>
          <w:color w:val="auto"/>
        </w:rPr>
        <w:t>Degrader B is a compound 9 described in the article titled “</w:t>
      </w:r>
      <w:r>
        <w:rPr>
          <w:rFonts w:ascii="Arial" w:cs="Arial" w:eastAsia="Arial" w:hAnsi="Arial"/>
          <w:sz w:val="18"/>
          <w:szCs w:val="18"/>
          <w:i w:val="1"/>
          <w:iCs w:val="1"/>
          <w:color w:val="auto"/>
        </w:rPr>
        <w:t>Targeting IRAK4 for Degradation with PROTACs</w:t>
      </w:r>
      <w:r>
        <w:rPr>
          <w:rFonts w:ascii="Arial" w:cs="Arial" w:eastAsia="Arial" w:hAnsi="Arial"/>
          <w:sz w:val="18"/>
          <w:szCs w:val="18"/>
          <w:color w:val="auto"/>
        </w:rPr>
        <w:t>” published in Volume 10, Issue 7 of ACS Medicinal Chemistry Letters. IRAK4 Degrader C is a compound described in example 13 in patent application WO2021168197. The comparisons and results described below may differ in material ways from third-party studies that use such IRAK4 protein degraders.</w:t>
      </w:r>
    </w:p>
    <w:p>
      <w:pPr>
        <w:spacing w:after="0" w:line="18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our experiments, and consistent with published literature, we observed a significant reduction in IRAK4 protein levels at a whole cell level in myeloid or non-myeloid cells treated with each of the IRAK4 degraders. However, we are not aware of any published data assessing IRAK4 protein levels in the myddosome. In our experiments, we observed that treating myeloid cells or non-myeloid cells with each of the IRAK4 degraders either had no observed effect or only partially reduced IRAK4 protein in the myddosome, had little or no observed effect on binding of IRAK1 to the myddosome, and reduced IRAK2 binding to the myddosome similar to what was observed with kinase inhibitors. These results suggest that these degraders likely do not sufficiently deplete IRAK4 in the myddosome to block IRAK1 or IRAK2 recruitment, and as a result, are not expected to completely block the downstream inflammatory response.</w:t>
      </w:r>
    </w:p>
    <w:p>
      <w:pPr>
        <w:spacing w:after="0" w:line="185"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As illustrated in the graphic below to the left, we observed that in BMDM, a type of myeloid cell, treated separately with each of the IRAK4 degraders and stimulated with LPS, both IRAK4 and IRAK1 are present in the immunoprecipitated myddosome. As set forth in the graphic at the right, we observed a generally similar result in human neonatal fibroblasts, a type of non-myeloid cell, showing that the impact of IRAK4 degradation is similar with respect to myddosome formation across cell types.</w:t>
      </w:r>
    </w:p>
    <w:p>
      <w:pPr>
        <w:spacing w:after="0" w:line="282" w:lineRule="exact"/>
        <w:rPr>
          <w:sz w:val="20"/>
          <w:szCs w:val="20"/>
          <w:color w:val="auto"/>
        </w:rPr>
      </w:pPr>
    </w:p>
    <w:p>
      <w:pPr>
        <w:jc w:val="center"/>
        <w:ind w:left="500" w:right="80"/>
        <w:spacing w:after="0" w:line="281" w:lineRule="auto"/>
        <w:rPr>
          <w:sz w:val="20"/>
          <w:szCs w:val="20"/>
          <w:color w:val="auto"/>
        </w:rPr>
      </w:pPr>
      <w:r>
        <w:rPr>
          <w:rFonts w:ascii="Arial" w:cs="Arial" w:eastAsia="Arial" w:hAnsi="Arial"/>
          <w:sz w:val="18"/>
          <w:szCs w:val="18"/>
          <w:b w:val="1"/>
          <w:bCs w:val="1"/>
          <w:color w:val="auto"/>
        </w:rPr>
        <w:t>Presence of IRAK1, IRAK2, IRAK4, and MYD88 in the Myddosome of Myeloid and Non-Myeloid Cells Following Treatment With IRAK4 Protein Degraders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-38100</wp:posOffset>
            </wp:positionV>
            <wp:extent cx="4457700" cy="1954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4577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Given the similar results we obtained with each degrader, we used IRAK4 Degrader A in our subsequent preclinical studies to assess downstream cytokine production.</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color w:val="auto"/>
        </w:rPr>
        <w:t>The graphs below illustrate the level of TNF inhibition in different subtypes of myeloid cells from healthy donors treated with IRAK4 Degrader A. We believe the observed blocking of cytokine production in myeloid cells is likely due to the activity of IRAK4 Degrader A as an IRAK4 kinase inhibitor, given that IRAK4 is present in the myddosome and IRAK1 is recruited.</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Inhibition of Cytokine Production by IRAK4 Degrader A in 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197485</wp:posOffset>
            </wp:positionV>
            <wp:extent cx="5143500" cy="1491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By contrast, and similar to IRAK4 kinase inhibitors, IRAK4 Degrader A did not exceed approximately 50% inhibition of CXCL1 in any of the non-myeloid cell types shown in the graph below. In the study represented below, the dermal fibroblasts and keratinocytes were taken from healthy donors, chondrocytes were from RA patients, and synoviocytes were from OA patients. Based on these results, we believe IRAK4 protein degraders are unlikely to completely block inflammatory signaling across non-myeloid cells, which includes cell types relevant in inflammatory diseases. In addition, we are not aware of publications reporting the depletion of IRAK4 in the myddosome.</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Inhibition of CXCL1 Production by IRAK4 Degrader A in Non-Myeloid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197485</wp:posOffset>
            </wp:positionV>
            <wp:extent cx="5194935" cy="11144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949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Similarly, IRAK4 Degrader A was only observed to inhibit IL-8 by approximately 70% in the synoviocyte cells shown in the graph below while IL-8 inhibition in keratinocytes did not exceed approximately 50%.</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5"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Inhibition of IL-8 Production by IRAK4 Degrader A in Non-Myeloid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197485</wp:posOffset>
            </wp:positionV>
            <wp:extent cx="3429000" cy="1491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Based on these results, we believe IRAK4 protein degraders are unlikely to completely block inflammatory signaling across non-myeloid cells, which includes cell types relevant in inflammatory diseases. To our knowledge, there are not any publications reporting the effect of IRAK4 degraders on IRAK4 levels in myddosome or the binding of IRAK1 or IRAK2 to IRAK4.</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Solution—IRAK4 Scaffolding Inhibitor</w:t>
      </w:r>
    </w:p>
    <w:p>
      <w:pPr>
        <w:spacing w:after="0" w:line="102"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are developing a small molecule designed to inhibit IRAK4 scaffolding across cell types. We believe blocking the ability of IRAK4 to bind with IRAK1 or IRAK2 has the potential to inhibit inflammatory signaling through the IL-1R/TLR pathways and provide a solution that addresses redundant cytokine signaling in inflammatory diseases. Existing medicines, such as anti-cytokine therapies, are limited by the continued signaling from cytokines that are not targeted and this limits their effectiveness or can enable resistance. Therefore, we are developing what we believe to be the first inhibitor of IRAK4 designed to prevent and disrupt the scaffold function of IRAK4 to IRAK1 and IRAK2, which we believe has the potential to completely and selectively block inflammatory signaling through the myddosome.</w:t>
      </w:r>
    </w:p>
    <w:p>
      <w:pPr>
        <w:spacing w:after="0" w:line="29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Illustrative Potential Mechanism of Action for Our IRAK4 Scaffolding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223520</wp:posOffset>
            </wp:positionV>
            <wp:extent cx="2691765" cy="28975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9176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960"/>
          </w:cols>
          <w:pgMar w:left="320" w:top="455" w:right="6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used three orthogonal assays to assess the IRAK4 scaffolding inhibitor: a surface plasma resonance, or SPR, based assay that detects binding of IRAK1 to IRAK4 to identify inhibitors that prevent scaffolding; an enzyme-linked immunosorbent assay, or ELISA, that detects disrupted IRAK4 scaffolding to IRAK1 in cells treated with inhibitors; and a myddosome immunoprecipitation assay previously used to assess IRAK4 kinase inhibitors and IRAK4 degraders.</w:t>
      </w:r>
    </w:p>
    <w:p>
      <w:pPr>
        <w:spacing w:after="0" w:line="174"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We observed concentration-dependent responses in the ability of the Odyssey Scaffolding Inhibitor to block IRAK1 binding using the SPR based assay, as shown in the graph to the left below, and to block IRAK4 scaffolding to IRAK1 within cells using the ELISA, as shown in the graph to the right below.</w:t>
      </w:r>
    </w:p>
    <w:p>
      <w:pPr>
        <w:spacing w:after="0" w:line="2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Concentration-Dependent Reduction in Scaffolding Activity Following Treatment With the Odyssey Scaffolding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223520</wp:posOffset>
            </wp:positionV>
            <wp:extent cx="5057775" cy="13455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5777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In contrast to our observations from the kinase inhibitors and degraders, we observed that the Odyssey Scaffolding Inhibitor blocked the ability of IRAK1 or IRAK2 to bind to IRAK4 in the myddosome of non-myeloid cells.</w:t>
      </w:r>
    </w:p>
    <w:p>
      <w:pPr>
        <w:spacing w:after="0" w:line="262" w:lineRule="exact"/>
        <w:rPr>
          <w:sz w:val="20"/>
          <w:szCs w:val="20"/>
          <w:color w:val="auto"/>
        </w:rPr>
      </w:pPr>
    </w:p>
    <w:p>
      <w:pPr>
        <w:jc w:val="center"/>
        <w:ind w:left="460" w:right="100"/>
        <w:spacing w:after="0" w:line="281" w:lineRule="auto"/>
        <w:rPr>
          <w:sz w:val="20"/>
          <w:szCs w:val="20"/>
          <w:color w:val="auto"/>
        </w:rPr>
      </w:pPr>
      <w:r>
        <w:rPr>
          <w:rFonts w:ascii="Arial" w:cs="Arial" w:eastAsia="Arial" w:hAnsi="Arial"/>
          <w:sz w:val="18"/>
          <w:szCs w:val="18"/>
          <w:b w:val="1"/>
          <w:bCs w:val="1"/>
          <w:color w:val="auto"/>
        </w:rPr>
        <w:t>Presence of IRAK1, IRAK2, IRAK4, and MYD88 in the Myddosome of Non-Myeloid Cells Following Treatment With the Odyssey Scaffolding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193040</wp:posOffset>
            </wp:positionV>
            <wp:extent cx="3274695" cy="2674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7469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We conducted a study in which we treated different subtypes of myeloid cells from healthy donors with the Odyssey Scaffolding Inhibitor, Kinase Inhibitor A or IRAK4 Degrader A, and observed inhibition of TNF as set forth in the graphs below. We believe that IRAK4 kinase inhibitors, IRAK4 degraders, and scaffolding inhibitors are each capable of inhibiting TNF cytokine expression in myeloid cells due to the apparent necessity of both scaffolding and kinase function for cytokine production.</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Inhibition of TNF Production by the Odyssey Scaffolding Inhibitor, Kinase Inhibitor A, and IRAK4 Degrader A in 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223520</wp:posOffset>
            </wp:positionV>
            <wp:extent cx="5194935" cy="11315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9493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 another preclinical study, we treated different subtypes of non-myeloid cells with the Odyssey Scaffolding Inhibitor, Kinase Inhibitor A or IRAK4 Degrader A, and observed the inhibition of CXCL1 set forth in the graphs below. In this study, dermal fibroblasts and keratinocytes were taken from healthy donors, chondrocytes were taken from RA patients and synoviocytes were taken from OA patients. In contrast to the kinase inhibitors and degraders, we observed the Odyssey Scaffolding Inhibitor to effectively block CXCL1 cytokine expression in non-myeloid cells, similar to our observations in myeloid cells.</w:t>
      </w:r>
    </w:p>
    <w:p>
      <w:pPr>
        <w:spacing w:after="0" w:line="284" w:lineRule="exact"/>
        <w:rPr>
          <w:sz w:val="20"/>
          <w:szCs w:val="20"/>
          <w:color w:val="auto"/>
        </w:rPr>
      </w:pPr>
    </w:p>
    <w:p>
      <w:pPr>
        <w:jc w:val="center"/>
        <w:ind w:left="500" w:right="40"/>
        <w:spacing w:after="0" w:line="281" w:lineRule="auto"/>
        <w:rPr>
          <w:sz w:val="20"/>
          <w:szCs w:val="20"/>
          <w:color w:val="auto"/>
        </w:rPr>
      </w:pPr>
      <w:r>
        <w:rPr>
          <w:rFonts w:ascii="Arial" w:cs="Arial" w:eastAsia="Arial" w:hAnsi="Arial"/>
          <w:sz w:val="18"/>
          <w:szCs w:val="18"/>
          <w:b w:val="1"/>
          <w:bCs w:val="1"/>
          <w:color w:val="auto"/>
        </w:rPr>
        <w:t>Inhibition of CXCL1 Production by the Odyssey Scaffolding Inhibitor, Kinase Inhibitor A and IRAK4 Degrader A in Non-Myeloid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175895</wp:posOffset>
            </wp:positionV>
            <wp:extent cx="5194935" cy="12598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9493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We also studied the impact of the Odyssey Scaffolding Inhibitor on the inhibition of IL-8, another cytokine. As shown in the graphs below, the Odyssey Scaffolding Inhibitor was observed to achieve 100% IL-8 inhibition in this study, providing further support for our belief that scaffolding inhibition has the potential to work across cell types and cytokines.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5" w:right="5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Inhibition of IL-8 Production by Odyssey Scaffolding Inhibitor in Non-Myeloid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223520</wp:posOffset>
            </wp:positionV>
            <wp:extent cx="4337685" cy="17741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3768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Thereafter, we conducted a study to assess the Odyssey Scaffolding Inhibitor compared to other IRAK4 kinase inhibitors and IRAK4 degraders across additional cell types and measured multiple inflammatory cytokines. In this study, we pre-treated cells with the respective IRAK4 inhibitor or degrader followed by stimulation with cell appropriate stimuli (e.g., IL-1ß for non-myeloid cells and R848 for myeloid cells).</w:t>
      </w:r>
    </w:p>
    <w:p>
      <w:pPr>
        <w:spacing w:after="0" w:line="174" w:lineRule="exact"/>
        <w:rPr>
          <w:sz w:val="20"/>
          <w:szCs w:val="20"/>
          <w:color w:val="auto"/>
        </w:rPr>
      </w:pPr>
    </w:p>
    <w:p>
      <w:pPr>
        <w:ind w:left="120" w:right="420" w:firstLine="551"/>
        <w:spacing w:after="0" w:line="253" w:lineRule="auto"/>
        <w:rPr>
          <w:sz w:val="20"/>
          <w:szCs w:val="20"/>
          <w:color w:val="auto"/>
        </w:rPr>
      </w:pPr>
      <w:r>
        <w:rPr>
          <w:rFonts w:ascii="Arial" w:cs="Arial" w:eastAsia="Arial" w:hAnsi="Arial"/>
          <w:sz w:val="18"/>
          <w:szCs w:val="18"/>
          <w:color w:val="auto"/>
        </w:rPr>
        <w:t>In this study, we observed consistent inhibition of cytokines with the Odyssey Scaffolding Inhibitor across both myeloid and non-myeloid cell types. The graphic below illustrates the observed degree of cytokine inhibition for the IRAK4 inhibitor and degrader approaches across the cytokines and cell types.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Inhibition of Cytokines Across Cell Types by the Odyssey Scaffolding Inhibitor, IRAK4 Degraders and IRAK4 Kinase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230505</wp:posOffset>
            </wp:positionV>
            <wp:extent cx="5194935" cy="24174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Given the cytokine inhibition response we observed in cell types important to joint function in multiple diseases with unmet need, we assessed the Odyssey Scaffolding Inhibitor compared to IRAK4</w:t>
      </w:r>
    </w:p>
    <w:p>
      <w:pPr>
        <w:spacing w:after="0" w:line="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00"/>
          </w:cols>
          <w:pgMar w:left="320" w:top="455" w:right="5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Degrader A in the collagen antibody induced arthritis, or CAIA, model, which is a frequently used preclinical model for joint disease given it resembles features of human RA.</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this study, 30 mice, equally distributed across three groups, were given once daily doses of the Odyssey Scaffolding Inhibitor (50 mg/kg), twice daily doses of IRAK4 Degrader A (100 mg/kg) or vehicle from day 0 through day 9. A collagen antibody cocktail was given on day 0 and mice were stimulated with LPS on day 4. Thereafter, disease development was tracked between day 5 and day 9 by paw volume. At day 9, there were nine mice in the vehicle group, 10 mice in the IRAK4 Degrader A group and seven mice in the Odyssey Scaffolding Inhibitor group. Increased paw volume is used in CAIA models as a measure of increased inflammation and overall disease activity. In this model, we observed that IRAK4 Degrader A was statistically indistinguishable from vehicle treatment, whereas the Odyssey Scaffolding Inhibitor was observed to reduce the severity of CAIA in mice as evidenced by a maximum arthritis score of less than 3 during the study and reduction in the increase in paw volume by 78% compared to vehicle. Paw volumes of the Odyssey Scaffolding Inhibitor treated mice were observed not to be significantly different than naïve mice.</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Odyssey Scaffolding Inhibitor Observed to Reduce Severity of CAIA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223520</wp:posOffset>
            </wp:positionV>
            <wp:extent cx="4646295" cy="17227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64629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We conducted a second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using the Odyssey Scaffolding Inhibitor or IRAK4 Degrader A in a murine imiquimod provocation model that produces histological changes resembling psoriasis. In this study, mice were given once daily doses of Odyssey Scaffolding Inhibitor (50 mg/kg, n=10) or IRAK4 Degrader A (100 mg/kg, n=9) from days 1 to 5 with samples collected on day 5. The pictures below on the left show the gross appearance of the skin from representative mice from each treatment group. In the IRAK4 Degrader A treated mice, protein expression in ear tissue was assessed by capillary electrophoresis to confirm IRAK4 Degrader A treatment was sufficient to decrease protein levels on a whole cell basis. The chart to the right shows the histology score for the mice in the study. While mice treated with Odyssey Scaffolding Inhibitor showed a statistically significant reduction in histology score, the histology score for IRAK4 Degrader A was not statistically different from vehicle.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Odyssey Scaffolding Inhibitor Reduced Histology in Imiquimod Provocation Model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223520</wp:posOffset>
            </wp:positionV>
            <wp:extent cx="4406265" cy="3549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40626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line="283" w:lineRule="auto"/>
        <w:rPr>
          <w:sz w:val="20"/>
          <w:szCs w:val="20"/>
          <w:color w:val="auto"/>
        </w:rPr>
      </w:pPr>
      <w:r>
        <w:rPr>
          <w:rFonts w:ascii="Arial" w:cs="Arial" w:eastAsia="Arial" w:hAnsi="Arial"/>
          <w:sz w:val="16"/>
          <w:szCs w:val="16"/>
          <w:i w:val="1"/>
          <w:iCs w:val="1"/>
          <w:color w:val="auto"/>
        </w:rPr>
        <w:t>One-way ANOVA conducted to evaluate statistical significance between groups; no matching or pairing and including Fisher’s LSD multiple comparisons test; *** = p &lt; 0.001; **** = p &lt; 0.0001.</w:t>
      </w:r>
    </w:p>
    <w:p>
      <w:pPr>
        <w:spacing w:after="0" w:line="153"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 xml:space="preserve">We believe our preclinical </w:t>
      </w:r>
      <w:r>
        <w:rPr>
          <w:rFonts w:ascii="Arial" w:cs="Arial" w:eastAsia="Arial" w:hAnsi="Arial"/>
          <w:sz w:val="18"/>
          <w:szCs w:val="18"/>
          <w:i w:val="1"/>
          <w:iCs w:val="1"/>
          <w:color w:val="auto"/>
        </w:rPr>
        <w:t>in vitro and in vivo</w:t>
      </w:r>
      <w:r>
        <w:rPr>
          <w:rFonts w:ascii="Arial" w:cs="Arial" w:eastAsia="Arial" w:hAnsi="Arial"/>
          <w:sz w:val="18"/>
          <w:szCs w:val="18"/>
          <w:color w:val="auto"/>
        </w:rPr>
        <w:t xml:space="preserve"> data supports our belief that our oral IRAK4 scaffolding inhibitor has the potential to suppress IRAK4 scaffolding and as a result control myddosome based inflammatory signaling across disease relevant cell types. We believe the inhibition of inflammatory signaling across cell types, and particularly in non-myeloid cells is relevant to the initiation and maintenance of inflammatory diseases such as AD, HS and OA and illustrates a therapeutic advantage of our IRAK4 scaffolding inhibitor over IRAK4 degradation or IRAK4 kinase inhibition.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Status and Future Clinical Plans for Our IRAK4 Program</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expect to nominate a development candidate for our IRAK4 program in the fourth quarter of 2024 and, pending an acceptable profile in IND-enabling toxicology studies, file a CTA in Australia by the end of 2025. The Phase 1 trial in healthy volunteers is expected to consist of a SAD component with approximately six dose levels, a MAD component with approximately four dose levels, with approximately 100 participants expected to be enrolled, and a food effect component with approximately ten participants expected. The Phase 1 trials will be designed to assess the safety and PK and PD of our IRAK4 scaffolding inhibitor. In the MAD portion of the trial, we intend to utilize a skin-based provocation assay in some of the cohorts using the TLR7/8 agonist, imiquimod, in a topical formulation and obtain skin punch biopsies or utilize suction blisters to assess clinical, cellular, and cytokine-level responses as early surrogates for efficacy. We have not yet completed the design of our</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5" w:right="4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Phase 1 trial but the final imiquimod provocation design and methods will be informed by a randomized, double-blind, placebo-controlled study of 24 healthy participants published in “</w:t>
      </w:r>
      <w:r>
        <w:rPr>
          <w:rFonts w:ascii="Arial" w:cs="Arial" w:eastAsia="Arial" w:hAnsi="Arial"/>
          <w:sz w:val="18"/>
          <w:szCs w:val="18"/>
          <w:i w:val="1"/>
          <w:iCs w:val="1"/>
          <w:color w:val="auto"/>
        </w:rPr>
        <w:t>Oral prednisolone suppresses skin inflammation in a healthy volunteer imiquimod challenge</w:t>
      </w:r>
      <w:r>
        <w:rPr>
          <w:rFonts w:ascii="Arial" w:cs="Arial" w:eastAsia="Arial" w:hAnsi="Arial"/>
          <w:sz w:val="18"/>
          <w:szCs w:val="18"/>
          <w:color w:val="auto"/>
        </w:rPr>
        <w:t xml:space="preserve"> </w:t>
      </w:r>
      <w:r>
        <w:rPr>
          <w:rFonts w:ascii="Arial" w:cs="Arial" w:eastAsia="Arial" w:hAnsi="Arial"/>
          <w:sz w:val="18"/>
          <w:szCs w:val="18"/>
          <w:i w:val="1"/>
          <w:iCs w:val="1"/>
          <w:color w:val="auto"/>
        </w:rPr>
        <w:t>model</w:t>
      </w:r>
      <w:r>
        <w:rPr>
          <w:rFonts w:ascii="Arial" w:cs="Arial" w:eastAsia="Arial" w:hAnsi="Arial"/>
          <w:sz w:val="18"/>
          <w:szCs w:val="18"/>
          <w:color w:val="auto"/>
        </w:rPr>
        <w:t>,” Volume 14 of Frontiers in Immunology that used prednisolone as a positive control to validate the use of this cutaneous challenge</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assess novel anti-inflammatory compounds in healthy participants as shown in the figure below. We currently expect to commence this trial in the first half of 2026, if approved to proceed, and announce results from this trial in the second half of 2026.</w:t>
      </w:r>
    </w:p>
    <w:p>
      <w:pPr>
        <w:spacing w:after="0" w:line="28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Imiquimod Provocation in Third-Party Phase 1 Healthy Participant Trial Supports Our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223520</wp:posOffset>
            </wp:positionV>
            <wp:extent cx="5194935" cy="2348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949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 = p &lt; 0.05; ** = p &lt; 0.01; TS = tape stripped.</w:t>
      </w:r>
    </w:p>
    <w:p>
      <w:pPr>
        <w:spacing w:after="0" w:line="21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Following our Phase 1 trial, we expect to conduct a signal seeking trial in two or more indications such as AD, HS and OA. We anticipate at least one of the indications enrolled will be a dermatologic indication, such as AD. AD has clinical proof of concept for targeting cytokines modulated by the IL-1R/TLR pathway, emerging signs of efficacy from IRAK4 degraders and unmet need. We believe that enrolling patients with skin disease can be beneficial for long-term clinical development due to the ability to observe potential benefits rapidly in a small number of patients and the ability to obtain biopsies to assess target PD in diseased tissue.</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5" w:right="5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IRAK4 Scaffolding Inhibitor Planned Phase 1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223520</wp:posOffset>
            </wp:positionV>
            <wp:extent cx="5143500" cy="37719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TNFR2</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OD-00910 is a monospecific, tetravalent V-body that is designed to agonize TNFR2 selectively on Treg. TNFR2 is a receptor that is highly expressed on Treg, with relatively limited expression on other cells. We believe effective modulation of Treg is a compelling approach to treat autoimmune and inflammatory diseases because of the link between these diseases and Treg dysregulation and the ability of Treg to modulate multiple elements of an immune response. We believe OD-00910 has the potential to harness the full capacity of a Treg-targeted therapy, because TNFR2 agonism (unlike previous approaches to induce Treg with IL-2) exerts several favorable effects on Treg. These effects include selective Treg expansion, increased immunosuppressive function, increased resistance to shift to a pathogenic ex-Treg state in an inflammatory environment and induction of a tissue repair phenotype. We believe an effective modulator of Treg would have broad applicability across inflammatory diseases, including AD, SLE, vitiligo, T1D, multiple sclerosis, or MS, and RA.</w:t>
      </w:r>
    </w:p>
    <w:p>
      <w:pPr>
        <w:spacing w:after="0" w:line="180"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We have completed developability, immunogenicity, forced degradation and high concentration assessments for advancement of our development candidate OD-00910. IND-enabling activities for OD-00910 are ongoing, and, pending an acceptable profile in IND-enabling toxicology studies, we currently expect to file a CTA in Australia by the end of 2025.</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Role of Treg in Immune Response</w:t>
      </w:r>
    </w:p>
    <w:p>
      <w:pPr>
        <w:spacing w:after="0" w:line="102" w:lineRule="exact"/>
        <w:rPr>
          <w:sz w:val="20"/>
          <w:szCs w:val="20"/>
          <w:color w:val="auto"/>
        </w:rPr>
      </w:pPr>
    </w:p>
    <w:p>
      <w:pPr>
        <w:ind w:left="120" w:right="160" w:firstLine="551"/>
        <w:spacing w:after="0" w:line="257" w:lineRule="auto"/>
        <w:rPr>
          <w:sz w:val="20"/>
          <w:szCs w:val="20"/>
          <w:color w:val="auto"/>
        </w:rPr>
      </w:pPr>
      <w:r>
        <w:rPr>
          <w:rFonts w:ascii="Arial" w:cs="Arial" w:eastAsia="Arial" w:hAnsi="Arial"/>
          <w:sz w:val="17"/>
          <w:szCs w:val="17"/>
          <w:color w:val="auto"/>
        </w:rPr>
        <w:t>Treg are a subset of T cells that exert immunosuppressive activity through multiple mechanisms including secretion of mediators, metabolic disruption and direct cytolysis. In addition to having anti-inflammatory effects, a subpopulation of Treg found in tissues has the ability to induce regenerative responses in non-lymphoid cells, leading to repair of tissue and organ damage that in turn may prevent fibrosis. Treg have a number of surface receptors that govern their proliferation, function and quality. Therefore, agonists, or antagonists, of these receptors have potential to therapeutically modulate Treg activity. Results from clinical trials testing IL-2 receptor agonism, another receptor present on Treg, have provided evidence that Treg modulation may be a mechanism to treat disease, however, modest and sometimes inconsistent therapeutic effects with IL-2-based therapies suggests alternative approaches are warranted.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image below depicts the following three functions of Treg:</w:t>
      </w:r>
    </w:p>
    <w:p>
      <w:pPr>
        <w:spacing w:after="0" w:line="117"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Treg suppress the proliferation and differentiation of inflammatory immune cells.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Treg reduce activation of T cells including CD8+ and CD4+ T-helper, or Th, cells such as Th1, Th2 and Th17.</w:t>
      </w:r>
    </w:p>
    <w:p>
      <w:pPr>
        <w:spacing w:after="0" w:line="117" w:lineRule="exact"/>
        <w:rPr>
          <w:rFonts w:ascii="Arial" w:cs="Arial" w:eastAsia="Arial" w:hAnsi="Arial"/>
          <w:sz w:val="18"/>
          <w:szCs w:val="18"/>
          <w:color w:val="auto"/>
        </w:rPr>
      </w:pPr>
    </w:p>
    <w:p>
      <w:pPr>
        <w:ind w:left="1300" w:right="80" w:hanging="644"/>
        <w:spacing w:after="0" w:line="253"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addition to having anti-inflammatory effects, a subpopulation of Treg found in tissues expresses a set of genes that provide them the ability to induce regenerative responses in non-lymphoid cells, repairing tissue and organ damage that in turn may prevent fibrosis.</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 of Treg Role in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197485</wp:posOffset>
            </wp:positionV>
            <wp:extent cx="4183380" cy="23831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18338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Role of TNFR2 in Autoimmune Disease</w:t>
      </w:r>
    </w:p>
    <w:p>
      <w:pPr>
        <w:spacing w:after="0" w:line="10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TNFR2 is a surface receptor that is highly expressed on Treg, and agonism of TNFR2 induces Treg activation and responses that underlie immunosuppressive function. NF-</w:t>
      </w:r>
      <w:r>
        <w:rPr>
          <w:rFonts w:ascii="Times New Roman" w:cs="Times New Roman" w:eastAsia="Times New Roman" w:hAnsi="Times New Roman"/>
          <w:sz w:val="18"/>
          <w:szCs w:val="18"/>
          <w:color w:val="auto"/>
        </w:rPr>
        <w:t>k</w:t>
      </w:r>
      <w:r>
        <w:rPr>
          <w:rFonts w:ascii="Arial" w:cs="Arial" w:eastAsia="Arial" w:hAnsi="Arial"/>
          <w:sz w:val="18"/>
          <w:szCs w:val="18"/>
          <w:color w:val="auto"/>
        </w:rPr>
        <w:t>B activation in Treg resulting from TNFR2 agonism increases Treg proliferation and expression of FOXP3, which is considered a master regulator of Treg function. High FOXP3 expression has been correlated with increased immunosuppressive Treg activity, and low FOXP3 expression with reduced function and quality of Treg and with autoimmune disease. We believe a TNFR2 agonist triggers an epigenetic program that may result in stable FOXP3 expression and therapeutic effects in patients with autoimmune and inflammatory diseases.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It is important that a TNFR2 agonist intended to treat autoimmune diseases selectively activates Treg while avoiding effects on other cell types because activating non-Treg cells, including Teff and endothelial cells, is expected to introduce safety risks and reduce efficacy. Although TNFR2 agonism can promote Teff proliferation, it is not known to induce Teff activation or production of proinflammatory cytokines. Lack of an activating effect on Teff differentiates TNFR2 from other cell receptors, such as CD28, OX40 or GITR, that could be targeted to induce Treg responses but are not good choices for targeting treatment of treat autoimmune and inflammatory disease since these activate Teff. We believe these data points suggest TNFR2 agonist therapy may have a lower risk of inducing cytotoxic and pro-inflammatory effects resulting from Teff activation than agonists that activate these other Treg receptors.</w:t>
      </w:r>
    </w:p>
    <w:p>
      <w:pPr>
        <w:spacing w:after="0" w:line="185"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In addition to expression on Teff, TNFR2 is also expressed in endothelial cells, which line the inside of blood vessels, lymph vessels and the heart. Activation of endothelial cells can lead to the secretion of proinflammatory cytokines and chemokines, including MCP-1, which is believed to play an important role in cardiovascular disease. Therefore, we believe it is also important that a TNFR2 agonist developed to treat autoimmune disease results in minimal or no endothelial cell activation or accompanying MCP-1 release.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Dysregulation of Treg is Broadly Implicated in Autoimmune and Inflammatory Diseases</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Treg play a necessary role in immune homeostasis, including preventing autoimmune disease and pathogenic inflammation. Dysregulation of Treg function or a reduction in their number has been shown to cause disease or aggravate clinical outcomes. In autoimmune diseases, the loss of Treg-mediated suppression leads to an overactive immune response against self-antigens, resulting in tissue damage and chronic inflammation. In inflammatory diseases, Treg dysregulation leads to uncontrolled inflammatory responses due to unchecked activity of Th1, Th2 and Th17 immune cells. Therefore, increasing Treg number in tissues by driving proliferation and tissue-homing, improving Treg function, generating Treg that have a stable immunosuppressive phenotype, and inducing Treg with genetically programmed tissue repair function has the potential to control ongoing disease activity, prevent disease progression and reverse the effects of tissue damage in patients with multiple types of immune-mediated and inflammatory diseases.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The table below details several autoimmune and inflammatory diseases where Treg dysregulation has been implicated that are potential indications that we may evaluate in future clinical trials.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Disease</w:t>
            </w:r>
          </w:p>
        </w:tc>
        <w:tc>
          <w:tcPr>
            <w:tcW w:w="220" w:type="dxa"/>
            <w:vAlign w:val="bottom"/>
          </w:tcPr>
          <w:p>
            <w:pPr>
              <w:spacing w:after="0"/>
              <w:rPr>
                <w:sz w:val="16"/>
                <w:szCs w:val="16"/>
                <w:color w:val="auto"/>
              </w:rPr>
            </w:pPr>
          </w:p>
        </w:tc>
        <w:tc>
          <w:tcPr>
            <w:tcW w:w="650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Link to Treg Dysregulation</w:t>
            </w:r>
          </w:p>
        </w:tc>
      </w:tr>
      <w:tr>
        <w:trPr>
          <w:trHeight w:val="177"/>
        </w:trPr>
        <w:tc>
          <w:tcPr>
            <w:tcW w:w="4300" w:type="dxa"/>
            <w:vAlign w:val="bottom"/>
          </w:tcPr>
          <w:p>
            <w:pPr>
              <w:spacing w:after="0" w:line="177" w:lineRule="exact"/>
              <w:rPr>
                <w:sz w:val="20"/>
                <w:szCs w:val="20"/>
                <w:color w:val="auto"/>
              </w:rPr>
            </w:pPr>
            <w:r>
              <w:rPr>
                <w:rFonts w:ascii="Arial" w:cs="Arial" w:eastAsia="Arial" w:hAnsi="Arial"/>
                <w:sz w:val="18"/>
                <w:szCs w:val="18"/>
                <w:color w:val="auto"/>
              </w:rPr>
              <w:t>Atopic Dermatitis (AD)</w:t>
            </w:r>
          </w:p>
        </w:tc>
        <w:tc>
          <w:tcPr>
            <w:tcW w:w="220" w:type="dxa"/>
            <w:vAlign w:val="bottom"/>
          </w:tcPr>
          <w:p>
            <w:pPr>
              <w:spacing w:after="0"/>
              <w:rPr>
                <w:sz w:val="15"/>
                <w:szCs w:val="15"/>
                <w:color w:val="auto"/>
              </w:rPr>
            </w:pPr>
          </w:p>
        </w:tc>
        <w:tc>
          <w:tcPr>
            <w:tcW w:w="6500" w:type="dxa"/>
            <w:vAlign w:val="bottom"/>
          </w:tcPr>
          <w:p>
            <w:pPr>
              <w:spacing w:after="0" w:line="177" w:lineRule="exact"/>
              <w:rPr>
                <w:sz w:val="20"/>
                <w:szCs w:val="20"/>
                <w:color w:val="auto"/>
              </w:rPr>
            </w:pPr>
            <w:r>
              <w:rPr>
                <w:rFonts w:ascii="Arial" w:cs="Arial" w:eastAsia="Arial" w:hAnsi="Arial"/>
                <w:sz w:val="18"/>
                <w:szCs w:val="18"/>
                <w:color w:val="auto"/>
              </w:rPr>
              <w:t>AD patients exhibit dysfunctional Treg. The compromised regulatory capacity of</w:t>
            </w:r>
          </w:p>
        </w:tc>
      </w:tr>
      <w:tr>
        <w:trPr>
          <w:trHeight w:val="239"/>
        </w:trPr>
        <w:tc>
          <w:tcPr>
            <w:tcW w:w="430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Treg in AD contributes to chronic inflammation and tissue damage in the skin.</w:t>
            </w:r>
          </w:p>
        </w:tc>
      </w:tr>
      <w:tr>
        <w:trPr>
          <w:trHeight w:val="274"/>
        </w:trPr>
        <w:tc>
          <w:tcPr>
            <w:tcW w:w="4300" w:type="dxa"/>
            <w:vAlign w:val="bottom"/>
          </w:tcPr>
          <w:p>
            <w:pPr>
              <w:spacing w:after="0"/>
              <w:rPr>
                <w:sz w:val="20"/>
                <w:szCs w:val="20"/>
                <w:color w:val="auto"/>
              </w:rPr>
            </w:pPr>
            <w:r>
              <w:rPr>
                <w:rFonts w:ascii="Arial" w:cs="Arial" w:eastAsia="Arial" w:hAnsi="Arial"/>
                <w:sz w:val="18"/>
                <w:szCs w:val="18"/>
                <w:color w:val="auto"/>
              </w:rPr>
              <w:t>Systemic Lupus Erythematosus (SLE)</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SLE patients may have a lower number of circulating Treg, impaired Treg</w:t>
            </w:r>
          </w:p>
        </w:tc>
      </w:tr>
      <w:tr>
        <w:trPr>
          <w:trHeight w:val="239"/>
        </w:trPr>
        <w:tc>
          <w:tcPr>
            <w:tcW w:w="430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function and stability.</w:t>
            </w:r>
          </w:p>
        </w:tc>
      </w:tr>
      <w:tr>
        <w:trPr>
          <w:trHeight w:val="274"/>
        </w:trPr>
        <w:tc>
          <w:tcPr>
            <w:tcW w:w="4300" w:type="dxa"/>
            <w:vAlign w:val="bottom"/>
          </w:tcPr>
          <w:p>
            <w:pPr>
              <w:spacing w:after="0"/>
              <w:rPr>
                <w:sz w:val="20"/>
                <w:szCs w:val="20"/>
                <w:color w:val="auto"/>
              </w:rPr>
            </w:pPr>
            <w:r>
              <w:rPr>
                <w:rFonts w:ascii="Arial" w:cs="Arial" w:eastAsia="Arial" w:hAnsi="Arial"/>
                <w:sz w:val="18"/>
                <w:szCs w:val="18"/>
                <w:color w:val="auto"/>
              </w:rPr>
              <w:t>Vitiligo</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Vitiligo patients have reduced number of Treg and remaining Treg have reduced</w:t>
            </w:r>
          </w:p>
        </w:tc>
      </w:tr>
      <w:tr>
        <w:trPr>
          <w:trHeight w:val="203"/>
        </w:trPr>
        <w:tc>
          <w:tcPr>
            <w:tcW w:w="43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immunosuppressive function, reduced FOXP3 expression, and reduced</w:t>
            </w:r>
          </w:p>
        </w:tc>
      </w:tr>
      <w:tr>
        <w:trPr>
          <w:trHeight w:val="203"/>
        </w:trPr>
        <w:tc>
          <w:tcPr>
            <w:tcW w:w="43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expression of key Treg-associated immunosuppressive cytokines IL-10 and</w:t>
            </w:r>
          </w:p>
        </w:tc>
      </w:tr>
      <w:tr>
        <w:trPr>
          <w:trHeight w:val="239"/>
        </w:trPr>
        <w:tc>
          <w:tcPr>
            <w:tcW w:w="430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TGF-ß.</w:t>
            </w:r>
          </w:p>
        </w:tc>
      </w:tr>
      <w:tr>
        <w:trPr>
          <w:trHeight w:val="274"/>
        </w:trPr>
        <w:tc>
          <w:tcPr>
            <w:tcW w:w="4300" w:type="dxa"/>
            <w:vAlign w:val="bottom"/>
          </w:tcPr>
          <w:p>
            <w:pPr>
              <w:spacing w:after="0"/>
              <w:rPr>
                <w:sz w:val="20"/>
                <w:szCs w:val="20"/>
                <w:color w:val="auto"/>
              </w:rPr>
            </w:pPr>
            <w:r>
              <w:rPr>
                <w:rFonts w:ascii="Arial" w:cs="Arial" w:eastAsia="Arial" w:hAnsi="Arial"/>
                <w:sz w:val="18"/>
                <w:szCs w:val="18"/>
                <w:color w:val="auto"/>
              </w:rPr>
              <w:t>Type 1 Diabetes (T1D)</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T1D is characterized by a significant reduction in the number and functionality of</w:t>
            </w:r>
          </w:p>
        </w:tc>
      </w:tr>
      <w:tr>
        <w:trPr>
          <w:trHeight w:val="203"/>
        </w:trPr>
        <w:tc>
          <w:tcPr>
            <w:tcW w:w="43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Treg. The failure of Treg to control autoimmune responses against pancreatic</w:t>
            </w:r>
          </w:p>
        </w:tc>
      </w:tr>
      <w:tr>
        <w:trPr>
          <w:trHeight w:val="239"/>
        </w:trPr>
        <w:tc>
          <w:tcPr>
            <w:tcW w:w="430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beta cells leads to their destruction and subsequent insulin deficiency.</w:t>
            </w:r>
          </w:p>
        </w:tc>
      </w:tr>
      <w:tr>
        <w:trPr>
          <w:trHeight w:val="274"/>
        </w:trPr>
        <w:tc>
          <w:tcPr>
            <w:tcW w:w="4300" w:type="dxa"/>
            <w:vAlign w:val="bottom"/>
          </w:tcPr>
          <w:p>
            <w:pPr>
              <w:spacing w:after="0"/>
              <w:rPr>
                <w:sz w:val="20"/>
                <w:szCs w:val="20"/>
                <w:color w:val="auto"/>
              </w:rPr>
            </w:pPr>
            <w:r>
              <w:rPr>
                <w:rFonts w:ascii="Arial" w:cs="Arial" w:eastAsia="Arial" w:hAnsi="Arial"/>
                <w:sz w:val="18"/>
                <w:szCs w:val="18"/>
                <w:color w:val="auto"/>
              </w:rPr>
              <w:t>Multiple Sclerosis (MS)</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MS is marked by a decrease in Treg numbers relative to Th17 cells and an</w:t>
            </w:r>
          </w:p>
        </w:tc>
      </w:tr>
      <w:tr>
        <w:trPr>
          <w:trHeight w:val="203"/>
        </w:trPr>
        <w:tc>
          <w:tcPr>
            <w:tcW w:w="43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overall diminished ability of Treg to suppress inflammatory responses in the</w:t>
            </w:r>
          </w:p>
        </w:tc>
      </w:tr>
      <w:tr>
        <w:trPr>
          <w:trHeight w:val="203"/>
        </w:trPr>
        <w:tc>
          <w:tcPr>
            <w:tcW w:w="43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central nervous system. The reduced immunosuppressive function and instability</w:t>
            </w:r>
          </w:p>
        </w:tc>
      </w:tr>
      <w:tr>
        <w:trPr>
          <w:trHeight w:val="239"/>
        </w:trPr>
        <w:tc>
          <w:tcPr>
            <w:tcW w:w="430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of Treg in MS patients is linked to disease progression and relapse.</w:t>
            </w:r>
          </w:p>
        </w:tc>
      </w:tr>
      <w:tr>
        <w:trPr>
          <w:trHeight w:val="274"/>
        </w:trPr>
        <w:tc>
          <w:tcPr>
            <w:tcW w:w="4300" w:type="dxa"/>
            <w:vAlign w:val="bottom"/>
          </w:tcPr>
          <w:p>
            <w:pPr>
              <w:spacing w:after="0"/>
              <w:rPr>
                <w:sz w:val="20"/>
                <w:szCs w:val="20"/>
                <w:color w:val="auto"/>
              </w:rPr>
            </w:pPr>
            <w:r>
              <w:rPr>
                <w:rFonts w:ascii="Arial" w:cs="Arial" w:eastAsia="Arial" w:hAnsi="Arial"/>
                <w:sz w:val="18"/>
                <w:szCs w:val="18"/>
                <w:color w:val="auto"/>
              </w:rPr>
              <w:t>Rheumatoid Arthritis (RA)</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RA patients show decreased Treg frequencies in peripheral blood and inflamed</w:t>
            </w:r>
          </w:p>
        </w:tc>
      </w:tr>
      <w:tr>
        <w:trPr>
          <w:trHeight w:val="203"/>
        </w:trPr>
        <w:tc>
          <w:tcPr>
            <w:tcW w:w="43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joints. The functional impairment of Treg, specifically in the inflamed environment</w:t>
            </w:r>
          </w:p>
        </w:tc>
      </w:tr>
      <w:tr>
        <w:trPr>
          <w:trHeight w:val="239"/>
        </w:trPr>
        <w:tc>
          <w:tcPr>
            <w:tcW w:w="430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of RA, is associated with persistent inflammation and joint damage.</w:t>
            </w:r>
          </w:p>
        </w:tc>
      </w:tr>
    </w:tbl>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Given the links between Treg dysregulation and autoimmune and inflammatory disease, we believe a Treg directed therapy has the potential to be used across multiple inflammatory conditions to benefit a broad range of patients. However, within disease populations, we believe patients with definable Treg deficiencies may especially benefit from Treg-directed therapy which provides a basis for a possible patient selection strategy that enrolls patients with Treg deficiency to potentially increase the treatment effect size in clinical studies. Increases in Treg cell number and the expression of certain genes and proteins in Treg that are linked to increased function can be monitored as biomarkers, both at sites of intended therapeutic action, such as the skin, or systemically in the blood, to guide dosing. We believe Treg biomarkers may be a useful surrogate to predict clinical efficacy.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TNFR2 Agonism Can Potentially Overcome Limitations of Existing Therapies</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No drugs have been approved to treat disease by modulating Treg; however, a number are in development. Those include, in addition to TNFR2 agonists, two other classes: IL-2 receptor targeted therapies and cell therapies. Low-dose IL-2 therapies provide clinical precedent for the potential of Treg modulation to treat diseases, including T1D and SLE, but efficacy has been inconsistent in studies testing these therapies. Limited and inconsistent efficacy of low-dose IL-2 has been attributed to its short half-life, measured in minutes, and its similar potency for Treg and non-target cells, such as Teff. Second generation IL-2 receptor targeted approaches sought to address these shortcomings through the use of IL-2 muteins that bias the agonist properties towards IL-2 receptors on Treg and away from IL-2 receptors on other cells and have increased half-life compared to IL-2. We believe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these therapies are likely to have limited efficacy due to the fact that while IL-2 can induce Treg proliferation, it has not been observed to improve the function or stability of Treg in inflammatory conditions and has been observed to result in limited Treg tissue migration. Finally, IL-2 has the potential to activate or expand other non-Treg cell types. As described below, we believe TNFR2-expanded Treg have the potential to overcome these limitations.</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Potential of TNFR2-induced Treg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86360</wp:posOffset>
            </wp:positionV>
            <wp:extent cx="5143500" cy="3608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also believe that cell-based Treg therapies may not be suitable for the treatment of immunology indications that affect large patient populations for logistical, cost and benefit-risk considerations. Durability of response and ability to re-treat with cell-based Treg therapies are unknown, even though both are critical considerations for therapies used to treat chronic diseases. Second, the understood manufacturing challenges, including cost and scale, make it difficult for cell therapies to be used in large numbers of patients with autoimmune diseases and to date their limited use supports this point. Third, cell therapy requires ablation of the immune system, an element of this treatment approach that may introduce significant morbidity, and in particular infection risk, that may outweigh the potential benefit, particularly for patients with less severe disease.</w:t>
      </w:r>
    </w:p>
    <w:p>
      <w:pPr>
        <w:spacing w:after="0" w:line="18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believe TNFR2 agonists have the potential to be a well-suited approach for the large number of patients with immune diseases who could benefit from a treatment that maximizes the therapeutic effects of Treg. In addition, the established nature of protein therapeutics as a treatment modality for autoimmune diseases supports the feasibility and general acceptance expected for a TNFR2 V-body agonist. Based on these rationale, we initiated a discovery program to identify potent agonists of TNFR2 with Treg selective effects using our VHH protein therapeutics platform. These efforts led to the discovery and selection of our development candidate, OD-00910.</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IL-2 Therapies Support Potential of Treg but Have Limitations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Low-dose IL-2 treatments have been tested in dozens of small, typically single-center, uncontrolled studies across a number of autoimmune indications. In SLE, a number of studies enrolling between one and 38 patients have shown the ability of low-dose IL-2 to increase absolute Treg number in the blood alongside improvements in disease activity indices (e.g., SLEDAI, BILAG or SRI-4 scores), reduction in disease flares and reduction or normalization of biomarkers of disease (e.g., proteinuria). Alopecia areata is a disease characterized by hair loss across portions of the body that is understood to be driven by an autoimmune attack and underlying Treg defects. For example, in a study of five patients with alopecia areata, low-dose IL-2 treatment increased Treg and led to regrowth of hair in four of the five patients. Despite the benefits observed in some IL-2 studies, other studies show inconsistent results. We believe inherent limitations of low-dose IL-2 have limited efficacy and prevented widespread use. These limitations include a short half-life and potential for activation of Teff, eosinophils or cell types that can reduce efficacy or introduce safety and tolerability concerns.</w:t>
      </w:r>
    </w:p>
    <w:p>
      <w:pPr>
        <w:spacing w:after="0" w:line="183"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Follow-on approaches to low-dose IL-2 have been centered on use of IL-2 muteins with biased selectivity towards Treg over other cell types, such as Teff. However, while these approaches have been shown to increase Treg number, they have not been shown to enhance Treg stability or function or demonstrate clear benefit in large, randomized clinical studies. In addition, expansion of non-Treg cells has been observed after dosing IL-2 muteins, specifically CD4+ Teff, CD8+ Teff and eosinophils. Eosinophils are a type of white blood cells that play a role in immune response to allergens, infections and inflammation. High levels of eosinophils can lead to complications including tissue damage, chronic inflammation and heart or other organ damage.</w:t>
      </w:r>
    </w:p>
    <w:p>
      <w:pPr>
        <w:spacing w:after="0" w:line="17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Below are third-party preclinical data in mice where a single subcutaneous dose of an IL-2 mutein, which we refer to as IL-2 Mutein 1, showed an increase in the percentage of Treg relative to total lymphocytes with a peak between day 3 and 5. However, both CD4+ and CD8+ cells also increased, which suggests that limited Treg selectivity of IL-2 muteins may result in expansion of non-Treg cell types that may reduce efficacy, counter-productively increase inflammation, or introduce tolerability and safety risks. IL-2 Mutein 1 and these preclinical results are described in the article titled “</w:t>
      </w:r>
      <w:r>
        <w:rPr>
          <w:rFonts w:ascii="Arial" w:cs="Arial" w:eastAsia="Arial" w:hAnsi="Arial"/>
          <w:sz w:val="18"/>
          <w:szCs w:val="18"/>
          <w:i w:val="1"/>
          <w:iCs w:val="1"/>
          <w:color w:val="auto"/>
        </w:rPr>
        <w:t>NKTR-358: A novel regulatory T-cell stimulator that selectively stimulates expansion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suppressive function of regulatory T cells for the treatment of autoimmune and inflammatory diseases</w:t>
      </w:r>
      <w:r>
        <w:rPr>
          <w:rFonts w:ascii="Arial" w:cs="Arial" w:eastAsia="Arial" w:hAnsi="Arial"/>
          <w:sz w:val="18"/>
          <w:szCs w:val="18"/>
          <w:color w:val="auto"/>
        </w:rPr>
        <w:t>” in Volume 4 of the Journal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Translational Autoimmunity.</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Expansion of Treg and Non-Treg Cell Types Following Dose of IL-2 Mutein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223520</wp:posOffset>
            </wp:positionV>
            <wp:extent cx="5194935" cy="16116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9493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0" w:right="80" w:firstLine="551"/>
        <w:spacing w:after="0" w:line="253" w:lineRule="auto"/>
        <w:rPr>
          <w:sz w:val="20"/>
          <w:szCs w:val="20"/>
          <w:color w:val="auto"/>
        </w:rPr>
      </w:pPr>
      <w:r>
        <w:rPr>
          <w:rFonts w:ascii="Arial" w:cs="Arial" w:eastAsia="Arial" w:hAnsi="Arial"/>
          <w:sz w:val="18"/>
          <w:szCs w:val="18"/>
          <w:color w:val="auto"/>
        </w:rPr>
        <w:t>In a Phase 1 clinical trial evaluating IL-2 Mutein 1, described in the preclinical model above, in healthy volunteers and patients with SLE, treatment-related or treatment-emergent adverse events were reported in 72% of healthy volunteers in the SAD portion and 92% of SLE patients in the MAD</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portion compared to 8% in the placebo groups for both study portions. In addition, 6-8% of SLE patients developed nasopharyngitis, eosinophilia, sinusitis or rash, suggesting that there was a non-specific increase in immune signaling. While development of IL-2 Mutein 1 in SLE has stopped, there are ongoing clinical trials in alopecia areata and AD.</w:t>
      </w:r>
    </w:p>
    <w:p>
      <w:pPr>
        <w:spacing w:after="0" w:line="169"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Another IL-2 mutein that is in clinical development by another third party, which we refer to as IL-2 Mutein 2, was also observed to expand Treg in humans, though we are not aware of any efficacy data reported to date despite the completion of two clinical trials, one in AD and another in UC. There are also ongoing clinical trials evaluating IL-2 Mutein 2 in vitiligo and SLE. IL-2 Mutein 2 is a compound described in patent US10174091B1. The comparisons and results described below may differ in material ways from third-party studies that use IL-2 Mutein 2.</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In summary, we believe the data reported from low-dose IL-2 and IL-2 mutein clinical trials supports the hypothesis that Treg can be modulated pharmacologically across autoimmune diseases. However, we believe there continue to be limitations in Treg therapeutic effectiveness by targeting the IL-2 receptor.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Treg Cell Therapy is a Challenging Approach to Treat Autoimmune and Inflammatory Disease</w:t>
      </w:r>
    </w:p>
    <w:p>
      <w:pPr>
        <w:spacing w:after="0" w:line="10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 xml:space="preserve">Cell therapy is another mechanism to modulate Treg that is being pursued by multiple biotechnology companies and includes both autologous and allogeneic approaches. Similar to low-dose IL-2 therapies, there is a significant amount of evidence supporting a cell therapy approach from small cohorts of patients treated for both autoimmune and inflammatory disease primarily in single center trials at academic sites. These studies have shown that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expanded Treg have better functional activity and stability compared to the freshly isolated Treg, particularly from patients with autoimmune disease. Therefore, we believe these Treg may present advantages over IL-2-induced Treg in evoking the necessary pharmacology for an effective Treg therapy.</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However, we believe there are multiple challenges implicit to cell therapy as a modality that could limit its potential in patients with autoimmune and inflammatory diseases. The first is the need for a complex manufacturing and logistical process that can take weeks from making a decision to treat to the start of treatment. The second is administration and safety: patients require immune system ablation, hospitalization or specialized outpatient care, and may require ongoing monitoring for months around the time of treatment. As a result, cell therapy treatments can cost several hundreds of thousands of dollars for certain patients, which may preclude use for patients with mild or moderate disease. In addition, there is significant uncertainty around the durability and re-treatment potential of cell therapy, both of which are critical characteristics to understand potential benefit for patients with chronic autoimmune and inflammatory diseases.</w:t>
      </w:r>
    </w:p>
    <w:p>
      <w:pPr>
        <w:spacing w:after="0" w:line="185"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Therefore, despite evidence supporting the potential of a Treg modulator to be effective in multiple autoimmune and inflammatory diseases, we believe that existing approaches are limited by their inability to induce key biological responses or because of the complexities and risks associated with cell therapy.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Solution—TNFR2 V-body Agonist (OD-00910)</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believe agonizing TNFR2 is a promising approach to modulate Treg for treating autoimmune and inflammatory disease. Despite the potential value of this approach, to our knowledge, no TNFR2 agonists have entered clinical development for the treatment of autoimmune or inflammatory diseases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to date. We designed our VHH-based protein therapeutic, OD-00910, to selectively agonize TNFR2 to increase the number of Treg, improve their function, enhance their stability in inflammatory environments and induce a tissue repair phenotype.</w:t>
      </w:r>
    </w:p>
    <w:p>
      <w:pPr>
        <w:spacing w:after="0" w:line="154"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OD-00910 is a tetravalent Fc-based agonist that is designed to cluster the TNFR2 receptor on the cell surface while not blocking endogenous TNF binding, which otherwise may reduce efficacy. The fragment crystallizable, or Fc, which is the tail region of an antibody, is IgG1-based, an approach that has been validated in human use with multiple approved biologics that have used this backbone format. In addition, the Fc is functionally silenced to limit interactions with complement proteins and Fc receptors on cells to restrict activity to the TNFR2 binding. The program is structurally enabled and has completed developability assessments related to CMC, manufacturing and high concentration formulation testing to enable either subcutaneous dosing or intravenous infusion.</w:t>
      </w:r>
    </w:p>
    <w:p>
      <w:pPr>
        <w:spacing w:after="0" w:line="179"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color w:val="auto"/>
        </w:rPr>
        <w:t xml:space="preserve">Because OD-00910 is selective for human TNFR2 and does not interact with murine TNFR2,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assessments have utilized human TNFR2 knock-in models and surrogate TNFR2 agonist molecules that bind mouse TNFR2 for use in wild type mouse models. The use of mouse surrogate molecules for preclinical assessment is consistent with FDA guidance.</w:t>
      </w:r>
    </w:p>
    <w:p>
      <w:pPr>
        <w:spacing w:after="0" w:line="169"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We compared OD-00910 and the TNFR2 murine surrogate agonist against multiple IL-2-based compounds and one TNFR2 agonist for which information on structure was publicly available. Our studies evaluated key therapeutic objectives including: (1) selective expansion of Treg versus effects on Teff, (2) increase in immune suppressive function with enhanced stability in inflammatory environments and (3) induction of Treg in tissues with gene expression associated with a tissue repair phenotype.</w:t>
      </w:r>
    </w:p>
    <w:p>
      <w:pPr>
        <w:spacing w:after="0" w:line="17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have also observed dose-dependent reduction of disease in an experimental autoimmune encephalomyelitis, or EAE, murine model that resembles human multiple sclerosis. In this experiment, mice treated with a single dose of the TNFR2 murine surrogate four days prior to induction of EAE by myelin oligodendrocyte glycoprotein, or MOG, were observed to exhibit significantly reduced disease in a dose-dependent manner, compared to control group.</w:t>
      </w:r>
    </w:p>
    <w:p>
      <w:pPr>
        <w:spacing w:after="0" w:line="282" w:lineRule="exact"/>
        <w:rPr>
          <w:sz w:val="20"/>
          <w:szCs w:val="20"/>
          <w:color w:val="auto"/>
        </w:rPr>
      </w:pPr>
    </w:p>
    <w:p>
      <w:pPr>
        <w:jc w:val="center"/>
        <w:ind w:left="460" w:right="320"/>
        <w:spacing w:after="0" w:line="281" w:lineRule="auto"/>
        <w:rPr>
          <w:sz w:val="20"/>
          <w:szCs w:val="20"/>
          <w:color w:val="auto"/>
        </w:rPr>
      </w:pPr>
      <w:r>
        <w:rPr>
          <w:rFonts w:ascii="Arial" w:cs="Arial" w:eastAsia="Arial" w:hAnsi="Arial"/>
          <w:sz w:val="18"/>
          <w:szCs w:val="18"/>
          <w:b w:val="1"/>
          <w:bCs w:val="1"/>
          <w:color w:val="auto"/>
        </w:rPr>
        <w:t>Single Dose of TNFR2 Murine Surrogate Reduced Development of Neurodegenerative Disease in Murine Model of Human 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175895</wp:posOffset>
            </wp:positionV>
            <wp:extent cx="2657475" cy="2091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574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440" w:right="180"/>
        <w:spacing w:after="0" w:line="283" w:lineRule="auto"/>
        <w:rPr>
          <w:sz w:val="20"/>
          <w:szCs w:val="20"/>
          <w:color w:val="auto"/>
        </w:rPr>
      </w:pPr>
      <w:r>
        <w:rPr>
          <w:rFonts w:ascii="Arial" w:cs="Arial" w:eastAsia="Arial" w:hAnsi="Arial"/>
          <w:sz w:val="16"/>
          <w:szCs w:val="16"/>
          <w:i w:val="1"/>
          <w:iCs w:val="1"/>
          <w:color w:val="auto"/>
        </w:rPr>
        <w:t>A total of 50 mice, divided equally between the five treatment groups, were evaluated in this study. One-way ANOVA calculated to evaluate statistical significance between treatment groups and control; * = p &lt; 0.05; ** = p &lt; 0.01; *** = p &lt; 0.001; **** = p &lt; 0.0001.</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Treg Proliferation and Selectivity</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In one study, we compared OD-00910 to a tool TNFR2 agonist monoclonal antibody, which we refer to as tool mAb, and an IL-2 mutein, which we refer to as IL-2 Mutein 3, for effects on proliferation of Treg and Teff </w:t>
      </w:r>
      <w:r>
        <w:rPr>
          <w:rFonts w:ascii="Arial" w:cs="Arial" w:eastAsia="Arial" w:hAnsi="Arial"/>
          <w:sz w:val="18"/>
          <w:szCs w:val="18"/>
          <w:i w:val="1"/>
          <w:iCs w:val="1"/>
          <w:color w:val="auto"/>
        </w:rPr>
        <w:t>in vitro</w:t>
      </w:r>
      <w:r>
        <w:rPr>
          <w:rFonts w:ascii="Arial" w:cs="Arial" w:eastAsia="Arial" w:hAnsi="Arial"/>
          <w:sz w:val="18"/>
          <w:szCs w:val="18"/>
          <w:color w:val="auto"/>
        </w:rPr>
        <w:t>. In this study, we cultured human PBMCs from eight donors with 0.05 ng/mL of anti-CD3 antibody, and measured proliferation at day 5 by fluorescent cell-tracer dilution. OD-00910 was observed to selectively induce proliferation of Treg (CD4+FOXP3+), whereas IL-2 Mutein 3 was observed to induce proliferation of both Treg and Teff (CD4+FOXP3- and CD8+FOXP3-), at concentrations above approximately 0.1 nM. The tool mAb was observed to show the lowest selectivity for Treg over Teff. The relative magnitude of proliferation of Treg compared to Teff observed supports our belief that treatment with OD-00910 would result in less CD4 and CD8 activation compared to IL-2 muteins or tool mAb. The tool mAb is a compound described in the article titled “</w:t>
      </w:r>
      <w:r>
        <w:rPr>
          <w:rFonts w:ascii="Arial" w:cs="Arial" w:eastAsia="Arial" w:hAnsi="Arial"/>
          <w:sz w:val="18"/>
          <w:szCs w:val="18"/>
          <w:i w:val="1"/>
          <w:iCs w:val="1"/>
          <w:color w:val="auto"/>
        </w:rPr>
        <w:t>An Autocrine TNF</w:t>
      </w:r>
      <w:r>
        <w:rPr>
          <w:rFonts w:ascii="Times New Roman" w:cs="Times New Roman" w:eastAsia="Times New Roman" w:hAnsi="Times New Roman"/>
          <w:sz w:val="18"/>
          <w:szCs w:val="18"/>
          <w:color w:val="auto"/>
        </w:rPr>
        <w:t>a</w:t>
      </w:r>
      <w:r>
        <w:rPr>
          <w:rFonts w:ascii="Arial" w:cs="Arial" w:eastAsia="Arial" w:hAnsi="Arial"/>
          <w:sz w:val="18"/>
          <w:szCs w:val="18"/>
          <w:i w:val="1"/>
          <w:iCs w:val="1"/>
          <w:color w:val="auto"/>
        </w:rPr>
        <w:t>—Tumor Necrosis Factor Receptor 2 Loop Promotes Epigenetic Effects</w:t>
      </w:r>
      <w:r>
        <w:rPr>
          <w:rFonts w:ascii="Arial" w:cs="Arial" w:eastAsia="Arial" w:hAnsi="Arial"/>
          <w:sz w:val="18"/>
          <w:szCs w:val="18"/>
          <w:color w:val="auto"/>
        </w:rPr>
        <w:t xml:space="preserve"> </w:t>
      </w:r>
      <w:r>
        <w:rPr>
          <w:rFonts w:ascii="Arial" w:cs="Arial" w:eastAsia="Arial" w:hAnsi="Arial"/>
          <w:sz w:val="18"/>
          <w:szCs w:val="18"/>
          <w:i w:val="1"/>
          <w:iCs w:val="1"/>
          <w:color w:val="auto"/>
        </w:rPr>
        <w:t>Inducing Human Treg Stability In Vitro</w:t>
      </w:r>
      <w:r>
        <w:rPr>
          <w:rFonts w:ascii="Arial" w:cs="Arial" w:eastAsia="Arial" w:hAnsi="Arial"/>
          <w:sz w:val="18"/>
          <w:szCs w:val="18"/>
          <w:color w:val="auto"/>
        </w:rPr>
        <w:t>” published in Volume 9 of Frontiers in Immunology. IL-2 Mutein 3 is a compound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titled “</w:t>
      </w:r>
      <w:r>
        <w:rPr>
          <w:rFonts w:ascii="Arial" w:cs="Arial" w:eastAsia="Arial" w:hAnsi="Arial"/>
          <w:sz w:val="18"/>
          <w:szCs w:val="18"/>
          <w:i w:val="1"/>
          <w:iCs w:val="1"/>
          <w:color w:val="auto"/>
        </w:rPr>
        <w:t>A long-lived IL-2 mutein that selectively activates and expands regulatory T cells as a therapy for autoimmune disease</w:t>
      </w:r>
      <w:r>
        <w:rPr>
          <w:rFonts w:ascii="Arial" w:cs="Arial" w:eastAsia="Arial" w:hAnsi="Arial"/>
          <w:sz w:val="18"/>
          <w:szCs w:val="18"/>
          <w:color w:val="auto"/>
        </w:rPr>
        <w:t>” published in Volume 95 of the Journal of Autoimmunity. The comparisons and results described below may differ in material ways from third-party studies that use tool mAb or IL-2 Mutein 3.</w:t>
      </w:r>
    </w:p>
    <w:p>
      <w:pPr>
        <w:spacing w:after="0" w:line="29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Comparison of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Treg and Teff Proliferation in PBMCs Across OD-00910, Tool mAb and IL-2 Mutein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248920</wp:posOffset>
            </wp:positionV>
            <wp:extent cx="4337685" cy="1560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3768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In another study, we assessed the effects on Treg and Teff proliferation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using wild-type mice. Five mice per treatment group were injected with either a control V-body, the TNFR2 murine surrogate agonist, or IL-2 Mutein 3. Spleen cells were evaluated five days after the treatments were administered. Both the TNFR2 murine surrogate agonist and IL-2 Mutein 3, when dosed at 3 mg/kg and 1 mg/kg respectively, appeared to increase the percentage of Treg in the spleen cell population and reduced the percentages of CD4+ and CD8+ Teff. In this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the TNFR2 murine surrogate agonist resulted in a statistically significant increase in Treg relative to IL-2 Mutein 3 and the control V-body.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5"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TNFR2 Murine Surrogate Agonist and IL-2 Mutein 3 Selectivity for Treg over Teff in an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223520</wp:posOffset>
            </wp:positionV>
            <wp:extent cx="4046220" cy="14655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04622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One-way ANOVA calculated to evaluate statistical significance between groups; *= p &lt; 0.05;</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 p &lt; 0.01; ***= p &lt; 0.001; ****= p &lt; 0.0001.</w:t>
      </w:r>
    </w:p>
    <w:p>
      <w:pPr>
        <w:spacing w:after="0" w:line="20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Given the expression of TNFR2 on non-Treg and non-Teff cells, we tested in another study the effects of OD-00910 on human vascular endothelial cells, or HUVEC, which expresses low levels of TNFR2, through assessing production of MCP-1 following treatment with OD-00910. MCP-1 is a pro-inflammatory cytokine produced by endothelial cells following activation, and increased MCP-1 has been linked to increased risk of cardiovascular events and death. The data presented below reflects data from a cell pool of four donors. The two comparators included in this experiment were a control V-body and the tool mAb, which showed an approximately 5-fold increase in HUVEC activation </w:t>
      </w:r>
      <w:r>
        <w:rPr>
          <w:rFonts w:ascii="Arial" w:cs="Arial" w:eastAsia="Arial" w:hAnsi="Arial"/>
          <w:sz w:val="18"/>
          <w:szCs w:val="18"/>
          <w:i w:val="1"/>
          <w:iCs w:val="1"/>
          <w:color w:val="auto"/>
        </w:rPr>
        <w:t>in vitro</w:t>
      </w:r>
      <w:r>
        <w:rPr>
          <w:rFonts w:ascii="Arial" w:cs="Arial" w:eastAsia="Arial" w:hAnsi="Arial"/>
          <w:sz w:val="18"/>
          <w:szCs w:val="18"/>
          <w:color w:val="auto"/>
        </w:rPr>
        <w:t>. We observed a selectivity margin for OD-00910 greater than or equal to 250 times for the EC</w:t>
      </w:r>
      <w:r>
        <w:rPr>
          <w:rFonts w:ascii="Arial" w:cs="Arial" w:eastAsia="Arial" w:hAnsi="Arial"/>
          <w:sz w:val="13"/>
          <w:szCs w:val="13"/>
          <w:color w:val="auto"/>
        </w:rPr>
        <w:t>50</w:t>
      </w:r>
      <w:r>
        <w:rPr>
          <w:rFonts w:ascii="Arial" w:cs="Arial" w:eastAsia="Arial" w:hAnsi="Arial"/>
          <w:sz w:val="18"/>
          <w:szCs w:val="18"/>
          <w:color w:val="auto"/>
        </w:rPr>
        <w:t xml:space="preserve"> of Treg activation, measured by proliferation, compared to the absolute EC</w:t>
      </w:r>
      <w:r>
        <w:rPr>
          <w:rFonts w:ascii="Arial" w:cs="Arial" w:eastAsia="Arial" w:hAnsi="Arial"/>
          <w:sz w:val="13"/>
          <w:szCs w:val="13"/>
          <w:color w:val="auto"/>
        </w:rPr>
        <w:t>50</w:t>
      </w:r>
      <w:r>
        <w:rPr>
          <w:rFonts w:ascii="Arial" w:cs="Arial" w:eastAsia="Arial" w:hAnsi="Arial"/>
          <w:sz w:val="18"/>
          <w:szCs w:val="18"/>
          <w:color w:val="auto"/>
        </w:rPr>
        <w:t xml:space="preserve"> of endothelial cell activation (with E</w:t>
      </w:r>
      <w:r>
        <w:rPr>
          <w:rFonts w:ascii="Arial" w:cs="Arial" w:eastAsia="Arial" w:hAnsi="Arial"/>
          <w:sz w:val="13"/>
          <w:szCs w:val="13"/>
          <w:color w:val="auto"/>
        </w:rPr>
        <w:t>max</w:t>
      </w:r>
      <w:r>
        <w:rPr>
          <w:rFonts w:ascii="Arial" w:cs="Arial" w:eastAsia="Arial" w:hAnsi="Arial"/>
          <w:sz w:val="18"/>
          <w:szCs w:val="18"/>
          <w:color w:val="auto"/>
        </w:rPr>
        <w:t xml:space="preserve"> defined by response), measured by MCP-1 release. Therefore, we believe OD-00910 shows selectivity for Treg versus off-target cell endothelial activation.</w:t>
      </w:r>
    </w:p>
    <w:p>
      <w:pPr>
        <w:spacing w:after="0" w:line="28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Effects of OD-00910 on HUVEC as Measured by Change in MCP-1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248920</wp:posOffset>
            </wp:positionV>
            <wp:extent cx="5194935" cy="17316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9493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right="300" w:firstLine="551"/>
        <w:spacing w:after="0" w:line="28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preclinical studies, we have not observed signals of T cell activation (e.g., increases in IFN</w:t>
      </w:r>
      <w:r>
        <w:rPr>
          <w:rFonts w:ascii="Times New Roman" w:cs="Times New Roman" w:eastAsia="Times New Roman" w:hAnsi="Times New Roman"/>
          <w:sz w:val="18"/>
          <w:szCs w:val="18"/>
          <w:color w:val="auto"/>
        </w:rPr>
        <w:t>g</w:t>
      </w:r>
      <w:r>
        <w:rPr>
          <w:rFonts w:ascii="Arial" w:cs="Arial" w:eastAsia="Arial" w:hAnsi="Arial"/>
          <w:sz w:val="18"/>
          <w:szCs w:val="18"/>
          <w:color w:val="auto"/>
        </w:rPr>
        <w:t>, TNF or IL-2) that would suggest activation of non-Treg.</w:t>
      </w:r>
    </w:p>
    <w:p>
      <w:pPr>
        <w:spacing w:after="0" w:line="140"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A cytokine release assay was performed using human blood cells to evaluate the potential for OD-00910 to cause an immune response by activating non-Treg cell types and triggering the release</w:t>
      </w:r>
    </w:p>
    <w:p>
      <w:pPr>
        <w:spacing w:after="0" w:line="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980"/>
          </w:cols>
          <w:pgMar w:left="320" w:top="455" w:right="5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of cytokines. The graphs below summarize results we observed from a preclinical study in which human whole blood samples from nine healthy volunteers were treated with four concentrations of OD-00910, staphylococcal enterotoxin B (a positive control that is known to evoke a strong immune response), or trastuzumab (an approved drug for treating cancer used as a control to show a cytokine response that may result from a drug that can be safely administered). In these experiments, we did not observe increased cytokine proliferation in the OD-00910 treated samples simimilar to the increases observed in the staphylococcal enterotoxin B samples and increases were similar to or lower than the levels observed with trastuzumab, an approved biologic. Based on the observations from this study, we believe OD-00910 may not result in cytokine release associated with immune activation.</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Levels of IFN</w:t>
      </w:r>
      <w:r>
        <w:rPr>
          <w:rFonts w:ascii="Times New Roman" w:cs="Times New Roman" w:eastAsia="Times New Roman" w:hAnsi="Times New Roman"/>
          <w:sz w:val="18"/>
          <w:szCs w:val="18"/>
          <w:color w:val="auto"/>
        </w:rPr>
        <w:t>g</w:t>
      </w:r>
      <w:r>
        <w:rPr>
          <w:rFonts w:ascii="Arial" w:cs="Arial" w:eastAsia="Arial" w:hAnsi="Arial"/>
          <w:sz w:val="18"/>
          <w:szCs w:val="18"/>
          <w:b w:val="1"/>
          <w:bCs w:val="1"/>
          <w:color w:val="auto"/>
        </w:rPr>
        <w:t>, TNF or IL-2 Cytokines Following Treatment with OD-00910, Staphylococcal Enterotoxin B and Trastuzumab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231140</wp:posOffset>
            </wp:positionV>
            <wp:extent cx="4337685" cy="1045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3768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Treg Function and Quality</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In another study, we assessed Treg function by observing the suppressive activity of isolated Treg on naïve T cells. Treg were stimulated with IL-2 and anti-CD3 and after five days Treg and Teff were analyzed at different ratios of Treg:Teff for calculation of Teff proliferation. Across five donors, we observed an increased Treg to CD4 ratio when treated with OD-00910 as compared to control V-body. The effects at a 1:4 Treg to Teff ratio are shown below.</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Inhibition of Teff Proliferation by OD-00910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223520</wp:posOffset>
            </wp:positionV>
            <wp:extent cx="5023485" cy="11398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2348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right="580" w:firstLine="551"/>
        <w:spacing w:after="0" w:line="271" w:lineRule="auto"/>
        <w:rPr>
          <w:sz w:val="20"/>
          <w:szCs w:val="20"/>
          <w:color w:val="auto"/>
        </w:rPr>
      </w:pPr>
      <w:r>
        <w:rPr>
          <w:rFonts w:ascii="Arial" w:cs="Arial" w:eastAsia="Arial" w:hAnsi="Arial"/>
          <w:sz w:val="18"/>
          <w:szCs w:val="18"/>
          <w:color w:val="auto"/>
        </w:rPr>
        <w:t>The observations above are consistent with our observations from earlier studies we conducted using other TNFR2 agonists discovered during our development of OD-00910 and IL-2 Mutein 2 (which performed similarly to control).</w:t>
      </w:r>
    </w:p>
    <w:p>
      <w:pPr>
        <w:spacing w:after="0" w:line="15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In another study, we compared OD-00910 against IL-2 Mutein 2, to evaluate their ability to improve markers of Treg function and stability as measured by FOXP3 and EZH2 expression. EZH2 is an epigenetic regulator of FOXP3 expression and by extension, Treg quality. Isolated naïve Treg from 12 human donors were stimulated with the indicated molecule in the presence of anti-CD3 and IL-2 and assessed at day 5. We observed a significant increase in FOXP3 and EZH2 expression with OD-00910 and did not observe changes with IL-2 Mutein 2.</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FOXP3 and EZH2 Changes to Stimulation from OD-00910 vs. IL-2 Mutein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223520</wp:posOffset>
            </wp:positionV>
            <wp:extent cx="3669030" cy="1534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6903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One-way ANOVA run to determine statistical significance between groups. *= p &lt; 0.05; **= p &lt; 0.01; ***= p &lt; 0.001; ****= p &lt; 0.0001.</w:t>
      </w:r>
    </w:p>
    <w:p>
      <w:pPr>
        <w:spacing w:after="0" w:line="214" w:lineRule="exact"/>
        <w:rPr>
          <w:sz w:val="20"/>
          <w:szCs w:val="20"/>
          <w:color w:val="auto"/>
        </w:rPr>
      </w:pPr>
    </w:p>
    <w:p>
      <w:pPr>
        <w:ind w:left="120" w:firstLine="551"/>
        <w:spacing w:after="0" w:line="260" w:lineRule="auto"/>
        <w:rPr>
          <w:sz w:val="20"/>
          <w:szCs w:val="20"/>
          <w:color w:val="auto"/>
        </w:rPr>
      </w:pPr>
      <w:r>
        <w:rPr>
          <w:rFonts w:ascii="Arial" w:cs="Arial" w:eastAsia="Arial" w:hAnsi="Arial"/>
          <w:sz w:val="17"/>
          <w:szCs w:val="17"/>
          <w:color w:val="auto"/>
        </w:rPr>
        <w:t xml:space="preserve">To assess the stability of Treg in an inflammatory environment and the ability to prevent their conversion to pathogenic inflammatory cells, we conducted a study utilizing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 in which we purified and stimulated naïve human Treg from 12 donors with anti-CD3 and IL-2 plus control V-body, OD-00910 or IL-2 Mutein 2. To assess conversion to IL-17 production, a marker of conversion to a Th17 immune cell, we challenged these stimulated Treg with a cocktail of IL-1ß, IL-21, IL-23 and TGF-ß. After 11 days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and 17 days (IL-17A) respectively, we observed that OD-00910 prevented the large majority of conversion of Treg to a pro-inflammatory phenotype. We used a similar cocktail in a subsequent study on Treg from the same 12 donors without TGF-ß, in which we observed OD-00910 was statistically superior to IL-2 Mutein 2 in preventing the emergence of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positive cells. Together, these results support our belief that TNFR2 agonism with OD-00910 has the potential to present advantages over IL-2 mutein in improving the function and quality of Treg.</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IFN</w:t>
      </w:r>
      <w:r>
        <w:rPr>
          <w:rFonts w:ascii="Times New Roman" w:cs="Times New Roman" w:eastAsia="Times New Roman" w:hAnsi="Times New Roman"/>
          <w:sz w:val="18"/>
          <w:szCs w:val="18"/>
          <w:color w:val="auto"/>
        </w:rPr>
        <w:t>g</w:t>
      </w:r>
      <w:r>
        <w:rPr>
          <w:rFonts w:ascii="Arial" w:cs="Arial" w:eastAsia="Arial" w:hAnsi="Arial"/>
          <w:sz w:val="18"/>
          <w:szCs w:val="18"/>
          <w:b w:val="1"/>
          <w:bCs w:val="1"/>
          <w:color w:val="auto"/>
        </w:rPr>
        <w:t xml:space="preserve"> and IL-17A-Positive Cells After Stimulus via Cytokines to Determine Function of Treg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231140</wp:posOffset>
            </wp:positionV>
            <wp:extent cx="3806190" cy="18002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0619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One-way ANOVA calculated to evaluate statistical significance between groups. *= p &lt; 0.05; **= p &lt; 0.01; ***= p &lt; 0.001; ****= p &lt; 0.0001.</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Promote Treg Migration to Tissue</w:t>
      </w:r>
    </w:p>
    <w:p>
      <w:pPr>
        <w:spacing w:after="0" w:line="10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We believe the full benefit of a Treg therapy will be best achieved through recruitment of Treg to the site of disease, where it can suppress inflammation and an autoimmune response but also address tissue damage that occurs as a result of chronic disease. CCR8 is a marker of tissue homing capacity. In the study below, we observed in isolated naïve human Treg that, in the presence of anti-CD3 and IL-2, OD-00910 increased CCR8 expression, whereas IL-2 Mutein 2 did not result in a change in CCR8 expression.</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CCR8 Expression Following Exposure to OD-00910 and IL-2 Mutein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223520</wp:posOffset>
            </wp:positionV>
            <wp:extent cx="2280285" cy="1671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8028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One-way ANOVA calculated to evaluate statistical significance between groups. *= p &lt; 0.05; **= p &lt; 0.01; ***= p &lt; 0.001; ****= p &lt; 0.0001.</w:t>
      </w:r>
    </w:p>
    <w:p>
      <w:pPr>
        <w:spacing w:after="0" w:line="21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We conducted additional studies with our TNFR2 murine surrogate agonist to generate additional data on the impact of TNFR2 agonism on Treg migration to tissues </w:t>
      </w:r>
      <w:r>
        <w:rPr>
          <w:rFonts w:ascii="Arial" w:cs="Arial" w:eastAsia="Arial" w:hAnsi="Arial"/>
          <w:sz w:val="18"/>
          <w:szCs w:val="18"/>
          <w:i w:val="1"/>
          <w:iCs w:val="1"/>
          <w:color w:val="auto"/>
        </w:rPr>
        <w:t>in vivo</w:t>
      </w:r>
      <w:r>
        <w:rPr>
          <w:rFonts w:ascii="Arial" w:cs="Arial" w:eastAsia="Arial" w:hAnsi="Arial"/>
          <w:sz w:val="18"/>
          <w:szCs w:val="18"/>
          <w:color w:val="auto"/>
        </w:rPr>
        <w:t>. The percentage of Treg (CD4+FOXP3+) out of immune cells (CD45+) was examined five days after injection of C57BL/6 mice with control V-body (3 mg/kg), our TNFR2 murine surrogate agonist (3 mg/kg), or IL-2 mutein (1 mg/kg). Results observed indicate higher Treg migration to the spleen and colon following treatment with TNFR2 agonist than IL-2 Mutein 3.</w:t>
      </w:r>
    </w:p>
    <w:p>
      <w:pPr>
        <w:spacing w:after="0" w:line="284" w:lineRule="exact"/>
        <w:rPr>
          <w:sz w:val="20"/>
          <w:szCs w:val="20"/>
          <w:color w:val="auto"/>
        </w:rPr>
      </w:pPr>
    </w:p>
    <w:p>
      <w:pPr>
        <w:jc w:val="center"/>
        <w:ind w:left="540" w:right="60"/>
        <w:spacing w:after="0" w:line="281" w:lineRule="auto"/>
        <w:rPr>
          <w:sz w:val="20"/>
          <w:szCs w:val="20"/>
          <w:color w:val="auto"/>
        </w:rPr>
      </w:pPr>
      <w:r>
        <w:rPr>
          <w:rFonts w:ascii="Arial" w:cs="Arial" w:eastAsia="Arial" w:hAnsi="Arial"/>
          <w:sz w:val="18"/>
          <w:szCs w:val="18"/>
          <w:b w:val="1"/>
          <w:bCs w:val="1"/>
          <w:color w:val="auto"/>
        </w:rPr>
        <w:t>Percent of Treg in the Spleen and Colon Following Exposure to TNFR2 Murine Surrogate, Control V-Body and IL-2 Mutein 3 in Wild-Type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149860</wp:posOffset>
            </wp:positionV>
            <wp:extent cx="5006340" cy="11055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0634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540" w:right="60"/>
        <w:spacing w:after="0" w:line="283" w:lineRule="auto"/>
        <w:rPr>
          <w:sz w:val="20"/>
          <w:szCs w:val="20"/>
          <w:color w:val="auto"/>
        </w:rPr>
      </w:pPr>
      <w:r>
        <w:rPr>
          <w:rFonts w:ascii="Arial" w:cs="Arial" w:eastAsia="Arial" w:hAnsi="Arial"/>
          <w:sz w:val="16"/>
          <w:szCs w:val="16"/>
          <w:i w:val="1"/>
          <w:iCs w:val="1"/>
          <w:color w:val="auto"/>
        </w:rPr>
        <w:t>Data above is representative of two experiments and shows percent of Treg observed in immune cells (%FOXP3+CD4+ of CD45+). One-way ANOVA calculated to evaluate statistical significance between groups; *= p &lt; 0.05; **= p &lt; 0.01; ***= p &lt; 0.001; ****= p &lt; 0.0001.</w:t>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40"/>
          </w:cols>
          <w:pgMar w:left="320" w:top="455" w:right="5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 xml:space="preserve">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with control V-body, OD-00910 and IL-2 Mutein 3 using human TNFR2 knock-in mice, were conducted. We observed a selective increase in Treg compared to CD4 or CD8 cells across tissues, including the spleen, blood and colon with OD-00910.</w:t>
      </w:r>
    </w:p>
    <w:p>
      <w:pPr>
        <w:spacing w:after="0" w:line="277" w:lineRule="exact"/>
        <w:rPr>
          <w:sz w:val="20"/>
          <w:szCs w:val="20"/>
          <w:color w:val="auto"/>
        </w:rPr>
      </w:pPr>
    </w:p>
    <w:p>
      <w:pPr>
        <w:jc w:val="center"/>
        <w:ind w:left="460"/>
        <w:spacing w:after="0" w:line="281" w:lineRule="auto"/>
        <w:rPr>
          <w:sz w:val="20"/>
          <w:szCs w:val="20"/>
          <w:color w:val="auto"/>
        </w:rPr>
      </w:pPr>
      <w:r>
        <w:rPr>
          <w:rFonts w:ascii="Arial" w:cs="Arial" w:eastAsia="Arial" w:hAnsi="Arial"/>
          <w:sz w:val="18"/>
          <w:szCs w:val="18"/>
          <w:b w:val="1"/>
          <w:bCs w:val="1"/>
          <w:color w:val="auto"/>
        </w:rPr>
        <w:t>Proliferation of Treg, CD4 and CD8 in Spleen, Blood and Colon Following Exposure to OD-00910, Control V-Body and IL-2 Mutein 3 in hTNFR2 Knock-In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175895</wp:posOffset>
            </wp:positionV>
            <wp:extent cx="5194935" cy="32321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94935"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440" w:right="220"/>
        <w:spacing w:after="0" w:line="283" w:lineRule="auto"/>
        <w:rPr>
          <w:sz w:val="20"/>
          <w:szCs w:val="20"/>
          <w:color w:val="auto"/>
        </w:rPr>
      </w:pPr>
      <w:r>
        <w:rPr>
          <w:rFonts w:ascii="Arial" w:cs="Arial" w:eastAsia="Arial" w:hAnsi="Arial"/>
          <w:sz w:val="16"/>
          <w:szCs w:val="16"/>
          <w:i w:val="1"/>
          <w:iCs w:val="1"/>
          <w:color w:val="auto"/>
        </w:rPr>
        <w:t>Percent of Treg, CD4 and CD8 observed in immune cells (FOXP3+CD4+ of CD45+). One-way ANOVA calculated to evaluate statistical significance between groups. *= p &lt; 0.05; **= p &lt; 0.01; ***= p &lt; 0.001; ****= p &lt; 0.0001.</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Vivo Pharmacodynamics</w:t>
      </w:r>
    </w:p>
    <w:p>
      <w:pPr>
        <w:spacing w:after="0" w:line="102" w:lineRule="exact"/>
        <w:rPr>
          <w:sz w:val="20"/>
          <w:szCs w:val="20"/>
          <w:color w:val="auto"/>
        </w:rPr>
      </w:pPr>
    </w:p>
    <w:p>
      <w:pPr>
        <w:ind w:left="120" w:right="320" w:firstLine="551"/>
        <w:spacing w:after="0" w:line="244" w:lineRule="auto"/>
        <w:rPr>
          <w:sz w:val="20"/>
          <w:szCs w:val="20"/>
          <w:color w:val="auto"/>
        </w:rPr>
      </w:pPr>
      <w:r>
        <w:rPr>
          <w:rFonts w:ascii="Arial" w:cs="Arial" w:eastAsia="Arial" w:hAnsi="Arial"/>
          <w:sz w:val="18"/>
          <w:szCs w:val="18"/>
          <w:color w:val="auto"/>
        </w:rPr>
        <w:t xml:space="preserve">To assess the pharmacodynamic effect of Treg modulation by TNFR2 agonism and inform potential human dosing intervals we have conducted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PD assessments using a murinized version of our candidate, OD-00910. Murinization of the candidate involves swapping human for murine sequences outside of the TNFR2 binding regions to reduce immunogenicity. Through reduced immunogenicity, the murinized candidate minimizes species specific clearance that can occur when dosing a human molecule in mice (e.g., anti-drug antibodies) and can enable preliminary assessment of PD.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 xml:space="preserve">Below we summarize results from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study where a single dose of murinized OD-00910, either at 3 mg/kg or 10 mg/kg, was observed to increase Treg number in the spleen 14 days after dosing suggesting the potential for dosing every two weeks in humans.</w:t>
      </w:r>
    </w:p>
    <w:p>
      <w:pPr>
        <w:spacing w:after="0" w:line="27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Pharmacodynamics of Murinized OD-00910 and Control V-Body in Human TNFR2 Knock-in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8890</wp:posOffset>
            </wp:positionV>
            <wp:extent cx="3771900" cy="17576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77190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500" w:right="40"/>
        <w:spacing w:after="0" w:line="265" w:lineRule="auto"/>
        <w:rPr>
          <w:sz w:val="20"/>
          <w:szCs w:val="20"/>
          <w:color w:val="auto"/>
        </w:rPr>
      </w:pPr>
      <w:r>
        <w:rPr>
          <w:rFonts w:ascii="Arial" w:cs="Arial" w:eastAsia="Arial" w:hAnsi="Arial"/>
          <w:sz w:val="16"/>
          <w:szCs w:val="16"/>
          <w:i w:val="1"/>
          <w:iCs w:val="1"/>
          <w:color w:val="auto"/>
        </w:rPr>
        <w:t>Treg (FOXP3+CD4+) as a percentage of total immune cells (CD45+) in spleen upon subcutaneous injection of human TNFR2 knock-in mice at day 14. Four mice were included in each treatment group. One-way ANOVA calculated to evaluate statistical significance between groups; *= p &lt; 0.05; ***= p &lt; 0.001.</w:t>
      </w:r>
    </w:p>
    <w:p>
      <w:pPr>
        <w:spacing w:after="0" w:line="167"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currently expect to complete single dose PK and PD studies with OD-00910 in non-human primates in the first half of 2025 and use those studies to model expected PK and PD in humans with the clinical candidate.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Status and Future Clinical Plans for OD-00910</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IND-enabling activities for OD-00910 are ongoing to establish processes and generate material for toxicology studies and if successful, future clinical use. If results of our IND-enabling toxicology studies are favorable, we currently expect to file a CTA in Australia by the end of 2025, and begin dosing healthy volunteers in the SAD portion of the Phase 1a trial in the first half of 2026, if approved to proceed, and announce results from this portion of the Phase 1a trial in the second half of 2026. We currently anticipate enrolling approximately 50 patients in the Phase 1a portion of the trial. The primary endpoint of the study is expected to be safety and tolerability, but we also plan to assess pharmacokinetics and pharmacodynamics in blood and utilize skin biopsies to assess effect in tissue. In addition, we are conducting preclinical evaluation of a third-party delayed type hypersensitivity, or DTH, to provide proof-of-mechanism in healthy volunteers. Our trial design is not finalized, but the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60"/>
          </w:cols>
          <w:pgMar w:left="320" w:top="455" w:right="5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proof-of-mechanism design is informed by the methods described in “</w:t>
      </w:r>
      <w:r>
        <w:rPr>
          <w:rFonts w:ascii="Arial" w:cs="Arial" w:eastAsia="Arial" w:hAnsi="Arial"/>
          <w:sz w:val="18"/>
          <w:szCs w:val="18"/>
          <w:i w:val="1"/>
          <w:iCs w:val="1"/>
          <w:color w:val="auto"/>
        </w:rPr>
        <w:t>Oral prednisone regulates human skin T cells in delayed-type</w:t>
      </w:r>
      <w:r>
        <w:rPr>
          <w:rFonts w:ascii="Arial" w:cs="Arial" w:eastAsia="Arial" w:hAnsi="Arial"/>
          <w:sz w:val="18"/>
          <w:szCs w:val="18"/>
          <w:color w:val="auto"/>
        </w:rPr>
        <w:t xml:space="preserve"> </w:t>
      </w:r>
      <w:r>
        <w:rPr>
          <w:rFonts w:ascii="Arial" w:cs="Arial" w:eastAsia="Arial" w:hAnsi="Arial"/>
          <w:sz w:val="18"/>
          <w:szCs w:val="18"/>
          <w:i w:val="1"/>
          <w:iCs w:val="1"/>
          <w:color w:val="auto"/>
        </w:rPr>
        <w:t>hypersensitivity reaction elicited by diphencyprone</w:t>
      </w:r>
      <w:r>
        <w:rPr>
          <w:rFonts w:ascii="Arial" w:cs="Arial" w:eastAsia="Arial" w:hAnsi="Arial"/>
          <w:sz w:val="18"/>
          <w:szCs w:val="18"/>
          <w:color w:val="auto"/>
        </w:rPr>
        <w:t>” published in Volume 78, Issue 8 of Allergy and summarized below.</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OD-00910 Planned Phase 1a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163195</wp:posOffset>
            </wp:positionV>
            <wp:extent cx="4646295" cy="16548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64629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DTH reactions result in contact dermatitis following exposure to various agents. It is possible to provoke contact dermatitis in the skin of a healthy volunteer by exposing an area of skin to an agent known to trigger a DTH reaction following an initial sensitizing exposure. Because DTH reactions are known to be blocked or reduced by Treg, we believe a DTH provocation test in a Phase 1 study of a TNFR2 agonist in healthy participants has the potential to demonstrate proof of an anti-inflammatory mechanism by measuring biomarkers of inflammation in an area of skin in which the DTH reaction is triggered.</w:t>
      </w:r>
    </w:p>
    <w:p>
      <w:pPr>
        <w:spacing w:after="0" w:line="176"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The figures below show results from a third-party trial published in the article titled “</w:t>
      </w:r>
      <w:r>
        <w:rPr>
          <w:rFonts w:ascii="Arial" w:cs="Arial" w:eastAsia="Arial" w:hAnsi="Arial"/>
          <w:sz w:val="17"/>
          <w:szCs w:val="17"/>
          <w:i w:val="1"/>
          <w:iCs w:val="1"/>
          <w:color w:val="auto"/>
        </w:rPr>
        <w:t>Oral prednisone regulates human skin T cells in</w:t>
      </w:r>
      <w:r>
        <w:rPr>
          <w:rFonts w:ascii="Arial" w:cs="Arial" w:eastAsia="Arial" w:hAnsi="Arial"/>
          <w:sz w:val="17"/>
          <w:szCs w:val="17"/>
          <w:color w:val="auto"/>
        </w:rPr>
        <w:t xml:space="preserve"> </w:t>
      </w:r>
      <w:r>
        <w:rPr>
          <w:rFonts w:ascii="Arial" w:cs="Arial" w:eastAsia="Arial" w:hAnsi="Arial"/>
          <w:sz w:val="17"/>
          <w:szCs w:val="17"/>
          <w:i w:val="1"/>
          <w:iCs w:val="1"/>
          <w:color w:val="auto"/>
        </w:rPr>
        <w:t>delayed-type hypersensitivity reaction elicited by diphencyprone</w:t>
      </w:r>
      <w:r>
        <w:rPr>
          <w:rFonts w:ascii="Arial" w:cs="Arial" w:eastAsia="Arial" w:hAnsi="Arial"/>
          <w:sz w:val="17"/>
          <w:szCs w:val="17"/>
          <w:color w:val="auto"/>
        </w:rPr>
        <w:t>” in Volume 78, Issue 8 of Allergy, in which a DTH reaction was induced in</w:t>
      </w:r>
      <w:r>
        <w:rPr>
          <w:rFonts w:ascii="Arial" w:cs="Arial" w:eastAsia="Arial" w:hAnsi="Arial"/>
          <w:sz w:val="17"/>
          <w:szCs w:val="17"/>
          <w:i w:val="1"/>
          <w:iCs w:val="1"/>
          <w:color w:val="auto"/>
        </w:rPr>
        <w:t xml:space="preserve"> </w:t>
      </w:r>
      <w:r>
        <w:rPr>
          <w:rFonts w:ascii="Arial" w:cs="Arial" w:eastAsia="Arial" w:hAnsi="Arial"/>
          <w:sz w:val="17"/>
          <w:szCs w:val="17"/>
          <w:color w:val="auto"/>
        </w:rPr>
        <w:t>healthy volunteers. This was an open label, nonrandomized trial to characterize the immune cell infiltrate involved in DTH reaction to an agent known as DPCP, diphencyprone, and test if the DTH reaction could be modulated by treatment with a corticosteroid, prednisone. Following initial sensitization to DPCP on day one, volunteers started prednisolone treatment on day 13 (two days before re-challenge), were rechallenged by placing DCPC in an area of the skin on day 15 and skin biopsies collected on day 18, three days after re-challenge. The graphs show the results of tests analyzing the cells present in the skin biopsies and shows that prednisone treatment reduced the frequencies of activated PD-1+Th and activated CD8+ IFN</w:t>
      </w:r>
      <w:r>
        <w:rPr>
          <w:rFonts w:ascii="Arial" w:cs="Arial" w:eastAsia="Arial" w:hAnsi="Arial"/>
          <w:sz w:val="13"/>
          <w:szCs w:val="13"/>
          <w:color w:val="auto"/>
        </w:rPr>
        <w:t>Y</w:t>
      </w:r>
      <w:r>
        <w:rPr>
          <w:rFonts w:ascii="Arial" w:cs="Arial" w:eastAsia="Arial" w:hAnsi="Arial"/>
          <w:sz w:val="17"/>
          <w:szCs w:val="17"/>
          <w:color w:val="auto"/>
        </w:rPr>
        <w:t xml:space="preserve"> + PD-1+TRM cell subsets in inflammatory reactions caused by DPCP.</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5"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Provocation Test as Potential Support for Proof-of-Mechanism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163195</wp:posOffset>
            </wp:positionV>
            <wp:extent cx="4732020" cy="2297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320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right="480" w:firstLine="551"/>
        <w:spacing w:after="0" w:line="253" w:lineRule="auto"/>
        <w:rPr>
          <w:sz w:val="20"/>
          <w:szCs w:val="20"/>
          <w:color w:val="auto"/>
        </w:rPr>
      </w:pPr>
      <w:r>
        <w:rPr>
          <w:rFonts w:ascii="Arial" w:cs="Arial" w:eastAsia="Arial" w:hAnsi="Arial"/>
          <w:sz w:val="18"/>
          <w:szCs w:val="18"/>
          <w:color w:val="auto"/>
        </w:rPr>
        <w:t>Given current FDA guidance for immune agonist therapies, we currently expect to complete the MAD portion in patients with inflammatory disease. In addition to assessing the safety and PK of OD-00910 in patients, we currently intend to use skin biopsies to provide an early assessment of PD response, and disease specific outcome measures.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Programs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TSLP/IL-33</w:t>
      </w:r>
    </w:p>
    <w:p>
      <w:pPr>
        <w:spacing w:after="0" w:line="102" w:lineRule="exact"/>
        <w:rPr>
          <w:sz w:val="20"/>
          <w:szCs w:val="20"/>
          <w:color w:val="auto"/>
        </w:rPr>
      </w:pPr>
    </w:p>
    <w:p>
      <w:pPr>
        <w:jc w:val="both"/>
        <w:ind w:left="120" w:right="340" w:firstLine="551"/>
        <w:spacing w:after="0" w:line="247" w:lineRule="auto"/>
        <w:rPr>
          <w:sz w:val="20"/>
          <w:szCs w:val="20"/>
          <w:color w:val="auto"/>
        </w:rPr>
      </w:pPr>
      <w:r>
        <w:rPr>
          <w:rFonts w:ascii="Arial" w:cs="Arial" w:eastAsia="Arial" w:hAnsi="Arial"/>
          <w:sz w:val="18"/>
          <w:szCs w:val="18"/>
          <w:color w:val="auto"/>
        </w:rPr>
        <w:t>We are developing a bispecific protein therapeutic candidate designed to bind and block signaling from two upstream alarmins, thymic stromal lymphopoietin, or TSLP, and the cytokine interleukin-33, or IL-33, that are both drivers of asthma and other respiratory diseases. TSLP is a validated drug target, with tezepelumab approved for the treatment of asthma. IL-33 antagonists have also shown clinical activity in asthma in third-party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139700</wp:posOffset>
            </wp:positionV>
            <wp:extent cx="5194935" cy="16459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9493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TSLP and IL-33 are two alarmins that are understood to trigger inflammation in the lung in response to inhaled environmental toxins and infectious agents resulting in damage to the epithelium in the lung. TSLP and IL-33 are both present at increased levels in bronchoalveolar lavage fluid, or BALF, from asthma patients with disease that is resistant to corticosteroid therapy. These two alarmins have redundant effects on immune cell types including innate lymphoid cells called ILC2 cells, Th2 lymphocytes and macrophage that mediate disease in asthma and chronic obstructive pulmonary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disease. Based on the redundant proinflammatory effects of these two alarmins, we believe that a protein therapeutic targeting both TSLP and IL-33 could be more effective than therapeutics targeting either alone.</w:t>
      </w:r>
    </w:p>
    <w:p>
      <w:pPr>
        <w:spacing w:after="0" w:line="15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Our bispecific protein therapeutic candidate targeting TSLP and anti-IL-33 is being developed to treat patients with asthma, including both type 2 and non-type 2 disease. We believe this bispecific treatment may be effective in patients whose disease is not well-controlled by other therapies, including inhaled corticosteroids.</w:t>
      </w:r>
    </w:p>
    <w:p>
      <w:pPr>
        <w:spacing w:after="0" w:line="169"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Progress on this program has resulted in the identification of high-affinity monospecific antagonists of TSLP and IL-33. The program is in lead optimization to identify a bispecific protein development candidate, which we anticipate nominating in the first half of 2026. Following nomination of a development candidate, we currently expect to commence nonclinical development work to progress to a potential clinical candidate.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NLRP1</w:t>
      </w:r>
    </w:p>
    <w:p>
      <w:pPr>
        <w:spacing w:after="0" w:line="102" w:lineRule="exact"/>
        <w:rPr>
          <w:sz w:val="20"/>
          <w:szCs w:val="20"/>
          <w:color w:val="auto"/>
        </w:rPr>
      </w:pPr>
    </w:p>
    <w:p>
      <w:pPr>
        <w:ind w:left="120" w:right="20" w:firstLine="551"/>
        <w:spacing w:after="0" w:line="266" w:lineRule="auto"/>
        <w:rPr>
          <w:sz w:val="20"/>
          <w:szCs w:val="20"/>
          <w:color w:val="auto"/>
        </w:rPr>
      </w:pPr>
      <w:r>
        <w:rPr>
          <w:rFonts w:ascii="Arial" w:cs="Arial" w:eastAsia="Arial" w:hAnsi="Arial"/>
          <w:sz w:val="17"/>
          <w:szCs w:val="17"/>
          <w:color w:val="auto"/>
        </w:rPr>
        <w:t>We are developing a small molecule candidate designed to inhibit NLRP1, an inflammasome forming pattern recognition protein that has been genetically linked to a number of inflammatory diseases. The inflammasome, once formed and activated, mediates the release of IL-1ß and IL-18, two cytokines that drive inflammation and inflammatory diseases. IL-1ß cytokine blocking therapies have been approved to treat inflammatory disease and multiple IL-18 cytokine blocking therapies are currently in late-stage clinical development.</w:t>
      </w:r>
    </w:p>
    <w:p>
      <w:pPr>
        <w:spacing w:after="0" w:line="159"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NLRP1 expression is unique from other inflammasome proteins due to its expression across tissues, including the skin as well as the lining of the stomach, small intestine, colon, lung and uterus. In addition, NLRP1 becomes activated by its own autoproteolytic function, which releases a protein fragment of NLRP1 to form an active inflammasome complex.</w:t>
      </w:r>
    </w:p>
    <w:p>
      <w:pPr>
        <w:spacing w:after="0" w:line="169"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Gain-of-function mutations in human NLRP1 lead to autoinflammatory disorders associated with skin and lung inflammation. For example, NLRP1 genetic variants are associated with vitiligo and skin inflammatory spectrum diseases such as multiple self-healing palmoplantar carcinoma and familial keratosis lichenoides chronica. Genetic variants have also been associated with manifestations of psoriasis and AD, systemic sclerosis, autoimmune arthritis and eye diseases, and increased asthma severity.</w:t>
      </w:r>
    </w:p>
    <w:p>
      <w:pPr>
        <w:spacing w:after="0" w:line="17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Our development activities to date have identified chemical matter that binds to NLRP1 and was observed to inhibit inflammasome formation. An assessment of initial chemical matter is ongoing to determine if this chemical matter can be used as a starting point to develop NLRP1 inhibitors. Given the discovery stage of this program, the clinical development plan for a possible future NLRP1 inhibitor clinical candidate has not yet been defined, but we believe systemic sclerosis is one high unmet need indication for a potential NLRP1 inhibitor. We plan to continue conducting experiments to advance this program into lead optimization.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MDA5</w:t>
      </w:r>
    </w:p>
    <w:p>
      <w:pPr>
        <w:spacing w:after="0" w:line="10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We are developing a small molecule candidate designed to inhibit MDA5, an intracellular pattern recognition receptor belonging to the RIG-I-like receptor, or RLR, family. MDA5 plays a crucial role in the innate immune system by detecting long double-stranded RNA, or dsRNA, which can be either endogenous or of viral origin. MDA5 activates the transcription factors NF-</w:t>
      </w:r>
      <w:r>
        <w:rPr>
          <w:rFonts w:ascii="Times New Roman" w:cs="Times New Roman" w:eastAsia="Times New Roman" w:hAnsi="Times New Roman"/>
          <w:sz w:val="18"/>
          <w:szCs w:val="18"/>
          <w:color w:val="auto"/>
        </w:rPr>
        <w:t>k</w:t>
      </w:r>
      <w:r>
        <w:rPr>
          <w:rFonts w:ascii="Arial" w:cs="Arial" w:eastAsia="Arial" w:hAnsi="Arial"/>
          <w:sz w:val="18"/>
          <w:szCs w:val="18"/>
          <w:color w:val="auto"/>
        </w:rPr>
        <w:t>B and IRF3, which lead to the production of proinflammatory cytokines such as TNF, IL-6 and type I interferons. We are not aware of any approved therapies targeting MDA5.</w:t>
      </w:r>
    </w:p>
    <w:p>
      <w:pPr>
        <w:spacing w:after="0" w:line="176" w:lineRule="exact"/>
        <w:rPr>
          <w:sz w:val="20"/>
          <w:szCs w:val="20"/>
          <w:color w:val="auto"/>
        </w:rPr>
      </w:pPr>
    </w:p>
    <w:p>
      <w:pPr>
        <w:ind w:left="120" w:right="540" w:firstLine="551"/>
        <w:spacing w:after="0" w:line="271" w:lineRule="auto"/>
        <w:rPr>
          <w:sz w:val="20"/>
          <w:szCs w:val="20"/>
          <w:color w:val="auto"/>
        </w:rPr>
      </w:pPr>
      <w:r>
        <w:rPr>
          <w:rFonts w:ascii="Arial" w:cs="Arial" w:eastAsia="Arial" w:hAnsi="Arial"/>
          <w:sz w:val="18"/>
          <w:szCs w:val="18"/>
          <w:color w:val="auto"/>
        </w:rPr>
        <w:t>Genetic evidence supports our belief that MDA5 plays a role in inflammatory or autoimmune disease. MDA5 gain of function polymorphisms have been observed to increase MDA5 activity. Loss of</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60"/>
          </w:cols>
          <w:pgMar w:left="320" w:top="455" w:right="5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function mutations in genes that degrade endogenous RNA have been observed to increase cytosolic dsRNA. Both of these types of mutations are associated with a range of monogenic autoimmune and inflammatory diseases, including Aicardi-Goutières syndrome or Singleton-Merten Syndrome. In addition, we believe activation of the MDA5 pathway likely drives disease in patient subpopulations of large, more heterogenous diseases, such as Sjögren’s syndrome and SLE.</w:t>
      </w:r>
    </w:p>
    <w:p>
      <w:pPr>
        <w:spacing w:after="0" w:line="17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Our development activities to date have identified chemical matter that binds to and inhibits MDA5 activity. Work is ongoing to determine if the chemical matter that has been identified can be used as a starting point to develop MDA5 inhibitors. Given the discovery stage of this program, the clinical development plan has not yet been defined, but we believe Sjögren’s syndrome and SLE are two high unmet need indications for a potential MDA5 inhibitor. We plan to continue conducting experiments to advance this program into lead optimization.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and Collaboration Agreements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J&amp;J Strategic Collaboration, Option and License Agreement</w:t>
      </w:r>
    </w:p>
    <w:p>
      <w:pPr>
        <w:spacing w:after="0" w:line="102"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On March 29, 2024, we entered into a Strategic Collaboration, Option and License Agreement, or the J&amp;J Agreement, with J&amp;J to jointly discover and optimize small molecule medicines against select therapeutic targets using our AI/ML capability. We and J&amp;J have agreed or will agree to research plans, on a program-by-program basis, and will use commercially reasonable efforts in performing activities under such plans. J&amp;J also has certain obligations to use commercially reasonable efforts to develop and seek to obtain commercialization approval under the J&amp;J Agreement. During the exclusivity period for each elected target under the J&amp;J Agreement, we have agreed not to research, develop, manufacture or commercialize a competing product in the relevant field or territory.</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J&amp;J paid us an upfront payment of $6.5 million in connection with the entry into the J&amp;J Agreement, which is the sole payment we have received pursuant to the J&amp;J Agreement as of the date of this prospectus. We will be eligible to receive, subject to the achievement of certain research, development, commercialization approval and sales milestones and the option exercise described below, additional milestone payments in an aggregate amount of approximately $839.0 million from J&amp;J. We will also be eligible to receive low to mid-single digit percentage in tiered royalties based on the aggregate net sales of certain products that arise from the collaboration, if approved (subject to certain deductions). The applicable royalties will be payable to us in a given country commencing on the date of first commercial sale of a royalty product in such country and ending upon the latest of (i) the date of expiration of the last-to-expire valid claim included in certain intellectual property, (ii) a designated period of time following the first commercial sale in such country and (iii) the date of expiration of certain regulatory exclusivity for the applicable product in such country. We are also entitled to reimbursement payments for certain costs incurred in connection with our research activities.</w:t>
      </w:r>
    </w:p>
    <w:p>
      <w:pPr>
        <w:spacing w:after="0" w:line="18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Each party granted to the other party a non-exclusive, royalty-free, worldwide license to certain intellectual property in connection with the other party’s research activities under the J&amp;J Agreement. We also granted J&amp;J an exclusive option to obtain a commercial license with respect to each program within a specified time period. On a program-by-program basis, if J&amp;J elects to exercise such option or if J&amp;J initiates certain research activities for a program (without exercising such option), we would be entitled to a payment in the mid-single digit millions of dollars.</w:t>
      </w:r>
    </w:p>
    <w:p>
      <w:pPr>
        <w:spacing w:after="0" w:line="176"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J&amp;J Agreement will expire (i) on a country-by-country and product-by-product basis on the date of expiration of all payment obligations with respect to such product in such country and (ii) in its entirety upon the expiration of all payment obligations under the J&amp;J Agreement with respect to all products in all countries. J&amp;J also has the right to terminate the J&amp;J Agreement in its entirety or in part, in certain circumstances, including for convenience, upon providing us prior written notice. In addition, if J&amp;J provides us with written notice that it does not elect to commence (or fails to provide any notice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5"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regarding whether or not it will elect to commence) certain research activities, or if J&amp;J fails to commence other research activities, during certain specified periods, we will have the right to terminate the applicable program upon written notice.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 Material Transfer and Evaluation Agreement</w:t>
      </w:r>
    </w:p>
    <w:p>
      <w:pPr>
        <w:spacing w:after="0" w:line="102"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On December 20, 2022, we entered into a Material Transfer and Evaluation Agreement, or the Pfizer MTA, with Pfizer, pursuant to which we and Pfizer agreed to transfer to each other certain biological materials with the goal of identifying novel hits using our natural product platform to initiate a preclinical drug discovery program against an oncogenic transcription factor.</w:t>
      </w:r>
    </w:p>
    <w:p>
      <w:pPr>
        <w:spacing w:after="0" w:line="169"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Each party granted a non-exclusive, royalty-free, worldwide license to the other party for the use of the materials and intellectual property solely in connection with the joint research plan. Each party will own all proprietary rights in any inventions or discovery made in the course of performing the joint research plan to the extent relating to its own materials.</w:t>
      </w:r>
    </w:p>
    <w:p>
      <w:pPr>
        <w:spacing w:after="0" w:line="169"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As consideration for access to our materials, Pfizer agreed to pay us a one-time technology access fee of $1.0 million, along with potential milestone payments upon the achievement of specified milestones in the joint research plan in an aggregate amount of up to $985,000. As of the date of this prospectus, we have received $ 1.4 million pursuant to the Pfizer Agreement. We agreed that Pfizer may elect, by written notice to us within a certain specified period, to enter into good faith negotiations with us with respect to an exclusive, worldwide, fee bearing license to make, sell and use the materials and results under the Pfizer MTA. The Pfizer MTA will terminate upon the earlier of (i) completion of the joint research plan and (ii) two and one-half years from the date of the Pfizer MTA, and may also be terminated by either party upon prior written notice.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Terray Collaboration and License Agreement</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On September 11, 2024, we entered into a Collaboration and License Agreement, or the Terray Agreement, with Terray to discover, develop and commercialize or out-license products directed to IRF5. We and Terray have agreed to an initial research plan and to use commercially reasonable efforts to perform the activities in any research, development or commercialization plans under the Terray Agreement and, commencing on the date that a development candidate is identified, to enter into an out-licensing transaction that satisfies certain requirements. During the term of the Terray Agreement and subject to certain exceptions, we and Terray have agreed not to, directly or indirectly, conduct any other development, manufacturing or commercialization activities related to any compound or product directed to IRF5. As between us and Terray and unless we opt-out as described below, we are solely responsible for preparing and submitting regulatory submissions with regulatory authorities and for obtaining and maintaining regulatory approvals for certain compounds and products that are the subject of the Terray Agreement.</w:t>
      </w:r>
    </w:p>
    <w:p>
      <w:pPr>
        <w:spacing w:after="0" w:line="183" w:lineRule="exact"/>
        <w:rPr>
          <w:sz w:val="20"/>
          <w:szCs w:val="20"/>
          <w:color w:val="auto"/>
        </w:rPr>
      </w:pPr>
    </w:p>
    <w:p>
      <w:pPr>
        <w:jc w:val="both"/>
        <w:ind w:left="120" w:right="20" w:firstLine="551"/>
        <w:spacing w:after="0" w:line="275" w:lineRule="auto"/>
        <w:rPr>
          <w:sz w:val="20"/>
          <w:szCs w:val="20"/>
          <w:color w:val="auto"/>
        </w:rPr>
      </w:pPr>
      <w:r>
        <w:rPr>
          <w:rFonts w:ascii="Arial" w:cs="Arial" w:eastAsia="Arial" w:hAnsi="Arial"/>
          <w:sz w:val="17"/>
          <w:szCs w:val="17"/>
          <w:color w:val="auto"/>
        </w:rPr>
        <w:t>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w:t>
      </w:r>
    </w:p>
    <w:p>
      <w:pPr>
        <w:spacing w:after="0" w:line="15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Both we and Terray have the right to opt-out of the obligation to perform, and share costs for, activities under the applicable plan and the right and obligation to share collaboration losses and collaboration profits, prior to the execution of an out-licensing transaction and subject to certain other conditions. We or Terray may also be deemed to opt-out if further development or commercialization activities are not approved under the agreement or the parties do not designate a development candidate and, in either case, only one party wishes to conduct additional research, or if either party decides not to bear certain increased costs.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the event one party opts-out of the Terray Agreement, such party will not be required to conduct any further activities under the applicable plan and will no longer be required to pay its portion of collaboration losses or have a right to receive its portion of collaboration profits to the extent incurred or received after the effective date of the opt-out. Instead, the opt-out party will be entitled to receive a percentage of the net proceeds from an out-licensing agreement, if any, ranging from the mid-single digits to the mid-thirties during the term of the Terray Agreement. If no out-license transaction has been entered into with respect to the applicable licensed product developed pursuant to the Terray Agreement in the relevant country, the opt-out party will instead be eligible to receive mid-single digit to low double digit royalties on aggregate net sales that arise from the other party’s commercialization of such licensed product, if any, on a country-by-country basis during the applicable royalty term (subject to certain deductions).</w:t>
      </w:r>
    </w:p>
    <w:p>
      <w:pPr>
        <w:spacing w:after="0" w:line="180"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The Terray Agreement will expire on the date all payment obligations with respect to licensed products under the Terray Agreement expire. We and Terray may also terminate the Terray Agreement in certain circumstances, including for convenience, upon providing the other party prior written notice.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biopharmaceutical industry is characterized by rapidly advancing technologies, intense competition and a strong emphasis on proprietary and novel products and product candidates. Our product candidates, if approved, are designed to potentially address a range of inflammatory and autoimmune diseases. Ultimately, the diseases our product candidates target, and for which we may receive marketing authorization, will determine our competition. Our product candidates, if approved, will have to compete with existing therapies and new therapies that may become available in the future. We face potential competition from many different sources, including larger and better-funded pharmaceutical, biopharmaceutical, biotechnological and therapeutics companies. In many cases, the companies with competing programs will have access to greater financial, technical, manufacturing, supply, marketing and sales resources, and may be more advanced in those programs. Moreover, we may also compete with universities and other research institutions that may be or will become active in research on our target indications. Smaller or early-stage companies may also prove to be significant competitors, particularly through collaborative arrangements with large and established companies. Key competitive factors affecting the success of our product candidates, if approved, are likely to be efficacy, safety, convenience, presentation, price, level of generic competition and the availability of reimbursement from government and third-party payors.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189"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We are developing OD-07656, a small molecule scaffolding inhibitor of RIPK2 for the treatment of IBD. We are aware of a number of competing product candidates targeting RIPK2 in clinical development stage, including Boehringer Ingelheim’s BI 706321, Accro (Accropeutics) Bioscience’s AC-101, and Oncodesign Precision Medicine’s ODS-101/OPM-101. We are also aware of other companies that have publicly disclosed work on RIPK2, including: GlaxoSmithKline (GSK 2983559 and GSK583), Takeda, Novartis, Bristol Myers Squibb/Celgene, Atomwise, Vibliome Therapeutics and Zenitar Biomedical/Chengdu Zeling Biomedical.</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approved, we would expect to compete against a number of approved therapies for the treatment of IBD. These approved therapies include TNF inhibitors, including AbbVie’s HUMIRA, J&amp;J’s REMICADE and SIMPONI; IL-23 inhibitors including J&amp;J’s STELARA, Eli Lilly’s OMVOH and AbbVie’s SKYRIZI; integrin blockers including Takeda’s ENTYVIO; JAK inhibitors including Pfizer’s XELJANZ and AbbVie’s RINVOQ; and S1P1 receptor modulating therapies, including Bristol Myers Squibb’s ZEPOSIA and Pfizer’s VELSIPITY. We are also aware of product candidates in development for the treatment of patients with IBD, including Merck’s MK-7240, Roche’s RG6631 and Sanofi/Teva’s TEV-48574 TL1A antibodies; additional IL-23/IL-23Rs including J&amp;J’s TREMFYA and JNJ-2113; and oral anti-integrin agents including Eli Lilly’s MORF-057 and Gilead’s GS-1427.</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are also developing an IRAK4 scaffolding inhibitor. There are a number of companies seeking to develop drugs targeting IRAK4. We are aware of three IRAK4 degraders in clinical trials or late-stage preclinical development for the potential treatment of patients with inflammatory diseases, including Sanofi and Kymera’s KT-474, Leadingtac’s LT-002 (or LT-002-158) and Gilead and Nurix’s GS-6791/NX-0479, and a number of IRAK4 kinase inhibitors in clinical trials, including Gilead’s GS-5718, Chia Tai Tianqing’s TQH3821 and AstraZeneca’s AZD6793.</w:t>
      </w:r>
    </w:p>
    <w:p>
      <w:pPr>
        <w:spacing w:after="0" w:line="176"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In addition, we are developing OD-00910, a monospecific, tetravalent V-body designed to agonize TNFR2 selectively on Treg. We are not aware of any TNFR2 agonists that have commenced clinical trials, but are aware of three TNFR2 agonist programs that are in preclinical or early clinical development, including Dualyx’s DT-001, TRexBio’s TRB-061 and Nektar’s NKTR-0165. Additional TNFR2 agonist programs are in development for cancer indications. Other approaches to Treg therapies include, but are not limited to, IL-2 therapies and cell therapies.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continuously work to protect our, and develop new, proprietary technology, inventions, trade secrets and know-how that are important for our business, including by seeking, maintaining and defending patent rights. In addition to seeking patent protection, we rely upon trade secrets and confidential know-how and continuing technological innovation related to our product candidates and drug development efforts. We seek to protect our proprietary information, in part, using confidentiality agreements with any collaborators, advisors, employees and consultants and invention assignment agreements with our employees. We also have agreements requiring assignment of inventions with selected consultants, advisors and collaborators. Our success will depend in part on our ability to obtain and maintain patent protection for our product candidates and technologies, to preserve our trade secrets, to operate without infringing the proprietary rights of third parties and to acquire licenses related to enabling technologies or products. We are also party to collaboration agreements and licenses pursuant to which we develop new intellectual property and collaborate with third-parties to provide them access to our intellectual property and gain access to their intellectual property. See the section of the prospectus titled “—</w:t>
      </w:r>
      <w:r>
        <w:rPr>
          <w:rFonts w:ascii="Arial" w:cs="Arial" w:eastAsia="Arial" w:hAnsi="Arial"/>
          <w:sz w:val="18"/>
          <w:szCs w:val="18"/>
          <w:i w:val="1"/>
          <w:iCs w:val="1"/>
          <w:color w:val="auto"/>
        </w:rPr>
        <w:t>License and</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for more information.</w:t>
      </w:r>
    </w:p>
    <w:p>
      <w:pPr>
        <w:spacing w:after="0" w:line="18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 candidates receive FDA approval, we expect to apply for patent term extensions on patents covering those products. We plan to seek any available patent term extension to any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89"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We may also rely on trade secrets relating to our discovery programs and product candidates, and seek to protect and maintain the confidentiality of proprietary information to protect aspects of our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business that are not amenable to, or that we do not consider appropriate for, patent protection.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RIPK2</w:t>
      </w:r>
    </w:p>
    <w:p>
      <w:pPr>
        <w:spacing w:after="0" w:line="102"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color w:val="auto"/>
        </w:rPr>
        <w:t>Our RIPK2 patent portfolio consists of patent applications directed toward the composition of matter of certain inhibitors of RIPK2 having distinct chemical scaffolds, including a scaffold that covers our most advanced product candidate, OD-07656, and uses of these inhibitors to treat certain diseases.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OD-07656</w:t>
      </w:r>
    </w:p>
    <w:p>
      <w:pPr>
        <w:spacing w:after="0" w:line="102" w:lineRule="exact"/>
        <w:rPr>
          <w:sz w:val="20"/>
          <w:szCs w:val="20"/>
          <w:color w:val="auto"/>
        </w:rPr>
      </w:pPr>
    </w:p>
    <w:p>
      <w:pPr>
        <w:jc w:val="both"/>
        <w:ind w:left="120" w:right="260" w:firstLine="551"/>
        <w:spacing w:after="0" w:line="253" w:lineRule="auto"/>
        <w:rPr>
          <w:sz w:val="20"/>
          <w:szCs w:val="20"/>
          <w:color w:val="auto"/>
        </w:rPr>
      </w:pPr>
      <w:r>
        <w:rPr>
          <w:rFonts w:ascii="Arial" w:cs="Arial" w:eastAsia="Arial" w:hAnsi="Arial"/>
          <w:sz w:val="18"/>
          <w:szCs w:val="18"/>
          <w:color w:val="auto"/>
        </w:rPr>
        <w:t>The patent portfolio for OD-07656 is based on our wholly owned patent families, and includes patent applications directed to the composition of matter of OD-07656, uses of OD-07656 for treating certain diseases and certain crystalline forms of OD-07656 and their uses for treating certain disease.</w:t>
      </w:r>
    </w:p>
    <w:p>
      <w:pPr>
        <w:spacing w:after="0" w:line="169"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As of September 30, 2024, applications directed toward the composition of matter of OD-07656 and its uses to treat certain diseases have been filed in Argentina and Taiwan and under the Patent Cooperation Treaty (“PCT”). The PCT is an international patent law treaty that provides a unified procedure for filing a single initial patent application to seek patent protection for an invention simultaneously in each of the PCT-member states. Although a PCT application is not itself examined and cannot issue as a patent, it allows the applicant to seek protection in any of the member states by filing national applications. Any patents that may issue in the U.S., Argentina, Taiwan or in other foreign jurisdictions based on this PCT application would expire in 2043, absent any terminal disclaimers, patent term adjustments or patent term extensions.</w:t>
      </w:r>
    </w:p>
    <w:p>
      <w:pPr>
        <w:spacing w:after="0" w:line="185"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As of September 30, 2024, we also have one pending U.S. provisional patent application directed toward certain crystalline forms of OD-07656 and their uses for treating certain diseases. If non -provisional patent applications (e.g., a regular U.S. application, a PCT application or foreign national applications) claiming the benefit of the pending U.S. provisional patent application are filed in 2025 before expiration of the U.S. provisional patent application, any patents that may issue in the U.S. from such applications would expire no earlier than 2045, absent any terminal disclaimers, patent term adjustments or patent term extensions. Any patents that may issue in foreign jurisdictions would likewise expire in 2045, absent any terminal disclaimers, patent term adjustments or patent term extensions.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RIPK2 Inhibitors</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The patent portfolios for our other RIPK2 inhibitors under development are wholly owned by us and include patent applications directed to the composition of matter of inhibitors having defined chemical scaffolds that differ from the scaffold that covers OD-07656, and uses of such inhibitors for treating certain diseases.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As of September 30, 2024, a PCT application directed toward the composition of matter and uses to treat certain diseases of a chemical scaffold different from the scaffold that covers OD-07656 has been filed. Any patents that may issue in the U.S. or any foreign jurisdiction based on the PCT application would expire in 2044, absent any terminal disclaimers, patent term adjustments or patent term extensions.</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As of September 30, 2024, we have also filed a U.S. provisional application directed toward the composition of matter and uses to treat certain diseases of another chemical scaffold different from the scaffold that covers OD-07656. If non-provisional patent applications claiming the benefit of the pending U.S. provisional patent application are filed in 2025 before expiration of the U.S. provisional patent application, any U.S. patents that may issue from such applications would expire no earlier than 2045, not including any terminal disclaimers, patent term adjustments or patent term extensions. Any patents that may issue in foreign jurisdictions would likewise expire in 2045, absent any terminal disclaimers, patent term adjustments or patent term extensions.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IRAK4</w:t>
      </w:r>
    </w:p>
    <w:p>
      <w:pPr>
        <w:spacing w:after="0" w:line="102" w:lineRule="exact"/>
        <w:rPr>
          <w:sz w:val="20"/>
          <w:szCs w:val="20"/>
          <w:color w:val="auto"/>
        </w:rPr>
      </w:pPr>
    </w:p>
    <w:p>
      <w:pPr>
        <w:jc w:val="both"/>
        <w:ind w:left="120" w:right="300" w:firstLine="551"/>
        <w:spacing w:after="0" w:line="253" w:lineRule="auto"/>
        <w:rPr>
          <w:sz w:val="20"/>
          <w:szCs w:val="20"/>
          <w:color w:val="auto"/>
        </w:rPr>
      </w:pPr>
      <w:r>
        <w:rPr>
          <w:rFonts w:ascii="Arial" w:cs="Arial" w:eastAsia="Arial" w:hAnsi="Arial"/>
          <w:sz w:val="18"/>
          <w:szCs w:val="18"/>
          <w:color w:val="auto"/>
        </w:rPr>
        <w:t>We are continuing to evaluate which IRAK4 compound to advance into clinical trials as our development candidate and plan on filing a provisional patent application in 2024 to cover our IRAK4 small molecule inhibitor, as well as general compounds that cover our selected compound and other related compounds.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TNFR2</w:t>
      </w:r>
    </w:p>
    <w:p>
      <w:pPr>
        <w:spacing w:after="0" w:line="102" w:lineRule="exact"/>
        <w:rPr>
          <w:sz w:val="20"/>
          <w:szCs w:val="20"/>
          <w:color w:val="auto"/>
        </w:rPr>
      </w:pPr>
    </w:p>
    <w:p>
      <w:pPr>
        <w:jc w:val="both"/>
        <w:ind w:left="120" w:right="40" w:firstLine="551"/>
        <w:spacing w:after="0" w:line="275" w:lineRule="auto"/>
        <w:rPr>
          <w:sz w:val="20"/>
          <w:szCs w:val="20"/>
          <w:color w:val="auto"/>
        </w:rPr>
      </w:pPr>
      <w:r>
        <w:rPr>
          <w:rFonts w:ascii="Arial" w:cs="Arial" w:eastAsia="Arial" w:hAnsi="Arial"/>
          <w:sz w:val="17"/>
          <w:szCs w:val="17"/>
          <w:color w:val="auto"/>
        </w:rPr>
        <w:t>The TNFR2 patent portfolio covers protein agonist molecules. This portfolio is based on our wholly owned group of patent families, including patent applications directed to TNFR2 VHH, CD25 VHH, TNFR2-CD25 bispecific VHH, methods of making these molecules and methods of treating disease by administering these molecules, including with respect to our lead molecule for this program, OD-00910.</w:t>
      </w:r>
    </w:p>
    <w:p>
      <w:pPr>
        <w:spacing w:after="0" w:line="152" w:lineRule="exact"/>
        <w:rPr>
          <w:sz w:val="20"/>
          <w:szCs w:val="20"/>
          <w:color w:val="auto"/>
        </w:rPr>
      </w:pPr>
    </w:p>
    <w:p>
      <w:pPr>
        <w:ind w:left="120" w:right="160" w:firstLine="551"/>
        <w:spacing w:after="0" w:line="275" w:lineRule="auto"/>
        <w:rPr>
          <w:sz w:val="20"/>
          <w:szCs w:val="20"/>
          <w:color w:val="auto"/>
        </w:rPr>
      </w:pPr>
      <w:r>
        <w:rPr>
          <w:rFonts w:ascii="Arial" w:cs="Arial" w:eastAsia="Arial" w:hAnsi="Arial"/>
          <w:sz w:val="17"/>
          <w:szCs w:val="17"/>
          <w:color w:val="auto"/>
        </w:rPr>
        <w:t>As of September 30, 2024, our TNFR2 patent portfolio comprised four pending U.S. provisional applications, two pending PCT applications, two Taiwanese patent applications and two Argentine pending applications. Any patents that may issue from these pending applications would expire from 2044 to 2045, absent any terminal disclaimers, patent term adjustments or patent term extensions.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TSLP-IL-33</w:t>
      </w:r>
    </w:p>
    <w:p>
      <w:pPr>
        <w:spacing w:after="0" w:line="102" w:lineRule="exact"/>
        <w:rPr>
          <w:sz w:val="20"/>
          <w:szCs w:val="20"/>
          <w:color w:val="auto"/>
        </w:rPr>
      </w:pPr>
    </w:p>
    <w:p>
      <w:pPr>
        <w:ind w:left="120" w:right="200" w:firstLine="551"/>
        <w:spacing w:after="0" w:line="266" w:lineRule="auto"/>
        <w:rPr>
          <w:sz w:val="20"/>
          <w:szCs w:val="20"/>
          <w:color w:val="auto"/>
        </w:rPr>
      </w:pPr>
      <w:r>
        <w:rPr>
          <w:rFonts w:ascii="Arial" w:cs="Arial" w:eastAsia="Arial" w:hAnsi="Arial"/>
          <w:sz w:val="17"/>
          <w:szCs w:val="17"/>
          <w:color w:val="auto"/>
        </w:rPr>
        <w:t>The TSLP-IL-33 patent portfolio covers the protein agonists we are continually evaluating for the purpose of determining which molecule may be advanced into clinical trials. This portfolio is based on one pending U.S. provisional application directed to TSLP VHH, methods of making these molecules and methods of treating disease by administering these molecules. Any patents granting from this pending U.S. provisional application would expire in June 2025, absent any patent term adjustments or patent term extensions.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102" w:lineRule="exact"/>
        <w:rPr>
          <w:sz w:val="20"/>
          <w:szCs w:val="20"/>
          <w:color w:val="auto"/>
        </w:rPr>
      </w:pPr>
    </w:p>
    <w:p>
      <w:pPr>
        <w:ind w:left="120" w:right="200" w:firstLine="551"/>
        <w:spacing w:after="0" w:line="275" w:lineRule="auto"/>
        <w:rPr>
          <w:sz w:val="20"/>
          <w:szCs w:val="20"/>
          <w:color w:val="auto"/>
        </w:rPr>
      </w:pPr>
      <w:r>
        <w:rPr>
          <w:rFonts w:ascii="Arial" w:cs="Arial" w:eastAsia="Arial" w:hAnsi="Arial"/>
          <w:sz w:val="17"/>
          <w:szCs w:val="17"/>
          <w:color w:val="auto"/>
        </w:rPr>
        <w:t>Further, we have and will continue to pursue trademark protection for our company name and brand, as well as slogans and taglines and logos. As of September 30, 2024, we owned six trademark registrations in foreign jurisdictions that comprise or incorporate the term “Odyssey Therapeutics” and/or our wreath logo, and had three such pending trademark applications in the United States.</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0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Given our stage of development, we have not yet established a full commercial organization or distribution capabilities. We intend to build a commercial infrastructure to support sales of any approved product candidates and intend to continue evaluating opportunities to work with partners that enhance our capabilities with respect to the development and commercialization of product candidates, if approved. In addition, we intend to commercialize our product candidates, if approved, in key global markets, either alone or with partners in order to maximize the worldwide commercial potential of our programs.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the manufacture of any products that we may commercialize, if approved. For all our product candidates, we intend to identify and qualify redundant manufacturers, including entering into long-term agreements, to provide the active pharmaceutical ingredients and drug product and prior to submission of a new drug application, or NDA, or biologics license application, or BLA, to the FDA and/or a marketing authorization application, or MAA, to the European Medicines Agency, or EMA, and/or other comparable foreign regulatory authorities. We believe our selection of two well understood modalities, small molecules and protein therapeutics, will allow us to manufacture our product candidates in reliable and reproducible processes from readily available starting materials. We expect to continue to develop product candidates that can be produced cost-effectively at contract manufacturing facilities.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sale, distribution, post-approval monitoring and reporting, marketing, and export and import of drug products and biologics. We, along with any third-party contractors on whom we rely, will be required to navigate the various preclinical, clinical and commercial approval requirements of the governing regulatory agencies of the countries in which we wish to conduct studies, clinical trials or seek approval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Regulation</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the United States, the FDA regulates drugs under the Federal Food, Drug, and Cosmetic Act, as amended, or the FDCA, and its implementing regulations. Drugs are also subject to other federal, state and local statutes and regulations. Biologics are subject to these same requirements in the United States, except that they are licensed under the Public Health Service Act. A new drug or biologic must be approved by the FDA through the NDA or BLA process, respectively, before they may be legally marketed in the United States, and this process generally involves the following:</w:t>
      </w:r>
    </w:p>
    <w:p>
      <w:pPr>
        <w:spacing w:after="0" w:line="82" w:lineRule="exact"/>
        <w:rPr>
          <w:sz w:val="20"/>
          <w:szCs w:val="20"/>
          <w:color w:val="auto"/>
        </w:rPr>
      </w:pPr>
    </w:p>
    <w:p>
      <w:pPr>
        <w:ind w:left="880" w:right="480" w:hanging="224"/>
        <w:spacing w:after="0" w:line="271"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practices, or GLPs, and other applicable regulations;</w:t>
      </w:r>
    </w:p>
    <w:p>
      <w:pPr>
        <w:spacing w:after="0" w:line="59" w:lineRule="exact"/>
        <w:rPr>
          <w:rFonts w:ascii="Arial" w:cs="Arial" w:eastAsia="Arial" w:hAnsi="Arial"/>
          <w:sz w:val="18"/>
          <w:szCs w:val="18"/>
          <w:color w:val="auto"/>
        </w:rPr>
      </w:pPr>
    </w:p>
    <w:p>
      <w:pPr>
        <w:ind w:left="880" w:right="480" w:hanging="224"/>
        <w:spacing w:after="0" w:line="271"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and must be updated annually and when certain changes are made;</w:t>
      </w:r>
    </w:p>
    <w:p>
      <w:pPr>
        <w:spacing w:after="0" w:line="59"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approval by an independent investigational review board, or IRB, or independent ethics committee, or EC, representing each clinical site before each trial may be initiated;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200" w:hanging="224"/>
        <w:spacing w:after="0" w:line="25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GCPs, to establish the safety and efficacy of the proposed drug or the safety, purity and potency of the proposed biologic for its intended use;</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or BLA after the completion of pivotal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file the application for review;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jc w:val="both"/>
        <w:ind w:left="880" w:right="60" w:hanging="224"/>
        <w:spacing w:after="0" w:line="25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or biologic is produced to assess compliance with current Good Manufacturing Practices, or cGMPs, to assure that the facilities, methods and controls are adequate to preserve the product’s identity, strength, quality and purity;</w:t>
      </w:r>
    </w:p>
    <w:p>
      <w:pPr>
        <w:spacing w:after="0" w:line="74"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potential FDA audit of the preclinical study, nonclinical study and/or clinical trial sites that generated data in support of the NDA or BLA; and</w:t>
      </w:r>
    </w:p>
    <w:p>
      <w:pPr>
        <w:spacing w:after="0" w:line="59"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FDA review and approval of the NDA or BLA to permit commercial marketing of the product for particular indications for use in the United States.</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a sponsor must submit an IND to the FDA requesting their authorization to administer an investigational product to humans. The central focus of an IND submission is on the general investigational plan and the protocol(s) for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pharmacodynamics, characteristics of the product; chemistry, manufacturing and controls information; and any available human data or literature to support the use of the investigational product. An IND must become effective before human clinical trials may begin. Some long-term preclinical testing may continue after the IND is submitted.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or may not allow the trial to commence on the terms originally specified in the IND.</w:t>
      </w:r>
    </w:p>
    <w:p>
      <w:pPr>
        <w:spacing w:after="0" w:line="180"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dosing procedures, subject selection and exclusion criteria,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retains oversight for the trial to protect study subject welfare until completed.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or other ethical grounds to stop the trial. The FDA or the sponsor may suspend a clinical trial at any time on various grounds, including a finding that the research subjects or patients are being exposed to an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unacceptable health risk or that the trial is unlikely to meet its stated objectives. Similarly, an IRB may suspend or terminate approval of a clinical trial at its institution if the clinical trial is not being conducted in accordance with the IRB’s requirements or if the drug or biologic has been associated with unexpected serious harm to patients. There are also requirements governing the reporting of ongoing clinical trials and clinical trial results to public registries.</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must ensure that the clinical trial complies with regulatory requirements if the data is to be used in support of NDA or BLA approval. The FDA may accept a well-designed and well-conducted foreign clinical trial not conducted under an IND if the trial was conducted in accordance with GCPs, and the FDA is able to validate the data through an onsite inspection, if deemed necessary.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hanging="224"/>
        <w:spacing w:after="0" w:line="242"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product candidate is initially introduced into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trials are designed to test the safety, dosage tolerance, absorption, metabolism, excretion and distribution of the investigational product in humans, the side effects associated with increasing doses, and, if possible, to gain early evidence on effectiveness. In the case of some drugs or biologics for severe or life-threatening diseases, especially when the drug or biologic may be inherently too toxic to ethically administer to healthy volunteers, the initial human testing is often conducted in patients with the target disease or condition.</w:t>
      </w:r>
    </w:p>
    <w:p>
      <w:pPr>
        <w:spacing w:after="0" w:line="84" w:lineRule="exact"/>
        <w:rPr>
          <w:rFonts w:ascii="Arial" w:cs="Arial" w:eastAsia="Arial" w:hAnsi="Arial"/>
          <w:sz w:val="18"/>
          <w:szCs w:val="18"/>
          <w:color w:val="auto"/>
        </w:rPr>
      </w:pPr>
    </w:p>
    <w:p>
      <w:pPr>
        <w:ind w:left="880" w:right="180" w:hanging="224"/>
        <w:spacing w:after="0" w:line="24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9" w:lineRule="exact"/>
        <w:rPr>
          <w:rFonts w:ascii="Arial" w:cs="Arial" w:eastAsia="Arial" w:hAnsi="Arial"/>
          <w:sz w:val="18"/>
          <w:szCs w:val="18"/>
          <w:color w:val="auto"/>
        </w:rPr>
      </w:pPr>
    </w:p>
    <w:p>
      <w:pPr>
        <w:ind w:left="880" w:right="140" w:hanging="224"/>
        <w:spacing w:after="0" w:line="244"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labeling. Generally, two adequate and well-controlled Phase 3 clinical trials are required by the FDA for approval of an NDA or BLA.</w:t>
      </w:r>
    </w:p>
    <w:p>
      <w:pPr>
        <w:spacing w:after="0" w:line="176" w:lineRule="exact"/>
        <w:rPr>
          <w:sz w:val="20"/>
          <w:szCs w:val="20"/>
          <w:color w:val="auto"/>
        </w:rPr>
      </w:pPr>
    </w:p>
    <w:p>
      <w:pPr>
        <w:jc w:val="both"/>
        <w:ind w:left="120" w:right="340" w:firstLine="551"/>
        <w:spacing w:after="0" w:line="253" w:lineRule="auto"/>
        <w:rPr>
          <w:sz w:val="20"/>
          <w:szCs w:val="20"/>
          <w:color w:val="auto"/>
        </w:rPr>
      </w:pPr>
      <w:r>
        <w:rPr>
          <w:rFonts w:ascii="Arial" w:cs="Arial" w:eastAsia="Arial" w:hAnsi="Arial"/>
          <w:sz w:val="18"/>
          <w:szCs w:val="18"/>
          <w:color w:val="auto"/>
        </w:rPr>
        <w:t>It is possible that Phase 1, Phase 2 and Phase 3 testing may not be completed successfully within any specified period, if at all. The FDA or the sponsor may, at any time during the initial 30-day IND review period or while clinical trials are ongoing under the IND, impose a partial or complete clinical hold or suspend a clinical trial, for example, because there is an unacceptable health risk.</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for the approved use or uses. These so-called Phase 4 trials may be conducted after initial marketing approval and may be used to gain additional experience from the treatment of patients in the intended therapeutic indication, for example, to generate additional safety data regarding use of the product in a clinical setting. In certain instances, the FDA may mandate the performance of Phase 4 clinical trials as a condition of approval of an NDA or BLA.</w:t>
      </w:r>
    </w:p>
    <w:p>
      <w:pPr>
        <w:spacing w:after="0" w:line="176"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and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76"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preclinical or nonclinical studies performed since the last progress report must be submitted at least annually to the FDA, and written IND safety reports must be submitted to the FDA and investigators for serious and unexpected suspected adverse events, or AEs, findings from other trials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addition, during the development of a new drug or biologic, sponsors are given opportunities to meet with the FDA at certain points. These points may be prior to submission of an IND, at the end of a Phase 2 trial,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or biologic.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10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or biologic, proposed labeling, and other relevant information are submitted to the FDA as part of an NDA or BLA requesting approval to market the product. Data can come from company-sponsored clinical trials intended to test the safety and effectiveness of a use of the product, or from a number of alternative sources, including trials initiated by independent investigators. To support marketing approval, the data submitted must be sufficient to establish the safety and efficacy of the investigational drug product or the safety, purity and potency of the investigational biological product, for its intended use or uses to the satisfaction of the FDA. The submission of an NDA or BLA is subject to the payment of user fees; a waiver of such fees may be obtained under certain limited circumstances.</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 conducts a preliminary review of all NDAs and BLAs generally within the first 60 days after submission, before accepting them for filing, to determine whether they are sufficiently complete to permit substantive review. The FDA may request additional information rather than accept an application for filing. In this event, the NDA or BLA must be resubmitted with the additional information. The resubmitted application also is subject to preliminary review before the FDA accepts it for filing. Once accepted for filing, the FDA reviews an NDA or BLA to determine, among other things, whether a product is safe and effective for its intended use or uses and whether its manufacturing is cGMP-compliant to assure and preserve the product’s identity, strength, quality and purity. Under the Prescription Drug User Fee Act, or PDUFA, guidelines that are currently in effect, the FDA has a goal of ten months from the filing date to complete its initial review and act on a standard NDA for a drug that is a new molecular entity or a BLA. The FDA also has a goal of ten months from the date of NDA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receipt to review and act on a standard NDA for a drug that is not a new molecular entity. The FDA does not always meet its goal dates, and the review process is often extended by FDA requests for additional information or clarification.</w:t>
      </w:r>
    </w:p>
    <w:p>
      <w:pPr>
        <w:spacing w:after="0" w:line="154" w:lineRule="exact"/>
        <w:rPr>
          <w:sz w:val="20"/>
          <w:szCs w:val="20"/>
          <w:color w:val="auto"/>
        </w:rPr>
      </w:pPr>
    </w:p>
    <w:p>
      <w:pPr>
        <w:ind w:left="120" w:right="340" w:firstLine="551"/>
        <w:spacing w:after="0" w:line="247" w:lineRule="auto"/>
        <w:rPr>
          <w:sz w:val="20"/>
          <w:szCs w:val="20"/>
          <w:color w:val="auto"/>
        </w:rPr>
      </w:pPr>
      <w:r>
        <w:rPr>
          <w:rFonts w:ascii="Arial" w:cs="Arial" w:eastAsia="Arial" w:hAnsi="Arial"/>
          <w:sz w:val="18"/>
          <w:szCs w:val="18"/>
          <w:color w:val="auto"/>
        </w:rPr>
        <w:t>The FDA may refer an application for a novel drug or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designated specifications. Additionally, before approving an NDA or BLA, the FDA will typically inspect one or more clinical sites to assure compliance with GCPs and assure the integrity of the clinical data submitted to the FDA.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After the FDA evaluates an NDA or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and other conditions of use. A CRL indicates that the review cycle of the application is complete and the application is not ready for approval. A CRL will describe all of the deficiencies that the FDA has identified in the NDA or BLA,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other conditions of use, and may entail limitations on the indicated uses for which such product may be marketed. For example, the FDA may approve the NDA or BLA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trials and surveillance to further assess and monitor the product’s safety and effectiveness after commercialization and may limit further marketing of the product based on the results of these post-marketing trials or surveillance programs.</w:t>
      </w:r>
    </w:p>
    <w:p>
      <w:pPr>
        <w:spacing w:after="0" w:line="180" w:lineRule="exact"/>
        <w:rPr>
          <w:sz w:val="20"/>
          <w:szCs w:val="20"/>
          <w:color w:val="auto"/>
        </w:rPr>
      </w:pPr>
    </w:p>
    <w:p>
      <w:pPr>
        <w:ind w:left="120" w:right="280" w:firstLine="551"/>
        <w:spacing w:after="0" w:line="275" w:lineRule="auto"/>
        <w:rPr>
          <w:sz w:val="20"/>
          <w:szCs w:val="20"/>
          <w:color w:val="auto"/>
        </w:rPr>
      </w:pPr>
      <w:r>
        <w:rPr>
          <w:rFonts w:ascii="Arial" w:cs="Arial" w:eastAsia="Arial" w:hAnsi="Arial"/>
          <w:sz w:val="17"/>
          <w:szCs w:val="17"/>
          <w:color w:val="auto"/>
        </w:rPr>
        <w:t>In addition, the Pediatric Research Equity Act, or PREA, requires a sponsor to conduct pediatric clinical trials for most drugs and biologics, including for a new active ingredient, new indication, new dosage form, new dosing regimen or new route of administration. Under PREA, original NDAs, BLAs, and certain supplements must contain a pediatric assessment unless the sponsor has received a</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Expedited Development and Review Programs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 or BLA is submitted, the product candidate may be eligible for priority review. A Fast Track-designated product candidate may also be eligible for rolling review, where the FDA may consider for review sections of the NDA or BLA on a rolling basis before the complete application is submitted. Rolling review may occur if the sponsor provides a schedule for the submission of the sections of the NDA or BLA, the FDA agrees to accept sections of the NDA or BLA for review and determines that the schedule is acceptable, and the sponsor pays any required user fees upon submission of the first section of the NDA or BLA.</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as a combination therapy with one or more other drugs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from FDA to expedite the development and review of the product candidate, including involvement of senior managers.</w:t>
      </w:r>
    </w:p>
    <w:p>
      <w:pPr>
        <w:spacing w:after="0" w:line="18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 product candidate is eligible for priority review if it is designed to treat a serious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 or with respect to non-new-molecular-entity NDAs, within six months of the NDA receipt date.</w:t>
      </w:r>
    </w:p>
    <w:p>
      <w:pPr>
        <w:spacing w:after="0" w:line="185"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Additionally, product candidates studied for their safety and effectiveness in treating serious or life-threatening diseases or conditions may utilize an accelerated approval pathway upon a determination that the product has an effect on (1) a surrogate endpoint that is reasonably likely to predict clinical benefit or (2) a clinical endpoint that can be measured earlier than irreversible morbidity or mortality, that is reasonably likely to predict an effect on irreversible morbidity or mortality or other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5"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benefit, taking into account the severity, rarity or prevalence of the condition and the availability or lack of alternative treatments. As a condition of accelerated approval, the FDA will generally require the sponsor to perform an adequate and well-controlled post-marketing clinical trial or trials to verify and describe the anticipated effect on irreversible morbidity or mortality or other clinical benefit. Any such confirmatory trial must be completed with due diligence and the FDA may require that the trial be underway prior to approval. Failure to conduct such required post-approval trials with due diligence, or to confirm a clinical benefit during such trials, would allow the FDA to withdraw the product from the market on an expedited basis. In addition, the FDA requires, as a condition of accelerated approval, the pre-submission of promotional materials, which can adversely impact the timing of the commercial launch of a product.</w:t>
      </w:r>
    </w:p>
    <w:p>
      <w:pPr>
        <w:spacing w:after="0" w:line="185"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Fast Track designation, Breakthrough Therapy designation, priority review designation, and the accelerated approval pathway do not change the scientific or medical standards for approval or the quality of evidence necessary to support approval. These pathways do not always lead to a faster development or regulatory review or approval process, and do not provide assurance of ultimate full FDA approval.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Market exclusivity provisions under the FDCA and the Public Health Service Act can delay the submission or the approval of certain marketing applications. The FDA provides periods of non-patent regulatory exclusivity, which provides the holder of an approved NDA limited protection from new competition in the marketplace. For drugs,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physiological or pharmacological activity of the drug substance. During the exclusivity period, the FDA may not accept for review or approve an abbreviated new drug application, or ANDA, or a 505(b)(2) NDA submitted by another company that contains the same active moiety. An ANDA or 505(b)(2) application, however, may be submitted one year before NCE exclusivity expires if a Paragraph IV certification of patent invalidity, unenforceability, or non-infringement is filed.</w:t>
      </w:r>
    </w:p>
    <w:p>
      <w:pPr>
        <w:spacing w:after="0" w:line="18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ingredient for the original indication or condition of use. Five-year and three-year exclusivity will not delay the submission or approval of a 505(b)(1) NDA; however, an applicant submitting a 505(b)(1) NDA would be required to conduct or obtain a right of reference to all of the preclinical studies and adequate and well-controlled clinical trials necessary to demonstrate safety and efficacy.</w:t>
      </w:r>
    </w:p>
    <w:p>
      <w:pPr>
        <w:spacing w:after="0" w:line="180"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color w:val="auto"/>
        </w:rPr>
        <w:t>Biologics are also entitled to exclusivity under amendments to the Public Health Service Act from the Biologics Price Competition and Innovation Act, or the BPCIA. Under the BPCIA, a reference biological product is granted 12 years of data exclusivity, the period of time during which an innovator’s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clinical data cannot be used by other companies, from the time of “first licensure” of the product, and an application for a biosimilar product may not be submitted to the FDA until four years following the date that the reference product was first licensed by the FDA. Biosimilarity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which is generally shown through a combination of analytical studies, animal studies and a clinical trial or trials. Certain biological products can also be shown to be interchangeable with the original biological product, which requires that a biological product be biosimilar to the reference product and that the product can be expected to produce the same clinical results as the reference product in any given patient, and for products administered multiple times, that the product and the reference product may be switched after one has been previously administered without increasing safety risks or risks of diminished efficacy relative to exclusive use of the reference biological product. In addition, the approval of a biosimilar product may not be made effective by the FDA until 12 years from the date on which the reference product was first licensed. The BPCIA also created certain exclusivity periods for biosimilars approved as interchangeable products.</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FDA may also grant pediatric exclusivity to drugs, which provides an additional six months of exclusivity running from the expiration date of each other existing regulatory exclusivity period and from the date of each patent listed with FDA. The FDA may also grant pediatric exclusivity to biologics, but that exclusivity will only attach to the reference product and orphan drug exclusivity period, not patents for biological products. To be eligible for pediatric exclusivity, the FDA must issue a Written Request detailing the trials to be performed and the timeframe for their completion. If an applicant agrees to perform the trials as outlined in the Written Request, the applicant must submit trial reports at least nine months prior to the expiry of the exclusivity or patent, as applicable, that is to be extended. The trial reports must demonstrate that the applicant has met the conditions of the Written Request.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02"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which include restrictions on promoting products for unapproved uses or patient populations (known as “off-label use”) and limitations on industry-sponsored scientific and educational activities. After approval, changes to the approved product, manufacturing locations or processes, or labeling are subject to FDA review and approval. Significant changes require prior FDA review and approval. Further, for certain modifications to the drug, including changes in indications, labeling or manufacturing processes or facilities, the applicant may be required to submit and obtain prior FDA approval of a new NDA, BLA or supplement, which may require the development and submission of additional data. There also are continuing, annual user fees due to FDA for any marketed products.</w:t>
      </w:r>
    </w:p>
    <w:p>
      <w:pPr>
        <w:spacing w:after="0" w:line="18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Drug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in the event of a deviation affecting a marketed product. Manufacturers and other parties involved in the drug supply chain for prescription drug products must also comply with product tracking and other tracking requirements and must notify the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cGMPs and other aspects of regulatory compliance.</w:t>
      </w:r>
    </w:p>
    <w:p>
      <w:pPr>
        <w:spacing w:after="0" w:line="16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FDA may withdraw approval of an NDA or BLA for various reasons, including based on new concerns related to safety or effectiveness or if compliance with regulatory requirements and standards is not maintained. Later discovery of previously unknown problems with a product, including AEs of unanticipated severity or frequency, or with manufacturing processes, or failure to comply with regulatory requirements, may also result in revisions to the approved labeling to add new safety information; imposition of post-market trials or clinical trials to assess new safety risks; or imposition of distribution restrictions or other restrictions under a REMS program. Other potential consequences for the failure to meet applicable requirements include, among other things:</w:t>
      </w:r>
    </w:p>
    <w:p>
      <w:pPr>
        <w:spacing w:after="0" w:line="84" w:lineRule="exact"/>
        <w:rPr>
          <w:sz w:val="20"/>
          <w:szCs w:val="20"/>
          <w:color w:val="auto"/>
        </w:rPr>
      </w:pPr>
    </w:p>
    <w:p>
      <w:pPr>
        <w:ind w:left="880" w:right="380" w:hanging="224"/>
        <w:spacing w:after="0" w:line="271"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clinical holds on clinical trials;</w:t>
      </w:r>
    </w:p>
    <w:p>
      <w:pPr>
        <w:spacing w:after="0" w:line="117"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 closely regulates the marketing, labeling, advertising, and promotion of drugs and biologics. A company may make only those claims relating to safety, efficacy, purity and potency that are approved by the FDA and in accordance with the provisions of the approved labeling. The FDA and other agencies actively enforce the laws and regulations prohibiting the promotion of off-label uses and misleading promotion. Failure to comply with these requirements may result in, among other things, adverse publicity, warning or other enforcement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02" w:lineRule="exact"/>
        <w:rPr>
          <w:sz w:val="20"/>
          <w:szCs w:val="20"/>
          <w:color w:val="auto"/>
        </w:rPr>
      </w:pPr>
    </w:p>
    <w:p>
      <w:pPr>
        <w:ind w:left="120" w:right="760" w:firstLine="551"/>
        <w:spacing w:after="0" w:line="271" w:lineRule="auto"/>
        <w:rPr>
          <w:sz w:val="20"/>
          <w:szCs w:val="20"/>
          <w:color w:val="auto"/>
        </w:rPr>
      </w:pPr>
      <w:r>
        <w:rPr>
          <w:rFonts w:ascii="Arial" w:cs="Arial" w:eastAsia="Arial" w:hAnsi="Arial"/>
          <w:sz w:val="18"/>
          <w:szCs w:val="18"/>
          <w:color w:val="auto"/>
        </w:rPr>
        <w:t>Manufacturing, sales, promotion and other activities following product approval are also subject to regulation by numerous regulatory authorities in addition to the FDA, including, in the United States,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Centers for Medicare &amp; Medicaid Services, or CMS, other divisions of the Department of Health and Human Services, or HHS, (e.g., the Office of Inspector General and Office for Civil Rights),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federal and state fraud and abuse laws, data privacy and security laws, transparency laws and pricing and reimbursement requirements in connection with governmental payor programs, among others. The handling of any controlled substances must comply with the U.S. Controlled Substances Act and Controlled Substances Import and Export Act, as well as applicable state laws.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83" w:lineRule="exact"/>
        <w:rPr>
          <w:sz w:val="20"/>
          <w:szCs w:val="20"/>
          <w:color w:val="auto"/>
        </w:rPr>
      </w:pPr>
    </w:p>
    <w:p>
      <w:pPr>
        <w:ind w:left="120" w:right="640" w:firstLine="551"/>
        <w:spacing w:after="0" w:line="301" w:lineRule="auto"/>
        <w:rPr>
          <w:sz w:val="20"/>
          <w:szCs w:val="20"/>
          <w:color w:val="auto"/>
        </w:rPr>
      </w:pPr>
      <w:r>
        <w:rPr>
          <w:rFonts w:ascii="Arial" w:cs="Arial" w:eastAsia="Arial" w:hAnsi="Arial"/>
          <w:sz w:val="17"/>
          <w:szCs w:val="17"/>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31"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failure to comply with regulatory requirements subjects companies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company to enter into supply contracts, including government contracts. In addition, even if a company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85"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Patent Term Restoration and Marketing Exclusivity</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Depending upon the timing, duration and specifics of the FDA approval of our product candidates, some of our future U.S. patents may be eligible for limited patent term extension under the Hatch-Waxman Act.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product is eligible for the extension and, among other requirements, the application for the extension must be submitted prior to the expiration of the patent. The USPTO, in consultation with the FDA, reviews and approves the application for any patent term extension or restoration. In the future, we may apply for restoration of patent term for our then owned or licensed patents to add patent life beyond its current expiration date, depending on the expected length of the clinical trials and other factors involved in the filing of the relevant NDA or BLA.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An abbreviated approval pathway for biological products shown to be biosimilar to, or interchangeable with, an FDA-licensed reference biological product was created by the BPCIA, which was part of the Patient Protection and Affordable Care Act, as amended by the Health Care and Education Reconciliation Act of 2010, or collectively the ACA.</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noted above, a reference biological product may be eligible for 12-year exclusivity from the time of “first licensure.”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Whether a subsequent application, if approved, warrants exclusivity as the “first licensure” of a biological product is determined on a case-by-case basis with data submitted by the sponsor.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0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and can be a time-consuming process, with no assurance that coverage and adequate reimbursement will be applied consistently or obtained in the first instance or at all. These third-party payors are increasingly reducing reimbursements for medical products and services.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p>
    <w:p>
      <w:pPr>
        <w:spacing w:after="0" w:line="18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In order to secure coverage and reimbursement for any product candidate that might be approved for sale, we may need to conduct expensive pharmacoeconomic studies to demonstrate the medical necessity and cost-effectiveness of the product candidate, in addition to the costs required to obtain FDA or other comparable regulatory approvals. Whether or not we conduct such studies, our product candidates may not be considered medically necessary or cost-effective. A third-party payor’s decision to provide coverage for a product does not imply that an adequate reimbursement rate will be approved. Third-party reimbursement may not be sufficient to enable us to maintain price levels high enough to realize an appropriate return on our investment in product development. In the United States, the principal decisions about reimbursement for new products are typically made by CMS, an agency within HHS. CMS decides whether and to what extent a new product will be covered and reimbursed under Medicare, and private payors tend to follow CMS to a substantial degree. However, no uniform policy of coverage and reimbursement for products exists among third-party payors and coverage and reimbursement levels for products can differ significantly from payor to payor. Moreover, as a condition of participating in, and having products covered under, certain federal healthcare programs, such as Medicare and Medicaid, we will be subject to federal laws and regulations that require pharmaceutical manufacturers to calculate and report certain price reporting metrics to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6" w:lineRule="auto"/>
        <w:rPr>
          <w:sz w:val="20"/>
          <w:szCs w:val="20"/>
          <w:color w:val="auto"/>
        </w:rPr>
      </w:pPr>
      <w:r>
        <w:rPr>
          <w:rFonts w:ascii="Arial" w:cs="Arial" w:eastAsia="Arial" w:hAnsi="Arial"/>
          <w:sz w:val="17"/>
          <w:szCs w:val="17"/>
          <w:color w:val="auto"/>
        </w:rPr>
        <w:t>government, such as Medicaid Average Manufacturer Price, or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 if any of our product candidates are approved.</w:t>
      </w:r>
    </w:p>
    <w:p>
      <w:pPr>
        <w:spacing w:after="0" w:line="15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Inflation Reduction Act of 2022, or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Specifically, with respect to price negotiations, CMS has negotiated prices for the first ten high-cost drugs paid for by Medicare Part D starting in 2026, which will be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Nonetheless, since CMS has established and will continue to establish maximum prices for these products in price negotiations, we would be fully at risk of government action if our products become the subject of Medicare price negotiations. Moreover, given the risk that could be the case, these provisions of the IRA may further heighten the risk that we would not be able to achieve the expected return on our drug products or full value of our patents protecting our products if prices are set after such products have been on the market for nine years. Various industry stakeholders, including certain pharmaceutical companies and industry groups have initiated lawsuits against the federal government asserting that the price negotiation provisions of the IRA are unconstitutional. The effects of the IRA on our business and the healthcare industry in general is not yet known.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80"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containment of healthcare costs has become a priority of federal and state governments, and the prices of drugs and biologics, have been a focus in this effort. The U.S. government, state legislatures and foreign governments have shown significant interest in implementing cost-containment programs, including by passing legislation and regulations designed to control pharmaceutical and biological product pricing, including government price controls, price or patient reimbursement constraints, discounts, restrictions on certain drug access, marketing cost disclosure, transparency measures, requirements for substitution of generic products and other measures designed to encourage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In many countries, the prices of products are subject to varying price control mechanisms as part of national health systems. For example, in the European Union, or the EU, pricing and reimbursement schemes vary widely from country to country. Some countries provide that products may be marketed only after a reimbursement price has been approved.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countries attempt to manage healthcare expenditures. Historically, products launched in the EU do not follow price structures of the United States and generally prices tend to be significantly lower. In general, the prices of products under such systems are substantially lower than in the United States. Accordingly, in markets outside the United States, the reimbursement for products may be reduced compared with the United States. Adoption of price controls and cost-containment measures, and adoption of more restrictive policies in jurisdictions with existing controls and measures, could further limit our future net revenue and results if our product candidates are approved in these jurisdictions. Decreases in third-party reimbursement for any of our product candidates or a decision by a third-party payor to not cover our product candidates could reduce physician usage of the product candidates, if approved, and have a material adverse effect on our sales,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0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In the United States, drug manufacturers and sponsors are subject to a number of federal and state healthcare regulatory laws that restrict business practices in the healthcare industry. These laws include, but are not limited to, federal and state anti-kickback, false claims and other healthcare fraud and abuse laws, as described below.</w:t>
      </w:r>
    </w:p>
    <w:p>
      <w:pPr>
        <w:spacing w:after="0" w:line="169"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w:t>
      </w:r>
    </w:p>
    <w:p>
      <w:pPr>
        <w:spacing w:after="0" w:line="17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federal false claims laws, including the federal False Claims Act, or the FCA,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FCA may be brought by the U.S. Attorney General or as a qui tam action by a private individual in the name of the government. Moreover, a claim including items or services resulting from a violation of the U.S. federal Anti-Kickback Statute constitutes a false or fraudulent claim for purposes of the civil FCA.</w:t>
      </w:r>
    </w:p>
    <w:p>
      <w:pPr>
        <w:spacing w:after="0" w:line="180"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79"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respective implementing regulations, imposes obligations on “covered entities,”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16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179" w:lineRule="exact"/>
        <w:rPr>
          <w:sz w:val="20"/>
          <w:szCs w:val="20"/>
          <w:color w:val="auto"/>
        </w:rPr>
      </w:pPr>
    </w:p>
    <w:p>
      <w:pPr>
        <w:ind w:left="120" w:right="120" w:firstLine="551"/>
        <w:spacing w:after="0" w:line="301" w:lineRule="auto"/>
        <w:rPr>
          <w:sz w:val="20"/>
          <w:szCs w:val="20"/>
          <w:color w:val="auto"/>
        </w:rPr>
      </w:pPr>
      <w:r>
        <w:rPr>
          <w:rFonts w:ascii="Arial" w:cs="Arial" w:eastAsia="Arial" w:hAnsi="Arial"/>
          <w:sz w:val="17"/>
          <w:szCs w:val="17"/>
          <w:color w:val="auto"/>
        </w:rPr>
        <w:t>There are federal price reporting laws, which require manufacturers to calculate and report complex pricing metrics to government programs, and such reported prices may be used in the calculation of reimbursement and/or discounts on approved products.</w:t>
      </w:r>
    </w:p>
    <w:p>
      <w:pPr>
        <w:spacing w:after="0" w:line="131"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There are also federal consumer protection and unfair competition laws, which broadly regulate marketplace activities and activities that potentially harm consumers.</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3"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For example, implementation of the ACA substantially changed the way healthcare is financed by both governmental and private insurers in the United States and significantly affected the pharmaceutical industry. The ACA,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80"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w:t>
      </w:r>
    </w:p>
    <w:p>
      <w:pPr>
        <w:spacing w:after="0" w:line="17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the Budget Control Act of 2011 and subsequent legislation, among other things, created measures for spending reductions by Congress that include aggregate reductions of Medicare payments to providers of 2% per fiscal year, which remain in effect through the first half of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assistance programs and reform government program reimbursement methodologies for drugs. President Biden has issued multiple executive orders that have sought to reduce prescription drug costs. In February 2023, HHS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current or future presidential administrations may reverse or otherwise change these measures, both the executive branch and Congress have at times indicated that they will continue to seek new legislative measures to control drug costs.</w:t>
      </w:r>
    </w:p>
    <w:p>
      <w:pPr>
        <w:spacing w:after="0" w:line="186"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Foreign Corrupt Practices Act of 1977, or the FCPA, prohibits any U.S. individual or business, as well as its employees, agents, and other representatives, from paying, offering, authorizing payment or offering of anything of value, directly or indirectly, to any foreign official, political party or candidate for the purpose of influencing any act or decision of the foreign entity in order to obtain, retain, or direct business. The FCPA also obligates companies whose securities are publicly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 and Rest of World Government Regulation</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regulatory strategy involves filing CTAs for our early-stage clinical trials in jurisdictions outside of the United States to support enrollment in our clinical trials, which may include Australia and other countries. As a result, in addition to regulations in the United States, we expect to be subject to a variety of regulations in other jurisdictions that we may in the future select to test or commercialize our product candidates,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80"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To obtain regulatory approval of an investigational drug or biological product under EU regulatory systems, we must submit a MAA, either under a centralized procedure administered by the EMA or one of the procedures administered by competent authorities in the EU Member States. The application used to file the NDA in the United States is similar to that required in the EU, with the exception of, among other things, country-specific document requirements.</w:t>
      </w:r>
    </w:p>
    <w:p>
      <w:pPr>
        <w:spacing w:after="0" w:line="17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For other countries outside of the EU, such as Australia,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spacing w:after="0" w:line="174" w:lineRule="exact"/>
        <w:rPr>
          <w:sz w:val="20"/>
          <w:szCs w:val="20"/>
          <w:color w:val="auto"/>
        </w:rPr>
      </w:pPr>
    </w:p>
    <w:p>
      <w:pPr>
        <w:ind w:left="120" w:right="420" w:firstLine="551"/>
        <w:spacing w:after="0" w:line="253" w:lineRule="auto"/>
        <w:rPr>
          <w:sz w:val="20"/>
          <w:szCs w:val="20"/>
          <w:color w:val="auto"/>
        </w:rPr>
      </w:pPr>
      <w:r>
        <w:rPr>
          <w:rFonts w:ascii="Arial" w:cs="Arial" w:eastAsia="Arial" w:hAnsi="Arial"/>
          <w:sz w:val="18"/>
          <w:szCs w:val="18"/>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Information Security Laws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the ordinary course of business, we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Accordingly, we may be subject to numerous data privacy and security obligations, including federal, state, and local laws, regulations, guidance, industry standards, external and internal privacy and security policies, contractual requirements and other obligations related to data privacy and security.</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These data privacy and security laws are evolving and may impose potentially conflicting obligations. Such obligations may include, without limitation, the Federal Trade Commission Act, the European Union’s General Data Protection Regulation 2016/679 , or EU GDPR, the EU GDPR as it forms part of United Kingdom, or UK, law by virtue of section 3 of the European Union (Withdrawal) Act 2018, or UK GDPR, and HIPAA, as amended by HITECH. In addition, in the past few years, numerous U.S. states—including California, Virginia, Colorado, Connecticut and Utah—have enacted comprehensive privacy laws that impose certain obligations on covered businesses, and similar laws are being considered in several other states, as well as at the federal and state levels. These new laws are examples of the increasingly stringent and evolving regulatory frameworks related to personal data processing that may increase our compliance obligations and exposure for any noncompliance.</w:t>
      </w:r>
    </w:p>
    <w:p>
      <w:pPr>
        <w:spacing w:after="0" w:line="180"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Additionally, because we collect personal data from individuals outside of the United States, through clinical trials or otherwise, we are, or may become, subject to foreign data privacy and security laws, such as the EU GDPR. Foreign data privacy and security laws impose significant and complex compliance obligations on entities that are subject to those laws. For example,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EU in certain circumstances.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4"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As of September 30, 2024, we had 155 full-time employees. Of those, 134 were engaged in research and development activities. Approximately 58% of our employees hold Ph.D. or M.D. degrees. Approximately 82% of our employees are located in the United States. We do not have any employees that are represented by a labor union or covered by a collective bargaining agreement. We consider our relationship with our employees to be good.</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Our future success depends on our ability to attract, develop and retain key personnel, maintain our culture and ensure diversity and inclusion among our board of directors, management and broader workforce. Our human resources objectives include, as applicable, identifying, attracting, retaining, incentivizing and integrating existing and prospective employees. Our employees have access to a broad range of benefits, including health insurance, a 401(k) plan, equity incentive plans and other customary employee benefits. The purpose of these benefits is to attract and retain the best available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personnel, incentivize our employees, promote the success of our business and strengthen the mutuality of interest between employees and our stockholders. As these areas directly impact our ability to compete and innovate, they are key focus areas for our board of directors and management.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Scientific Advisory Board</w:t>
      </w:r>
    </w:p>
    <w:p>
      <w:pPr>
        <w:spacing w:after="0" w:line="10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While our team of employees and consultants has a profound knowledge of immune biology, we also seek advice from our scientific advisory board, which is comprised of preeminent immunology researchers. Members of our scientific advisory board include multiple Howard Hughes Medical Institute investigators and leading experts globally who have conducted foundational research to identify and characterize a number of our therapeutic targets, including RIPK2, IRAK4, TNFR2, NLRP1 and MDA5. Our scientific advisory board meets periodically with our board of directors and management to discuss matters relating to our business activities.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currently lease approximately 45,632 square feet of space as our corporate headquarters in Boston, Massachusetts. The lease expires in September 2029. We also currently lease approximately 19,845 square feet of space in Ann Arbor, Michigan, which expires in December 2026, and approximately 18,430 square feet of space in San Diego, California, which expires in July 2029, and use both facilities for research and development and office space. We have the option to extend each of the three leases described above once for an additional five-year term on largely the same terms but at the then current market rate. We also rent additional space in New York, New York, Ann Arbor, Michigan and Frankfurt, Germany, which we use for a variety of administrative and research and development activities. We believe that our existing facilities are adequate to meet our current needs, and that suitable additional alternative spaces will be available in the future on commercially reasonable terms.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0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120" w:right="380" w:firstLine="551"/>
        <w:spacing w:after="0" w:line="244" w:lineRule="auto"/>
        <w:rPr>
          <w:sz w:val="20"/>
          <w:szCs w:val="20"/>
          <w:color w:val="auto"/>
        </w:rPr>
      </w:pPr>
      <w:r>
        <w:rPr>
          <w:rFonts w:ascii="Arial" w:cs="Arial" w:eastAsia="Arial" w:hAnsi="Arial"/>
          <w:sz w:val="18"/>
          <w:szCs w:val="18"/>
          <w:color w:val="auto"/>
        </w:rPr>
        <w:t>We were incorporated in Delaware in April 2021. Our principal executive offices are located at 51 Sleeper Street, Boston, MA 02210, and our telephone number is (617) 865-9628. Our website address is https://odysseytx.com/.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certain biographical and other information regarding our executive officers and directors as of               , 2024.</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580" w:type="dxa"/>
            <w:vAlign w:val="bottom"/>
          </w:tcPr>
          <w:p>
            <w:pPr>
              <w:spacing w:after="0"/>
              <w:rPr>
                <w:sz w:val="16"/>
                <w:szCs w:val="16"/>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xml:space="preserve">    Age   </w:t>
            </w:r>
          </w:p>
        </w:tc>
        <w:tc>
          <w:tcPr>
            <w:tcW w:w="120" w:type="dxa"/>
            <w:vAlign w:val="bottom"/>
          </w:tcPr>
          <w:p>
            <w:pPr>
              <w:spacing w:after="0"/>
              <w:rPr>
                <w:sz w:val="16"/>
                <w:szCs w:val="16"/>
                <w:color w:val="auto"/>
              </w:rPr>
            </w:pPr>
          </w:p>
        </w:tc>
        <w:tc>
          <w:tcPr>
            <w:tcW w:w="616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203"/>
        </w:trPr>
        <w:tc>
          <w:tcPr>
            <w:tcW w:w="3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Executive Officers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Gary D. Glick, Ph.D.</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Julie Clauss</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Operating Officer</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William Roush, Ph.D.</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w:t>
            </w: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Executive Vice President, Head of Small Molecule Research</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Kira M. Schwartz</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Vice President, General Counsel and Secretary</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Stephen Soisson, Ph.D.</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w:t>
            </w: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Executive Vice President, Protein Therapeutics and Structural Biology</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Collin Todd</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Strategy and Business Development</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M. Leiden, M.D., Ph.D.</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w:t>
            </w: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Chair and Director</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Charles Baum, M.D., Ph.D.</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Jill Carroll</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Carl L. Gordon, Ph.D., CFA</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w:t>
            </w: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Lorence Kim, M.D.</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Ian F. Smith</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w:t>
            </w: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Valerie Odegard, Ph.D.</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39"/>
        </w:trPr>
        <w:tc>
          <w:tcPr>
            <w:tcW w:w="3980" w:type="dxa"/>
            <w:vAlign w:val="bottom"/>
            <w:gridSpan w:val="2"/>
          </w:tcPr>
          <w:p>
            <w:pPr>
              <w:spacing w:after="0"/>
              <w:rPr>
                <w:sz w:val="20"/>
                <w:szCs w:val="20"/>
                <w:color w:val="auto"/>
              </w:rPr>
            </w:pPr>
            <w:r>
              <w:rPr>
                <w:rFonts w:ascii="Arial" w:cs="Arial" w:eastAsia="Arial" w:hAnsi="Arial"/>
                <w:sz w:val="18"/>
                <w:szCs w:val="18"/>
                <w:color w:val="auto"/>
              </w:rPr>
              <w:t>Timothy P. Walbert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brief biographies describing the backgrounds of our executive officers and directors.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Gary D. Glick, Ph.D. </w:t>
      </w:r>
      <w:r>
        <w:rPr>
          <w:rFonts w:ascii="Arial" w:cs="Arial" w:eastAsia="Arial" w:hAnsi="Arial"/>
          <w:sz w:val="18"/>
          <w:szCs w:val="18"/>
          <w:color w:val="auto"/>
        </w:rPr>
        <w:t>is our founder and has served as our President, Chief Executive Officer and a director since April 2021. Dr.</w:t>
      </w:r>
      <w:r>
        <w:rPr>
          <w:rFonts w:ascii="Arial" w:cs="Arial" w:eastAsia="Arial" w:hAnsi="Arial"/>
          <w:sz w:val="18"/>
          <w:szCs w:val="18"/>
          <w:b w:val="1"/>
          <w:bCs w:val="1"/>
          <w:color w:val="auto"/>
        </w:rPr>
        <w:t xml:space="preserve"> </w:t>
      </w:r>
      <w:r>
        <w:rPr>
          <w:rFonts w:ascii="Arial" w:cs="Arial" w:eastAsia="Arial" w:hAnsi="Arial"/>
          <w:sz w:val="18"/>
          <w:szCs w:val="18"/>
          <w:color w:val="auto"/>
        </w:rPr>
        <w:t>Glick is a chemist and serial biotechnology entrepreneur with over 15 years of experience in the biotechnology industry. He has founded several successful companies, including IFM Therapeutics, LLC, or IFM, a private biotechnology company. Dr. Glick has served as Executive Chairman of IFM since December 2019 and previously served as Chief Executive Officer from 2015 to November 2019. During Dr. Glick’s tenure as Chief Executive Officer, IFM progressed three programs from ideation to clinical development and executed several major transactions generating proceeds to date of $750 million. Subject to the achievement of various milestones, proceeds from such sales could reach more than $4.7 billion. Prior to founding Odyssey in 2021, Dr. Glick co-founded and launched Scorpion Therapeutics, or Scorpion, in February 2020, where he played an instrumental role in the conception and building of the company. During his tenure as Chief Executive Officer from February 2020 to February 2021, Scorpion grew to nearly 50 employees and raised $270 million across two financings. Dr. Glick also founded Lycera Corporation earlier in his career, serving as Chief Scientific Officer. Dr. Glick received his Ph.D. in organic chemistry from Columbia University and completed an NIH postdoctoral fellowship in organic chemistry at Harvard University.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b w:val="1"/>
          <w:bCs w:val="1"/>
          <w:color w:val="auto"/>
        </w:rPr>
        <w:t xml:space="preserve">Julie Clauss </w:t>
      </w:r>
      <w:r>
        <w:rPr>
          <w:rFonts w:ascii="Arial" w:cs="Arial" w:eastAsia="Arial" w:hAnsi="Arial"/>
          <w:sz w:val="18"/>
          <w:szCs w:val="18"/>
          <w:color w:val="auto"/>
        </w:rPr>
        <w:t>has served as our Chief Operating Officer since January 2024. Ms. Clauss is an accomplished business leader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industry with operational and finance experience across a range of pharmaceutical companies. Ms. Clauss has also served as the co-founder of Aptabridge Therapeutics, Inc. since December 2021. Ms. Clauss also served as Vice President, Gene Therapy Platforms at Ultragenyx Pharmaceutical Inc. from August 2021 until September 2022, where she was responsible for aligning functions across programs and driving operational efficiency, and prior to that, as Vice President, Head of Research and Development Operations at Ipsen, from August 2018 until August 2020, where she was responsible for establishing the strategic portfolio management group and developing data-driven global research and development strategies. Additionally, her career includes leadership positions at Sanofi Pasteur and Sanofi. Ms. Clauss received a Master of Business Administration through the Sloan Fellows program at the Massachusetts Institute of Technology. She holds a Master of Engineering degree in chemistry from Ecole Centrale Mediterranee and a Master of Science degree in chemistry and physical sciences from Joseph Fourier University.</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b w:val="1"/>
          <w:bCs w:val="1"/>
          <w:color w:val="auto"/>
        </w:rPr>
        <w:t xml:space="preserve">William Roush, Ph.D. </w:t>
      </w:r>
      <w:r>
        <w:rPr>
          <w:rFonts w:ascii="Arial" w:cs="Arial" w:eastAsia="Arial" w:hAnsi="Arial"/>
          <w:sz w:val="18"/>
          <w:szCs w:val="18"/>
          <w:color w:val="auto"/>
        </w:rPr>
        <w:t>has served as our Executive Vice President, Head of Small Molecule Research since July 2024. Dr. Roush</w:t>
      </w:r>
      <w:r>
        <w:rPr>
          <w:rFonts w:ascii="Arial" w:cs="Arial" w:eastAsia="Arial" w:hAnsi="Arial"/>
          <w:sz w:val="18"/>
          <w:szCs w:val="18"/>
          <w:b w:val="1"/>
          <w:bCs w:val="1"/>
          <w:color w:val="auto"/>
        </w:rPr>
        <w:t xml:space="preserve"> </w:t>
      </w:r>
      <w:r>
        <w:rPr>
          <w:rFonts w:ascii="Arial" w:cs="Arial" w:eastAsia="Arial" w:hAnsi="Arial"/>
          <w:sz w:val="18"/>
          <w:szCs w:val="18"/>
          <w:color w:val="auto"/>
        </w:rPr>
        <w:t>is an accomplished chemist with experience in organic chemistry, medicinal chemistry and methods development. Dr. Roush has held academic positions at the Massachusetts Institute of Technology, Indiana University, the University of Michigan and most recently, the Scripps Research Institute where he is Emeritus Professor of Chemistry. Prior to joining Odyssey, Dr. Roush was the Executive Vice President of chemistry at IFM from October 2017 until June 2024 and oversaw the discovery of several product candidates for cancer and inflammation that are now in clinical development. Dr. Roush received his B.S. in chemistry from the University of California, Los Angeles and he completed his Ph.D. in chemistry at Harvard University.</w:t>
      </w:r>
    </w:p>
    <w:p>
      <w:pPr>
        <w:spacing w:after="0" w:line="18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color w:val="auto"/>
        </w:rPr>
        <w:t xml:space="preserve">Kira M. Schwartz </w:t>
      </w:r>
      <w:r>
        <w:rPr>
          <w:rFonts w:ascii="Arial" w:cs="Arial" w:eastAsia="Arial" w:hAnsi="Arial"/>
          <w:sz w:val="18"/>
          <w:szCs w:val="18"/>
          <w:color w:val="auto"/>
        </w:rPr>
        <w:t>has served as our Executive Vice President, General Counsel and Secretary since September 2021. Ms.</w:t>
      </w:r>
      <w:r>
        <w:rPr>
          <w:rFonts w:ascii="Arial" w:cs="Arial" w:eastAsia="Arial" w:hAnsi="Arial"/>
          <w:sz w:val="18"/>
          <w:szCs w:val="18"/>
          <w:b w:val="1"/>
          <w:bCs w:val="1"/>
          <w:color w:val="auto"/>
        </w:rPr>
        <w:t xml:space="preserve"> </w:t>
      </w:r>
      <w:r>
        <w:rPr>
          <w:rFonts w:ascii="Arial" w:cs="Arial" w:eastAsia="Arial" w:hAnsi="Arial"/>
          <w:sz w:val="18"/>
          <w:szCs w:val="18"/>
          <w:color w:val="auto"/>
        </w:rPr>
        <w:t>Schwartz is an accomplished general counsel and transaction attorney with over 20 years’ experience in the biopharmaceutical industry. Previously, Ms. Schwartz served as General Counsel, Secretary, and an executive team member at Prevail Therapeutics Inc. from June 2020 until March 2021. Prior to joining Prevail, Ms. Schwartz served until May 2020 as Senior Vice President, Associate General Counsel and Assistant Secretary at Allergan plc, where she advanced through increasingly significant legal roles, including at its predecessors Actavis and Forest Laboratories, where she joined as Associate General Counsel in 2008. At Allergan, Ms. Schwartz led a legal team supporting the company’s business development, alliance management, corporate governance, finance, human resources, supply chain and real estate functions. Ms. Schwartz started her legal career as a corporate associate at Cleary, Gottlieb, Steen &amp; Hamilton LLP, from which she joined the business transactions legal group at Pfizer. Ms. Schwartz earned her B.A. in economics from Tufts University and her J.D. from Yale Law School.</w:t>
      </w:r>
    </w:p>
    <w:p>
      <w:pPr>
        <w:spacing w:after="0" w:line="180" w:lineRule="exact"/>
        <w:rPr>
          <w:sz w:val="20"/>
          <w:szCs w:val="20"/>
          <w:color w:val="auto"/>
        </w:rPr>
      </w:pPr>
    </w:p>
    <w:p>
      <w:pPr>
        <w:ind w:left="120" w:firstLine="551"/>
        <w:spacing w:after="0" w:line="229" w:lineRule="auto"/>
        <w:rPr>
          <w:sz w:val="20"/>
          <w:szCs w:val="20"/>
          <w:color w:val="auto"/>
        </w:rPr>
      </w:pPr>
      <w:r>
        <w:rPr>
          <w:rFonts w:ascii="Arial" w:cs="Arial" w:eastAsia="Arial" w:hAnsi="Arial"/>
          <w:sz w:val="17"/>
          <w:szCs w:val="17"/>
          <w:b w:val="1"/>
          <w:bCs w:val="1"/>
          <w:color w:val="auto"/>
        </w:rPr>
        <w:t xml:space="preserve">Stephen Soisson, Ph.D. </w:t>
      </w:r>
      <w:r>
        <w:rPr>
          <w:rFonts w:ascii="Arial" w:cs="Arial" w:eastAsia="Arial" w:hAnsi="Arial"/>
          <w:sz w:val="17"/>
          <w:szCs w:val="17"/>
          <w:color w:val="auto"/>
        </w:rPr>
        <w:t>has served as our Executive Vice President, Protein Therapeutics and Structural Biology since October</w:t>
      </w:r>
      <w:r>
        <w:rPr>
          <w:rFonts w:ascii="Arial" w:cs="Arial" w:eastAsia="Arial" w:hAnsi="Arial"/>
          <w:sz w:val="17"/>
          <w:szCs w:val="17"/>
          <w:b w:val="1"/>
          <w:bCs w:val="1"/>
          <w:color w:val="auto"/>
        </w:rPr>
        <w:t xml:space="preserve"> </w:t>
      </w:r>
      <w:r>
        <w:rPr>
          <w:rFonts w:ascii="Arial" w:cs="Arial" w:eastAsia="Arial" w:hAnsi="Arial"/>
          <w:sz w:val="17"/>
          <w:szCs w:val="17"/>
          <w:color w:val="auto"/>
        </w:rPr>
        <w:t>2021. Dr. Soisson is an experienced protein engineer and structural biologist with more than 20 years of drug discovery experience. Prior to joining Odyssey, Dr. Soisson served in multiple scientific roles at Merck Research Laboratories, or MRL, beginning in 2000, including as Senior Director and as Executive Director and Global Head of Structural Chemistry and Structural Protein Sciences from October 2017 until October 2021, where he architected and oversaw MRL’s network-wide efforts to structurally enable all programs with three-dimensional molecular structures. During his tenure, the structure group contributed to the discovery of a number of MRL clinical candidates, including CLESROVIMAB</w:t>
      </w:r>
      <w:r>
        <w:rPr>
          <w:rFonts w:ascii="Arial" w:cs="Arial" w:eastAsia="Arial" w:hAnsi="Arial"/>
          <w:sz w:val="25"/>
          <w:szCs w:val="25"/>
          <w:color w:val="auto"/>
          <w:vertAlign w:val="superscript"/>
        </w:rPr>
        <w:t>®</w:t>
      </w:r>
      <w:r>
        <w:rPr>
          <w:rFonts w:ascii="Arial" w:cs="Arial" w:eastAsia="Arial" w:hAnsi="Arial"/>
          <w:sz w:val="17"/>
          <w:szCs w:val="17"/>
          <w:color w:val="auto"/>
        </w:rPr>
        <w:t>, LAGEVRIO</w:t>
      </w:r>
      <w:r>
        <w:rPr>
          <w:rFonts w:ascii="Arial" w:cs="Arial" w:eastAsia="Arial" w:hAnsi="Arial"/>
          <w:sz w:val="25"/>
          <w:szCs w:val="25"/>
          <w:color w:val="auto"/>
          <w:vertAlign w:val="superscript"/>
        </w:rPr>
        <w:t>®</w:t>
      </w:r>
      <w:r>
        <w:rPr>
          <w:rFonts w:ascii="Arial" w:cs="Arial" w:eastAsia="Arial" w:hAnsi="Arial"/>
          <w:sz w:val="17"/>
          <w:szCs w:val="17"/>
          <w:color w:val="auto"/>
        </w:rPr>
        <w:t>, KEYTRUDA</w:t>
      </w:r>
      <w:r>
        <w:rPr>
          <w:rFonts w:ascii="Arial" w:cs="Arial" w:eastAsia="Arial" w:hAnsi="Arial"/>
          <w:sz w:val="25"/>
          <w:szCs w:val="25"/>
          <w:color w:val="auto"/>
          <w:vertAlign w:val="superscript"/>
        </w:rPr>
        <w:t>®</w:t>
      </w:r>
      <w:r>
        <w:rPr>
          <w:rFonts w:ascii="Arial" w:cs="Arial" w:eastAsia="Arial" w:hAnsi="Arial"/>
          <w:sz w:val="17"/>
          <w:szCs w:val="17"/>
          <w:color w:val="auto"/>
        </w:rPr>
        <w:t>, BELSOMRA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ISENTRESS</w:t>
      </w:r>
      <w:r>
        <w:rPr>
          <w:rFonts w:ascii="Arial" w:cs="Arial" w:eastAsia="Arial" w:hAnsi="Arial"/>
          <w:sz w:val="25"/>
          <w:szCs w:val="25"/>
          <w:color w:val="auto"/>
          <w:vertAlign w:val="superscript"/>
        </w:rPr>
        <w:t>®</w:t>
      </w:r>
      <w:r>
        <w:rPr>
          <w:rFonts w:ascii="Arial" w:cs="Arial" w:eastAsia="Arial" w:hAnsi="Arial"/>
          <w:sz w:val="17"/>
          <w:szCs w:val="17"/>
          <w:color w:val="auto"/>
        </w:rPr>
        <w:t>. Dr. Soisson received his B.S. in molecular genetics from The Ohio State University, his Ph.D. in biochemistry, cellular and molecular biology from Johns Hopkins School of Medicine and completed post-doctoral studies as a Damon Runyon-Walter Winchell Cancer Research fellow at The Rockefeller University.</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b w:val="1"/>
          <w:bCs w:val="1"/>
          <w:color w:val="auto"/>
        </w:rPr>
        <w:t xml:space="preserve">Collin Todd </w:t>
      </w:r>
      <w:r>
        <w:rPr>
          <w:rFonts w:ascii="Arial" w:cs="Arial" w:eastAsia="Arial" w:hAnsi="Arial"/>
          <w:sz w:val="18"/>
          <w:szCs w:val="18"/>
          <w:color w:val="auto"/>
        </w:rPr>
        <w:t>has served as our Senior Vice President, Strategy and Business Development since June 2024 and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management of our strategic, business development, and capital formation matters. Since joining Odyssey in December 2021, Mr. Todd has overseen our Series B and Series C financings and the execution of our collaboration agreements, including those with J&amp;J and Pfizer. Mr. Todd has over a decade of experience in investing, company operations, corporate and business development, and strategic planning in the biotechnology industry. From September 2017 until December 2021, Mr. Todd served in various strategy and business development roles at SpringWorks Therapeutics, Inc., where he was involved in completing over $600 million of private and public financings and the execution of more than 10 licensing and partnering transactions. Prior to SpringWorks, Mr. Todd was a strategy professional at Moderna, Inc. and a member of the private equity team at OrbiMed Advisors LLC, or OrbiMed, where he was involved in deal sourcing, evaluation and execution. Mr. Todd began his career as an investment banker at Bank of America Merrill Lynch where he worked with healthcare companies across advisory, capital raising and M&amp;A. Mr. Todd currently serves on the board of directors of cTRL Therapeutics. Mr. Todd earned his B.A. in economics at the University of California, Los Angeles.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2" w:lineRule="exact"/>
        <w:rPr>
          <w:sz w:val="20"/>
          <w:szCs w:val="20"/>
          <w:color w:val="auto"/>
        </w:rPr>
      </w:pPr>
    </w:p>
    <w:p>
      <w:pPr>
        <w:ind w:left="120" w:firstLine="551"/>
        <w:spacing w:after="0" w:line="223" w:lineRule="auto"/>
        <w:rPr>
          <w:sz w:val="20"/>
          <w:szCs w:val="20"/>
          <w:color w:val="auto"/>
        </w:rPr>
      </w:pPr>
      <w:r>
        <w:rPr>
          <w:rFonts w:ascii="Arial" w:cs="Arial" w:eastAsia="Arial" w:hAnsi="Arial"/>
          <w:sz w:val="17"/>
          <w:szCs w:val="17"/>
          <w:b w:val="1"/>
          <w:bCs w:val="1"/>
          <w:color w:val="auto"/>
        </w:rPr>
        <w:t xml:space="preserve">Jeffrey M. Leiden, M.D., Ph.D. </w:t>
      </w:r>
      <w:r>
        <w:rPr>
          <w:rFonts w:ascii="Arial" w:cs="Arial" w:eastAsia="Arial" w:hAnsi="Arial"/>
          <w:sz w:val="17"/>
          <w:szCs w:val="17"/>
          <w:color w:val="auto"/>
        </w:rPr>
        <w:t>has served as Chair of our board of directors and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2022. Dr. Leiden has served as the Executive Chairman of Vertex Pharmaceuticals, Incorporated (Nasdaq: VRTX), or Vertex, since April 2020, after serving as a director since July 2009. Dr. Leiden previously served as President, Chief Executive Officer and Chairman of Vertex from 2012 through March 2020. Prior to joining Vertex, Dr. Leiden served as Managing Director at Clarus Ventures, a life sciences venture capital firm, from 2007 to 2012 and as President, Chief Operating Officer of Abbott Laboratories from 2000 until 2005. Dr. Leiden is a physician and scientist who has dedicated his career to improving the lives of people with serious diseases. While at Abbott Laboratories, Dr. Leiden led the development and commercialization of HUMIRA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for multiple autoimmune diseases. During his time at Vertex, the company delivered a number of leading medicines to treat the underlying cause of cystic fibrosis for patients with certain forms of the disease, including KALYDECO</w:t>
      </w:r>
      <w:r>
        <w:rPr>
          <w:rFonts w:ascii="Arial" w:cs="Arial" w:eastAsia="Arial" w:hAnsi="Arial"/>
          <w:sz w:val="25"/>
          <w:szCs w:val="25"/>
          <w:color w:val="auto"/>
          <w:vertAlign w:val="superscript"/>
        </w:rPr>
        <w:t>®</w:t>
      </w:r>
      <w:r>
        <w:rPr>
          <w:rFonts w:ascii="Arial" w:cs="Arial" w:eastAsia="Arial" w:hAnsi="Arial"/>
          <w:sz w:val="17"/>
          <w:szCs w:val="17"/>
          <w:color w:val="auto"/>
        </w:rPr>
        <w:t>, ORKAMBI</w:t>
      </w:r>
      <w:r>
        <w:rPr>
          <w:rFonts w:ascii="Arial" w:cs="Arial" w:eastAsia="Arial" w:hAnsi="Arial"/>
          <w:sz w:val="25"/>
          <w:szCs w:val="25"/>
          <w:color w:val="auto"/>
          <w:vertAlign w:val="superscript"/>
        </w:rPr>
        <w:t>®</w:t>
      </w:r>
      <w:r>
        <w:rPr>
          <w:rFonts w:ascii="Arial" w:cs="Arial" w:eastAsia="Arial" w:hAnsi="Arial"/>
          <w:sz w:val="17"/>
          <w:szCs w:val="17"/>
          <w:color w:val="auto"/>
        </w:rPr>
        <w:t>, SYMDEKO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TRIKAFTA</w:t>
      </w:r>
      <w:r>
        <w:rPr>
          <w:rFonts w:ascii="Arial" w:cs="Arial" w:eastAsia="Arial" w:hAnsi="Arial"/>
          <w:sz w:val="25"/>
          <w:szCs w:val="25"/>
          <w:color w:val="auto"/>
          <w:vertAlign w:val="superscript"/>
        </w:rPr>
        <w:t>®</w:t>
      </w:r>
      <w:r>
        <w:rPr>
          <w:rFonts w:ascii="Arial" w:cs="Arial" w:eastAsia="Arial" w:hAnsi="Arial"/>
          <w:sz w:val="17"/>
          <w:szCs w:val="17"/>
          <w:color w:val="auto"/>
        </w:rPr>
        <w:t>. While serving as Chief Executive Officer of Vertex, the company also built a robust pipeline of drug candidates in specialty markets, including pain, sickle cell disease and type 1 diabetes, and entered into important collaborations, like with CRISPR Therapeutics AG, which led to the discovery and development of the first CRISPR/Cas9 gene editing therapy, CASGEVY</w:t>
      </w:r>
      <w:r>
        <w:rPr>
          <w:rFonts w:ascii="Arial" w:cs="Arial" w:eastAsia="Arial" w:hAnsi="Arial"/>
          <w:sz w:val="25"/>
          <w:szCs w:val="25"/>
          <w:color w:val="auto"/>
          <w:vertAlign w:val="superscript"/>
        </w:rPr>
        <w:t>™</w:t>
      </w:r>
      <w:r>
        <w:rPr>
          <w:rFonts w:ascii="Arial" w:cs="Arial" w:eastAsia="Arial" w:hAnsi="Arial"/>
          <w:sz w:val="17"/>
          <w:szCs w:val="17"/>
          <w:color w:val="auto"/>
        </w:rPr>
        <w:t>, approved for two human genetic diseases, sickle cell disease and beta thalassemia. Dr. Leiden is the lead director of Massachusetts Mutual Life Insurance Company, and the Chairman of the Board of Casana Care, Inc. and previously served on the board of directors of Shire plc, Millennium Pharmaceuticals, Inc. and Quest Diagnostics Incorporated (NYSE: DGX). Dr. Leiden received his B.A. in biological sciences, his Ph.D. in virology and his M.D. from the University of Chicago.</w:t>
      </w:r>
    </w:p>
    <w:p>
      <w:pPr>
        <w:spacing w:after="0" w:line="187"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color w:val="auto"/>
        </w:rPr>
        <w:t>We believe Dr. Leiden is qualified to serve on our board of directors because of his deep industry and scientific experience combined with his experience leading another public biopharmaceutical company.</w:t>
      </w:r>
    </w:p>
    <w:p>
      <w:pPr>
        <w:spacing w:after="0" w:line="15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b w:val="1"/>
          <w:bCs w:val="1"/>
          <w:color w:val="auto"/>
        </w:rPr>
        <w:t xml:space="preserve">Charles Baum, M.D., Ph.D. </w:t>
      </w:r>
      <w:r>
        <w:rPr>
          <w:rFonts w:ascii="Arial" w:cs="Arial" w:eastAsia="Arial" w:hAnsi="Arial"/>
          <w:sz w:val="18"/>
          <w:szCs w:val="18"/>
          <w:color w:val="auto"/>
        </w:rPr>
        <w:t>has served as a member of our board of directors since August 2021. Dr. Baum has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of Terremoto Biosciences, Inc. since July 2024. From August 2023 to January 2024, Dr. Baum served as President and Chief Executive Officer of Mirati Therapeutics, Inc. Previously, Dr. Baum served as President and Head of Research and Development from September 2021 to August 2023 and as Chief Executive Officer from November 2012 to September 2021 at Mirati Therapeutics. Dr. Baum also served as a member of the board of directors of Mirati Therapeutics from November 2012 to January 2024. Dr. Baum has served on the boards of directors of Acrivon Therapeutics, Inc. (Nasdaq: ACRV) since June 2023, PMV Pharmaceuticals, Inc. (Nasdaq: PMVP) since April 2021 and Poseida Therapeutics, Inc. (Nasdaq:</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PSTX) since May 2022. Dr. Baum previously served on the boards of directors of Immunomedics, Inc. (Nasdaq: IMMU), Array BioPharma</w:t>
      </w:r>
    </w:p>
    <w:p>
      <w:pPr>
        <w:spacing w:after="0" w:line="14" w:lineRule="exact"/>
        <w:rPr>
          <w:sz w:val="20"/>
          <w:szCs w:val="20"/>
          <w:color w:val="auto"/>
        </w:rPr>
      </w:pPr>
    </w:p>
    <w:p>
      <w:pPr>
        <w:ind w:left="120" w:right="260"/>
        <w:spacing w:after="0" w:line="250" w:lineRule="auto"/>
        <w:rPr>
          <w:sz w:val="20"/>
          <w:szCs w:val="20"/>
          <w:color w:val="auto"/>
        </w:rPr>
      </w:pPr>
      <w:r>
        <w:rPr>
          <w:rFonts w:ascii="Arial" w:cs="Arial" w:eastAsia="Arial" w:hAnsi="Arial"/>
          <w:sz w:val="18"/>
          <w:szCs w:val="18"/>
          <w:color w:val="auto"/>
        </w:rPr>
        <w:t>Inc. (Nasdaq: ARRY) and BCTG Acquisition Group (Nasdaq: BCTG), all publicly held biotechnology companies. Dr. Baum received his M.D. and Ph.D. in biological sciences from Washington University School of Medicine in St. Louis, Missouri.</w:t>
      </w:r>
    </w:p>
    <w:p>
      <w:pPr>
        <w:spacing w:after="0" w:line="172" w:lineRule="exact"/>
        <w:rPr>
          <w:sz w:val="20"/>
          <w:szCs w:val="20"/>
          <w:color w:val="auto"/>
        </w:rPr>
      </w:pPr>
    </w:p>
    <w:p>
      <w:pPr>
        <w:ind w:left="120" w:right="840" w:firstLine="551"/>
        <w:spacing w:after="0" w:line="271" w:lineRule="auto"/>
        <w:rPr>
          <w:sz w:val="20"/>
          <w:szCs w:val="20"/>
          <w:color w:val="auto"/>
        </w:rPr>
      </w:pPr>
      <w:r>
        <w:rPr>
          <w:rFonts w:ascii="Arial" w:cs="Arial" w:eastAsia="Arial" w:hAnsi="Arial"/>
          <w:sz w:val="18"/>
          <w:szCs w:val="18"/>
          <w:color w:val="auto"/>
        </w:rPr>
        <w:t>We believe Dr. Baum is qualified to serve on our board of directors because of his broad perspective and executive-level experience in the biotechnology industry as well as his experience serving on the boards of directors of public companies.</w:t>
      </w:r>
    </w:p>
    <w:p>
      <w:pPr>
        <w:spacing w:after="0" w:line="15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b w:val="1"/>
          <w:bCs w:val="1"/>
          <w:color w:val="auto"/>
        </w:rPr>
        <w:t xml:space="preserve">Jill Carroll </w:t>
      </w:r>
      <w:r>
        <w:rPr>
          <w:rFonts w:ascii="Arial" w:cs="Arial" w:eastAsia="Arial" w:hAnsi="Arial"/>
          <w:sz w:val="18"/>
          <w:szCs w:val="18"/>
          <w:color w:val="auto"/>
        </w:rPr>
        <w:t>has served as a member of our board of directors since August 2021. Ms. Carroll has served as a partner at SR One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Management since September 2020 and previously served as an investing professional with SR One Ltd. since 2011. Ms. Carroll has a background in biotech partnering and corporate development. Previously, she completed multiple pharma partnerships and substantial private and public financings for Dynavax Technologies (Nasdaq: DVAX). Ms. Carroll was formerly a biopharmaceutical industry consultant with Clearview Projects and Mercer Management Consulting. Ms. Carroll currently serves on the board of directors of Arcellx, Inc. (Nasdaq: ACLX) as well as several private companies, including HotSpot Therapeutics, Inc., TBIO, LLC and Avalyn Pharma, Inc., and previously served on the board of Nkarta, Inc. (Nasdaq: NKTX) from 2017 to 2020. Ms. Carroll received her B.S. in chemistry from Duke University and an M.S. in biochemistry, cellular and molecular biology from Johns Hopkins University.</w:t>
      </w:r>
    </w:p>
    <w:p>
      <w:pPr>
        <w:spacing w:after="0" w:line="180"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We believe Ms. Carroll is qualified to serve on our board of directors because of her extensive experience in partnering and other business development transactions.</w:t>
      </w:r>
    </w:p>
    <w:p>
      <w:pPr>
        <w:spacing w:after="0" w:line="15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color w:val="auto"/>
        </w:rPr>
        <w:t xml:space="preserve">Carl L. Gordon, Ph.D., CFA </w:t>
      </w:r>
      <w:r>
        <w:rPr>
          <w:rFonts w:ascii="Arial" w:cs="Arial" w:eastAsia="Arial" w:hAnsi="Arial"/>
          <w:sz w:val="18"/>
          <w:szCs w:val="18"/>
          <w:color w:val="auto"/>
        </w:rPr>
        <w:t>has served as a member of our board of directors since August 2021. Dr. Gordon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founding member, Managing Partner, and Co-Head of Global Private Equity at OrbiMed since 1998. Dr. Gordon has served on the boards of directors of Adicet Bio, Inc. (Nasdaq: ACET) since 2015, ArriVent Biopharma, Inc. (Nasdaq: AVBP) since December 2022, Compass Therapeutics, Inc. (Nasdaq: CMPX) since September 2015, Keros Therapeutics, Inc. (Nasdaq: KROS) since March 2020, Kinnate Biopharma, Inc. (Nasdaq: KNTE) since December 2019, and Terns Pharmaceuticals, Inc. (Nasdaq: TERN) since October 2018, as well as several private companies. Dr. Gordon previously served on the boards of directors of Alector Inc. (Nasdaq: ALEC) from October 2013 to June 2019, Arsanis, Inc. (which merged with X4 Pharmaceuticals, Inc.) from January 2013 to March 2019, Gemini Therapeutics, Inc. (which merged with Disc Medicine, Inc.) from April 2016 to December 2022, ORIC Pharmaceuticals, Inc. (Nasdaq: ORIC) from November 2015 to November 2021, Passage Bio Inc. (Nasdaq: PASG) from September 2018 to February 2020, Prevail Therapeutics Inc. (acquired by Eli Lilly and Company) from October 2017 to January 2021, SpringWorks Therapeutics Inc. (Nasdaq: SWTX) from August 2017 to September 2019, Theseus Pharmaceuticals, Inc. (Nasdaq: THRX) from June 2018 to February 2024 and Turning Point Therapeutics, Inc. (acquired by Bristol-Myers Squibb Company) from May 2017 to November 2020. Dr. Gordon received a B.A. in Chemistry from Harvard University, a Ph.D. in molecular biology from the Massachusetts Institute of Technology and was a Postdoctoral Fellow at The Rockefeller University.</w:t>
      </w:r>
    </w:p>
    <w:p>
      <w:pPr>
        <w:spacing w:after="0" w:line="189"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We believe Dr. Gordon is qualified to serve on our board of directors because of his venture capital experience, expertise in the scientific field of molecular biology and financial credentials.</w:t>
      </w:r>
    </w:p>
    <w:p>
      <w:pPr>
        <w:spacing w:after="0" w:line="15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color w:val="auto"/>
        </w:rPr>
        <w:t xml:space="preserve">Lorence Kim, M.D. </w:t>
      </w:r>
      <w:r>
        <w:rPr>
          <w:rFonts w:ascii="Arial" w:cs="Arial" w:eastAsia="Arial" w:hAnsi="Arial"/>
          <w:sz w:val="18"/>
          <w:szCs w:val="18"/>
          <w:color w:val="auto"/>
        </w:rPr>
        <w:t>has served as a member of our board of directors since October 2023. Dr. Kim has served as a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Ascenta Capital since January 2023. From July 2000 to April 2014, Dr. Kim held a number of positions at Goldman, Sachs &amp; Co., most recently as a Managing Director and Co-head of Biotechnology Investment Banking. From April 2014 until August 2020, Dr. Kim served as the Chief Financial Officer of Moderna, Inc. (Nasdaq: MRNA). Dr. Kim also served as a venture partner at Third Rock Ventures from September 2020 until December 2022. Dr. Kim currently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80"/>
          </w:cols>
          <w:pgMar w:left="320" w:top="455"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serves on the board of directors of Cencora, Inc. (NYSE: COR), Revolution Medicines, Inc. (Nasdaq: RVMD) and a number of private companies. Dr. Kim previously served on the board of directors of Seres Therapeutics, Inc. (Nasdaq: MCRB) and Cowen, Inc (Nasdaq: COWN). Dr. Kim received an A.B. in biochemical sciences from Harvard University, an M.B.A. in healthcare management from the Wharton School of the University of Pennsylvania and an M.D. from the University of Pennsylvania School of Medicine.</w:t>
      </w:r>
    </w:p>
    <w:p>
      <w:pPr>
        <w:spacing w:after="0" w:line="17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believe Dr. Kim is qualified to serve on our board of directors because of his experience working with life sciences investors and his previous public company experience.</w:t>
      </w:r>
    </w:p>
    <w:p>
      <w:pPr>
        <w:spacing w:after="0" w:line="15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b w:val="1"/>
          <w:bCs w:val="1"/>
          <w:color w:val="auto"/>
        </w:rPr>
        <w:t xml:space="preserve">Valerie Odegard, Ph.D. </w:t>
      </w:r>
      <w:r>
        <w:rPr>
          <w:rFonts w:ascii="Arial" w:cs="Arial" w:eastAsia="Arial" w:hAnsi="Arial"/>
          <w:sz w:val="18"/>
          <w:szCs w:val="18"/>
          <w:color w:val="auto"/>
        </w:rPr>
        <w:t>has served as a member of our board of directors since October 2021. Dr. Odegard has been involved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discovery and development of drugs for autoimmune diseases and oncology for over 20 years. Dr. Odegard has served as the Chief Executive Officer of Dovetail Therapeutics, Inc. since October 2023. From October 2016 until September 2022, Dr. Odegard served in various roles with Silverback Therapeutics, Inc., including as Chief Scientific Officer starting in October 2018 and President starting in September 2020. Since October 2022, Dr. Odegard has also served as a venture partner at OrbiMed and serves on the boards of directors at two private biopharmaceutical companies. Dr. Odegard holds a B.S. in biology from Wake Forest University and a Ph.D. in immunobiology from Yale University.</w:t>
      </w:r>
    </w:p>
    <w:p>
      <w:pPr>
        <w:spacing w:after="0" w:line="185"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color w:val="auto"/>
        </w:rPr>
        <w:t>We believe Dr. Odegard is qualified to serve on our board of directors because of her experience leading drug development programs and her public company experience.</w:t>
      </w:r>
    </w:p>
    <w:p>
      <w:pPr>
        <w:spacing w:after="0" w:line="15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Ian F. Smith </w:t>
      </w:r>
      <w:r>
        <w:rPr>
          <w:rFonts w:ascii="Arial" w:cs="Arial" w:eastAsia="Arial" w:hAnsi="Arial"/>
          <w:sz w:val="18"/>
          <w:szCs w:val="18"/>
          <w:color w:val="auto"/>
        </w:rPr>
        <w:t>has served as a member of our board of directors since August 2024 and prior to that as a consultant. Mr. Smith is an</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leader with more than 30 years of finance and operating experience</w:t>
      </w:r>
      <w:r>
        <w:rPr>
          <w:rFonts w:ascii="Arial" w:cs="Arial" w:eastAsia="Arial" w:hAnsi="Arial"/>
          <w:sz w:val="18"/>
          <w:szCs w:val="18"/>
          <w:i w:val="1"/>
          <w:iCs w:val="1"/>
          <w:color w:val="auto"/>
        </w:rPr>
        <w:t>.</w:t>
      </w:r>
      <w:r>
        <w:rPr>
          <w:rFonts w:ascii="Arial" w:cs="Arial" w:eastAsia="Arial" w:hAnsi="Arial"/>
          <w:sz w:val="18"/>
          <w:szCs w:val="18"/>
          <w:color w:val="auto"/>
        </w:rPr>
        <w:t xml:space="preserve"> Mr. Smith currently serves as the Chair of the board of directors for Rivus Pharmaceutical Inc., a position he has held since November 2023. Mr. Smith also serves as a Senior Advisor to Bain Capital Life Sciences, which position he has held since January 2021, and as Executive Chair of the board of directors of Solid Biosciences Inc. (Nasdaq: SLDB), which position he has held since June 2020. He has also served as a member of the board of directors of Foghorn Therapeutics Inc. (Nasdaq: FHTX) since April 2021, and as a member of the board of directors of Stoke Therapeutics, Inc. (Nasdaq: STOK) since September 2023. Prior to his current roles, Mr. Smith served as Executive Chair of the board of directors of Viacyte, a private biotechnology company, from July 2019 to September 2022. Mr. Smith previously served in various roles at Vertex from 2001 until January 2019, including as the Chief Financial Officer and Chief Operating Officer. Prior to joining Vertex, Mr. Smith was a partner of the accounting firm Ernst &amp; Young LLP, serving private and public companies, including biotechnology companies. Mr. Smith also serves on the boards of a number of private biotechnology companies and provides advisory services. Mr. Smith holds a B.A. with honors in accounting and finance from Manchester Metropolitan University (UK).</w:t>
      </w:r>
    </w:p>
    <w:p>
      <w:pPr>
        <w:spacing w:after="0" w:line="183"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We believe Mr. Smith is qualified to serve on our board of directors due to his experience as a senior finance executive and his knowledge and experience across multiple roles for public biotechnology companies.</w:t>
      </w:r>
    </w:p>
    <w:p>
      <w:pPr>
        <w:spacing w:after="0" w:line="154"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color w:val="auto"/>
        </w:rPr>
        <w:t xml:space="preserve">Timothy Walbert </w:t>
      </w:r>
      <w:r>
        <w:rPr>
          <w:rFonts w:ascii="Arial" w:cs="Arial" w:eastAsia="Arial" w:hAnsi="Arial"/>
          <w:sz w:val="18"/>
          <w:szCs w:val="18"/>
          <w:color w:val="auto"/>
        </w:rPr>
        <w:t>has served as a member of our board of directors since June 2024. Mr. Walbert is currently a senior advisor to</w:t>
      </w:r>
      <w:r>
        <w:rPr>
          <w:rFonts w:ascii="Arial" w:cs="Arial" w:eastAsia="Arial" w:hAnsi="Arial"/>
          <w:sz w:val="18"/>
          <w:szCs w:val="18"/>
          <w:b w:val="1"/>
          <w:bCs w:val="1"/>
          <w:color w:val="auto"/>
        </w:rPr>
        <w:t xml:space="preserve"> </w:t>
      </w:r>
      <w:r>
        <w:rPr>
          <w:rFonts w:ascii="Arial" w:cs="Arial" w:eastAsia="Arial" w:hAnsi="Arial"/>
          <w:sz w:val="18"/>
          <w:szCs w:val="18"/>
          <w:color w:val="auto"/>
        </w:rPr>
        <w:t>Amgen Inc. Mr. Walbert was Chairman, President and Chief Executive Officer of the then public company Horizon Therapeutics plc, a biotechnology company, from June 2008 to October 2023, when it was acquired by Amgen for $28 billion. Before joining Horizon, he was President, Chief Executive Officer and director of IDM Pharma Inc., a public biotechnology company, which was acquired by Takeda Pharmaceutical Company Limited in June 2009. Before IDM, Mr. Walbert served as Executive Vice President, Commercial Operations, at NeoPharm Inc., a public biotechnology company. From 2001 to 2005, he was Divisional Vice President and General Manager,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27" w:lineRule="auto"/>
        <w:rPr>
          <w:sz w:val="20"/>
          <w:szCs w:val="20"/>
          <w:color w:val="auto"/>
        </w:rPr>
      </w:pPr>
      <w:r>
        <w:rPr>
          <w:rFonts w:ascii="Arial" w:cs="Arial" w:eastAsia="Arial" w:hAnsi="Arial"/>
          <w:sz w:val="18"/>
          <w:szCs w:val="18"/>
          <w:color w:val="auto"/>
        </w:rPr>
        <w:t>immunology, at Abbott Laboratories, now AbbVie Inc., leading the global development and launch of the multi-indication biologic HUMIRA</w:t>
      </w:r>
      <w:r>
        <w:rPr>
          <w:rFonts w:ascii="Arial" w:cs="Arial" w:eastAsia="Arial" w:hAnsi="Arial"/>
          <w:sz w:val="26"/>
          <w:szCs w:val="26"/>
          <w:color w:val="auto"/>
          <w:vertAlign w:val="superscript"/>
        </w:rPr>
        <w:t>®</w:t>
      </w:r>
      <w:r>
        <w:rPr>
          <w:rFonts w:ascii="Arial" w:cs="Arial" w:eastAsia="Arial" w:hAnsi="Arial"/>
          <w:sz w:val="18"/>
          <w:szCs w:val="18"/>
          <w:color w:val="auto"/>
        </w:rPr>
        <w:t>, and served as Divisional Vice President, Global Cardiovascular Strategy. Mr. Walbert serves on the board of directors of Century Therapeutics, Inc. (Nasdaq: IPSC), Mirum Pharmaceuticals, Inc. (Nasdaq: MIRM) and Sagimet Biosciences Inc. (Nasdaq: SGMT). He previously served on the board of directors of Aurinia Pharmaceuticals Inc. (Nasdaq: AUPH) from 2020 to 2022, Exicure, Inc. (Nasdaq: XCUR) from 2019 to 2022, Assertio Therapeutics, Inc. (Nasdaq: ASRT) from 2014 to 2020, Raptor Pharmaceutical Corp. (Nasdaq: RPTP) from 2011 to 2014, XOMA Corporation (Nasdaq: XOMA) from 2010 to 2017 and Sucampo Pharmaceuticals Inc. (Nasdaq: SCMP) from 2015 until 2018. Mr. Walbert received a B.A. in business administration from Muhlenberg College in Allentown, Pennsylvania.</w:t>
      </w:r>
    </w:p>
    <w:p>
      <w:pPr>
        <w:spacing w:after="0" w:line="183"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We believe Mr. Walbert is qualified to serve on our board of directors due to his leadership experience at a public company and public company board experience in the biopharmaceutical industry.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04"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Our Bylaws, which will become effective immediately prior to the completion of this offering, provide that the number of directors that shall constitute the whole board of directors shall be determined by resolution of our board of directors. Our board of directors currently consists of nine members: Gary D. Glick, Ph.D., Jeffrey M. Leiden, M.D., Ph.D., Charles Baum, M.D., Ph.D., Jill Carroll, Carl L. Gordon, Ph.D., CFA, Lorence Kim, M.D., Ian F. Smith, Valerie Odegard, Ph.D. and Timothy P. Walbert.</w:t>
      </w:r>
    </w:p>
    <w:p>
      <w:pPr>
        <w:spacing w:after="0" w:line="174"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Certain members of our board of directors were elected pursuant to the provisions of our Second A&amp;R Voting Agreement (as defined below), which will terminate upon the closing of this offering. Under the terms and subject to the conditions of the Second A&amp;R Voting Agreement, the stockholders who are party to the Second A&amp;R Voting Agreement have agreed to vote their respective shares to elect: (i) one director designated by OrbiMed Private Investments VIII, LP, currently Dr. Gordon; (ii) one director designated by SR One Capital Fund I Aggregator, LP, SR One Co-Invest IV, LLC, SR One Co-Invest IV-A, LLC and AMZL, LP, currently Ms. Carroll; (iii) one director designated by Ascenta Capital Fund I, L.P., currently Dr. Kim; (iv) our Chief Executive Officer, currently Dr. Glick; (v) two directors who are not otherwise affiliated with us or any stockholder, currently Drs. Baum and Odegard; and (vi) one director who is not otherwise affiliated with us or any stockholder, and is mutually acceptable to the other members of our board of directors elected pursuant to clauses</w:t>
      </w:r>
    </w:p>
    <w:p>
      <w:pPr>
        <w:spacing w:after="0" w:line="3" w:lineRule="exact"/>
        <w:rPr>
          <w:sz w:val="20"/>
          <w:szCs w:val="20"/>
          <w:color w:val="auto"/>
        </w:rPr>
      </w:pPr>
    </w:p>
    <w:p>
      <w:pPr>
        <w:ind w:left="120" w:right="120" w:hanging="4"/>
        <w:spacing w:after="0" w:line="237"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through (iv) above, subject to the approval of General Catalyst Group XI – Endurance, L.P., currently Dr. Leiden. The Second A&amp;R Voting Agreement will terminate upon the closing of this offering, at which point no stockholder will have any special rights regarding the election or designation of the members of our board of directors, and the provisions of our current amended and restated certificate of incorporation, as amended, by which our directors were elected, will be amended and restated in connection with this offering. After this offering, the number of directors will be fixed by our board of directors, subject to the terms of our Certificate of Incorporation and our Bylaws that will become effective immediately prior to the closing of this offering. Our current directors elected to our board of directors pursuant to the Second A&amp;R Voting Agreement will continue to serve as directors until their successors are duly elected and qualified, or until their earlier resignation or removal.</w:t>
      </w:r>
    </w:p>
    <w:p>
      <w:pPr>
        <w:spacing w:after="0" w:line="183"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In accordance with our Certificate of Incorporation, which will be effective immediately prior to the closing of this offering, our board of directors will be divided into three classes with staggered three-year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p>
    <w:p>
      <w:pPr>
        <w:spacing w:after="0" w:line="79" w:lineRule="exact"/>
        <w:rPr>
          <w:sz w:val="20"/>
          <w:szCs w:val="20"/>
          <w:color w:val="auto"/>
        </w:rPr>
      </w:pPr>
    </w:p>
    <w:p>
      <w:pPr>
        <w:ind w:left="880" w:right="420" w:hanging="224"/>
        <w:spacing w:after="0" w:line="271"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Class I directors will be Lorence Kim, M.D., Charles Baum, M.D., Ph.D. and Jill Carroll, and their terms will expire at the annual meeting of stockholders to be held in 2026;</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80"/>
          </w:cols>
          <w:pgMar w:left="320" w:top="455"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560" w:hanging="224"/>
        <w:spacing w:after="0" w:line="271"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Class II directors will be Ian F. Smith, Valerie Odegard, Ph.D. and Timothy P. Walbert, and their terms will expire at the annual meeting of stockholders to be held in 2027; and</w:t>
      </w:r>
    </w:p>
    <w:p>
      <w:pPr>
        <w:spacing w:after="0" w:line="59"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Class III directors will be Gary D. Glick, Ph.D., Jeffrey M. Leiden, M.D., Ph.D. and Carl L. Gordon, Ph.D., CFA, and their terms will expire at the annual meeting of stockholders to be held in 2028.</w:t>
      </w:r>
    </w:p>
    <w:p>
      <w:pPr>
        <w:spacing w:after="0" w:line="15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a change of our management or a change in control of our company.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Under the rules and listing standards of The Nasdaq Stock Market LLC, or the Nasdaq Rules, a majority of the members of our board of directors must satisfy the criteria for “independence.” No director qualifies as independent under the Nasdaq Rules unless our board of directors affirmatively determines that the director does not have a relationship with us that would impair independence, directly or indirectly. Our board of directors has determined that all of our directors qualify as independent under the Nasdaq Rules, other than Dr. Glick as a result of his position as our Chief Executive Officer.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of this prospectus 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board of directors recognizes that one of its key responsibilities is to evaluate and determine its optimal leadership structure so as to provide effective oversight of management. Our Bylaws provide our board of directors with flexibility to combine or separate the positions of Chair of our board of directors and Chief Executive Officer. Our board of directors believes that our existing leadership structure, under which Dr. Glick serves as our Chief Executive Officer and Dr. Leiden serves as Chair of our board of directors, is effective, provides the appropriate balance of authority between independent and non-independent directors, and achieves the optimal governance model for us and for our stockholders. Moreover, we believe that separating these positions allows our Chief Executive Officer to focus on our research and development programs and other day-to-day business, while allowing the Chair of our board of directors to lead our board of directors in its fundamental role of providing advice to and independent oversight of management. Our board of directors recognizes the time, effort and energy that our Chief Executive Officer is required to devote to his position in the current business environment, as well as the commitment required to serve as the Chair of our board of directors, particularly as our board of directors’ oversight responsibilities continue to grow.</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Oversight of Risk</w:t>
      </w:r>
    </w:p>
    <w:p>
      <w:pPr>
        <w:spacing w:after="0" w:line="10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Although management is responsible for the day-to-day management of the risks our company faces, our board of directors and its committees take an active role in overseeing management of our risks and have the ultimate responsibility for the oversight of risk management. Our board of directors regularly reviews information regarding our operational, financial, legal and strategic risks. Specifically, senior management attends quarterly meetings of our board of directors, provides presentations on operations, including significant risks, and is available to address any questions or concerns raised by our board of directors.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we expect that our three committees will assist our board of directors in fulfilling its oversight responsibilities regarding risk. The audit committee of our board of directors, or the Audit Committee, will coordinate our board of directors’ oversight of our internal control over financial reporting, disclosure controls and procedures, related party transactions, cybersecurity and code of conduct and management will regularly report to the Audit Committee on these areas. The compensation committee of our board of directors, or the Compensation Committee, will assist our board of directors in fulfilling its oversight responsibilities with respect to the management of risks arising from our compensation policies and programs as well as succession planning as it relates to our Chief Executive Officer. The nominating and governance committee of our board of directors, or the Nominating and Governance Committee, will assist our board of directors in fulfilling its oversight responsibilities with respect to the management of risks associated with board organization, membership and structure, succession planning for our directors and our corporate governance generally. When any of the committees receives a report related to material risk oversight, the chair of the relevant committee will report on the discussion to our full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4"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We anticipate adopting an amended code of business conduct and ethics, effective immediately prior to the completion of this offering, which will apply to all of our employees, officers and directors, including those officers responsible for financial reporting. Following its completion, the amended code of business conduct and ethics will be available on our website at https://odysseytx.com. We intend to disclose any amendments to the code,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04"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Governance Committee. The composition and responsibilities of each of the committees of our board of directors are described below. Members will serve on these committees until their resignation or removal or until otherwise determined by our board of directors.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Audit Committee is comprised of Ian F. Smith, Charles Baum, M.D., Ph.D. and Lorence Kim, M.D., with Mr. Smith serving as Chair of the Audit Committee. Each member of the Audit Committee must be independent as defined under the applicable Nasdaq Rules and rules of the SEC and financially literate under the Nasdaq Rules. Our board of directors has determined that each member of the Audit Committee is “independent” and “financially literate” under the Nasdaq Rules and the rules of the SEC and that Mr. Smith is an “audit committee financial expert” under the rules of the SEC. The responsibilities of the Audit Committee are included in a written charter. The Audit Committee acts on behalf of our board of directors in fulfilling our board of directors’ oversight responsibilities with respect to our corporate accounting and financial reporting processes, the systems of internal control over financial reporting and audits of financial statements, and also assists our board of directors in its oversight of the quality and integrity of our financial statements and reports and the qualifications, independence and performance of our independent registered public accounting firm. The functions of the Audit Committee include, among others:</w:t>
      </w:r>
    </w:p>
    <w:p>
      <w:pPr>
        <w:spacing w:after="0" w:line="85" w:lineRule="exact"/>
        <w:rPr>
          <w:sz w:val="20"/>
          <w:szCs w:val="20"/>
          <w:color w:val="auto"/>
        </w:rPr>
      </w:pPr>
    </w:p>
    <w:p>
      <w:pPr>
        <w:ind w:left="880" w:right="140" w:hanging="224"/>
        <w:spacing w:after="0" w:line="271"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appointing a firm to serve as the independent registered public accounting firm to audit our financial statements and overseeing the work of such firm;</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500" w:hanging="224"/>
        <w:spacing w:after="0" w:line="271"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 determining whether to retain our existing independent registered public accounting firm and determining the compensation for such firm;</w:t>
      </w:r>
    </w:p>
    <w:p>
      <w:pPr>
        <w:spacing w:after="0" w:line="59" w:lineRule="exact"/>
        <w:rPr>
          <w:rFonts w:ascii="Arial" w:cs="Arial" w:eastAsia="Arial" w:hAnsi="Arial"/>
          <w:sz w:val="18"/>
          <w:szCs w:val="18"/>
          <w:color w:val="auto"/>
        </w:rPr>
      </w:pPr>
    </w:p>
    <w:p>
      <w:pPr>
        <w:jc w:val="both"/>
        <w:ind w:left="880" w:hanging="224"/>
        <w:spacing w:after="0" w:line="25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the scope and results of the audit or review with the independent registered public accounting firm and reviewing, with management and that firm, our interim and year-end operating results and reports, including the disclosures contained under the heading “Management’s Discussion and Analysis of Financial Condition and Results of Operations”;</w:t>
      </w:r>
    </w:p>
    <w:p>
      <w:pPr>
        <w:spacing w:after="0" w:line="74" w:lineRule="exact"/>
        <w:rPr>
          <w:rFonts w:ascii="Arial" w:cs="Arial" w:eastAsia="Arial" w:hAnsi="Arial"/>
          <w:sz w:val="18"/>
          <w:szCs w:val="18"/>
          <w:color w:val="auto"/>
        </w:rPr>
      </w:pPr>
    </w:p>
    <w:p>
      <w:pPr>
        <w:jc w:val="both"/>
        <w:ind w:left="880" w:right="420" w:hanging="224"/>
        <w:spacing w:after="0" w:line="25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the integrity of our accounting and financial reporting processes and our system of internal control over financial reporting, including any significant deficiencies and material weaknesses in the design or operation of such system, and our disclosure controls;</w:t>
      </w:r>
    </w:p>
    <w:p>
      <w:pPr>
        <w:spacing w:after="0" w:line="74" w:lineRule="exact"/>
        <w:rPr>
          <w:rFonts w:ascii="Arial" w:cs="Arial" w:eastAsia="Arial" w:hAnsi="Arial"/>
          <w:sz w:val="18"/>
          <w:szCs w:val="18"/>
          <w:color w:val="auto"/>
        </w:rPr>
      </w:pPr>
    </w:p>
    <w:p>
      <w:pPr>
        <w:ind w:left="880" w:right="40" w:hanging="224"/>
        <w:spacing w:after="0" w:line="244"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discussing with our management and independent registered public accounting firm the scope, design, implementation, adequacy and effectiveness of our internal control over financial reporting and disclosure controls, including any reportable conditions, material weaknesses or significant deficiencies, significant changes in internal controls reported to the Audit Committee by our management or independent registered public accounting firm and our management’s reports and assessments thereon;</w:t>
      </w:r>
    </w:p>
    <w:p>
      <w:pPr>
        <w:spacing w:after="0" w:line="8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pre-approving audit and non-audit services to be performed by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our compliance program;</w:t>
      </w:r>
    </w:p>
    <w:p>
      <w:pPr>
        <w:spacing w:after="0" w:line="117"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our risk management process, including with respect to cybersecurity, and our process for preventing and detecting fraud;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our investment policy and annual business plan.</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Compensation Committee is comprised of Jeffrey M. Leiden, M.D., Ph.D., Valerie Odegard, Ph.D. and Timothy P. Walbert, with Dr. Leiden serving as Chair of the Compensation Committee. Our board of directors has determined that each member of the Compensation Committee is “independent” under the Nasdaq Rules and all applicable laws. Each member of the Compensation Committee is also a “nonemployee director” as that term is defined under Rule 16b-3 under the Exchange Act. The Compensation Committee acts on behalf of our board of directors to fulfill our board of directors’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functions of the Compensation Committee include, among others:</w:t>
      </w:r>
    </w:p>
    <w:p>
      <w:pPr>
        <w:spacing w:after="0" w:line="86" w:lineRule="exact"/>
        <w:rPr>
          <w:sz w:val="20"/>
          <w:szCs w:val="20"/>
          <w:color w:val="auto"/>
        </w:rPr>
      </w:pPr>
    </w:p>
    <w:p>
      <w:pPr>
        <w:ind w:left="880" w:right="20" w:hanging="224"/>
        <w:spacing w:after="0" w:line="271"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executive officers, including our Chief Executive Officer;</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administering our equity incentive and other benefit plans;</w:t>
      </w:r>
    </w:p>
    <w:p>
      <w:pPr>
        <w:spacing w:after="0" w:line="117"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incentive compensation and equity plans;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300" w:hanging="224"/>
        <w:spacing w:after="0" w:line="271"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and reviewing management’s assessment of major risk exposures associated with our compensation policies and practice and the mitigation thereof;</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administering our “clawback policy,” subject to applicable rules and regulations of the SEC and Nasdaq;</w:t>
      </w:r>
    </w:p>
    <w:p>
      <w:pPr>
        <w:spacing w:after="0" w:line="117"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 and</w:t>
      </w:r>
    </w:p>
    <w:p>
      <w:pPr>
        <w:spacing w:after="0" w:line="59" w:lineRule="exact"/>
        <w:rPr>
          <w:rFonts w:ascii="Arial" w:cs="Arial" w:eastAsia="Arial" w:hAnsi="Arial"/>
          <w:sz w:val="18"/>
          <w:szCs w:val="18"/>
          <w:color w:val="auto"/>
        </w:rPr>
      </w:pPr>
    </w:p>
    <w:p>
      <w:pPr>
        <w:ind w:left="880" w:right="60" w:hanging="224"/>
        <w:spacing w:after="0" w:line="271"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periodically reviewing our strategies, initiatives and programs with respect to our culture, talent, recruitment, retention, employee engagement and diversity and inclusion.</w:t>
      </w:r>
    </w:p>
    <w:p>
      <w:pPr>
        <w:spacing w:after="0" w:line="154"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In addition, once we cease to be an emerging growth company, as defined in JOBS Act, the responsibilities of the Compensation Committee will also include:</w:t>
      </w:r>
    </w:p>
    <w:p>
      <w:pPr>
        <w:spacing w:after="0" w:line="59" w:lineRule="exact"/>
        <w:rPr>
          <w:sz w:val="20"/>
          <w:szCs w:val="20"/>
          <w:color w:val="auto"/>
        </w:rPr>
      </w:pPr>
    </w:p>
    <w:p>
      <w:pPr>
        <w:ind w:left="880" w:right="260" w:hanging="224"/>
        <w:spacing w:after="0" w:line="24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for approval the frequency with which we conduct an advisory vote on executive compensation, taking into account the results of the most recent stockholder advisory vote on the frequency of the advisory vote on executive compensation, and reviewing and approving the proposals regarding the frequency of the advisory vote on executive compensation to be included in our annual meeting proxy statements; and</w:t>
      </w:r>
    </w:p>
    <w:p>
      <w:pPr>
        <w:spacing w:after="0" w:line="79" w:lineRule="exact"/>
        <w:rPr>
          <w:rFonts w:ascii="Arial" w:cs="Arial" w:eastAsia="Arial" w:hAnsi="Arial"/>
          <w:sz w:val="18"/>
          <w:szCs w:val="18"/>
          <w:color w:val="auto"/>
        </w:rPr>
      </w:pPr>
    </w:p>
    <w:p>
      <w:pPr>
        <w:ind w:left="880" w:right="400" w:hanging="224"/>
        <w:spacing w:after="0" w:line="253"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discussing with management our Compensation Discussion and Analysis, and recommending to our board of directors that the Compensation Discussion and Analysis be approved for inclusion in our Annual Reports on Form 10-K, registration statements and our annual meeting proxy statements.</w:t>
      </w:r>
    </w:p>
    <w:p>
      <w:pPr>
        <w:spacing w:after="0" w:line="169"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The Compensation Committee may delegate authority to our Chief Executive Officer or other executive officers to act under our equity incentive plans, subject to certain limitations.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Nominating and Governance Committee is comprised of Jill Carroll, Carl L. Gordon, Ph.D., CFA, Jeffrey M. Leiden, M.D., Ph.D. and Timothy P. Walbert, with Ms. Carroll serving as Chair of the Nominating and Governance Committee. Our board of directors has determined that each member of the Nominating and Governance Committee is “independent” under the Nasdaq Rules and the rules of the SEC. The responsibilities of the Nominating and Governance Committee are included in its written charter. The Nominating and Governance Committee acts on behalf of our board of directors to fulfill our board of directors’ responsibilities in overseeing all aspects of our nominating and corporate governance functions. The functions of the Nominating and Governance Committee include, among others:</w:t>
      </w:r>
    </w:p>
    <w:p>
      <w:pPr>
        <w:spacing w:after="0" w:line="84" w:lineRule="exact"/>
        <w:rPr>
          <w:sz w:val="20"/>
          <w:szCs w:val="20"/>
          <w:color w:val="auto"/>
        </w:rPr>
      </w:pPr>
    </w:p>
    <w:p>
      <w:pPr>
        <w:ind w:left="880" w:right="180" w:hanging="224"/>
        <w:spacing w:after="0" w:line="253"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considering corporate governance matters and related legal requirements and periodically reviewing our corporate governance framework, including our certificate of incorporation, bylaws and other arrangements affecting corporate governance and submitting recommended changes to the board of directors for approval</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the selection criteria for candidates to join the board of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the board of directors;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 making recommendations with respect to the composition of the committees of the board of directors;</w:t>
      </w:r>
    </w:p>
    <w:p>
      <w:pPr>
        <w:spacing w:after="0" w:line="59"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and presenting to the board of directors the committee’s determination as to the independence of each director and director candidate;</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100" w:hanging="224"/>
        <w:spacing w:after="0" w:line="271"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considering any stockholder proposal submitted for inclusion in our proxy materials and make a recommendation to the board of directors regarding whether the proposal should be included or excluded from our proxy materials;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and Ethics for directors and executive officers.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jc w:val="both"/>
        <w:ind w:left="120" w:right="700" w:firstLine="551"/>
        <w:spacing w:after="0" w:line="275" w:lineRule="auto"/>
        <w:rPr>
          <w:sz w:val="20"/>
          <w:szCs w:val="20"/>
          <w:color w:val="auto"/>
        </w:rPr>
      </w:pPr>
      <w:r>
        <w:rPr>
          <w:rFonts w:ascii="Arial" w:cs="Arial" w:eastAsia="Arial" w:hAnsi="Arial"/>
          <w:sz w:val="17"/>
          <w:szCs w:val="17"/>
          <w:color w:val="auto"/>
        </w:rPr>
        <w:t>None of the members of the Compensation Committee has at any time been one of our officers or employees. None of our executive officers currently serve, or in the past fiscal year has served, as a member of the board of directors or the compensation committee of any entity that has one or more executive officers on our board of directors or the Compensation Committee.</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04"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of directors during the year ended December 31, 2023. Other than as set forth in the table and described more fully below, in 2023 we did not pay any compensation, or grant any equity awards or non-equity awards, to any of the non-employee members of our board of directors. Dr. Glick, our President and Chief Executive Officer, also served on our board of directors during the year ended December 31, 2023, but did not receive any additional compensation for his service as a director. See the section of this prospectus 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more information regarding the compensation earned by Dr. Glick.</w:t>
      </w:r>
    </w:p>
    <w:p>
      <w:pPr>
        <w:spacing w:after="0" w:line="179"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In 2023, we did not have a formal or standard compensation policy for our non-employee directors. In addition, we have reimbursed and will continue to reimburse all of our non-employee directors for their reasonable out-of-pocket expenses incurred in attending board of directors and committee meetings. Prior to this offering and in connection with Dr. Odegard’s appointment to the board of directors in August 2021, Dr. Odegard entered into a Services Agreement with us, pursuant to which she is eligible to receive an annual cash retainer of $50,000 per year, payable in equal quarterly installments, and a stock option award to purchase 146,129 shares of our common stock.</w:t>
      </w:r>
    </w:p>
    <w:p>
      <w:pPr>
        <w:spacing w:after="0" w:line="166"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The following table sets forth information for the year ended December 31, 2023 regarding the compensation awarded to, earned by or paid to persons who served as our directors during 2023 who are not named executive officers.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Fees Earned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or Paid in</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21"/>
                <w:szCs w:val="21"/>
                <w:b w:val="1"/>
                <w:bCs w:val="1"/>
                <w:color w:val="auto"/>
                <w:w w:val="90"/>
                <w:vertAlign w:val="superscript"/>
              </w:rPr>
              <w:t>(1)</w:t>
            </w:r>
          </w:p>
        </w:tc>
        <w:tc>
          <w:tcPr>
            <w:tcW w:w="7500" w:type="dxa"/>
            <w:vAlign w:val="bottom"/>
            <w:vMerge w:val="restart"/>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Cash</w:t>
            </w:r>
          </w:p>
        </w:tc>
        <w:tc>
          <w:tcPr>
            <w:tcW w:w="9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Awards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0" w:type="dxa"/>
            <w:vAlign w:val="bottom"/>
            <w:tcBorders>
              <w:bottom w:val="single" w:sz="8" w:color="auto"/>
            </w:tcBorders>
            <w:vMerge w:val="continue"/>
          </w:tcPr>
          <w:p>
            <w:pPr>
              <w:spacing w:after="0"/>
              <w:rPr>
                <w:sz w:val="15"/>
                <w:szCs w:val="15"/>
                <w:color w:val="auto"/>
              </w:rPr>
            </w:pPr>
          </w:p>
        </w:tc>
        <w:tc>
          <w:tcPr>
            <w:tcW w:w="7500" w:type="dxa"/>
            <w:vAlign w:val="bottom"/>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80" w:type="dxa"/>
            <w:vAlign w:val="bottom"/>
            <w:tcBorders>
              <w:bottom w:val="single" w:sz="8" w:color="auto"/>
            </w:tcBorders>
          </w:tcPr>
          <w:p>
            <w:pPr>
              <w:ind w:left="18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M. Leiden, M.D., Ph.D.</w:t>
            </w:r>
          </w:p>
        </w:tc>
        <w:tc>
          <w:tcPr>
            <w:tcW w:w="12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216,667</w:t>
            </w:r>
          </w:p>
        </w:tc>
        <w:tc>
          <w:tcPr>
            <w:tcW w:w="9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216,667</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Charles Baum, M.D., Ph.D.</w:t>
            </w: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9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Jill Carroll</w:t>
            </w: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Carl L. Gordon, Ph.D., CFA</w:t>
            </w: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9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Lorence Kim, M.D.</w:t>
            </w: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Valerie Odegard, Ph.D.</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62,500</w:t>
            </w:r>
          </w:p>
        </w:tc>
        <w:tc>
          <w:tcPr>
            <w:tcW w:w="9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Ian F. Smith</w:t>
            </w:r>
            <w:r>
              <w:rPr>
                <w:rFonts w:ascii="Arial" w:cs="Arial" w:eastAsia="Arial" w:hAnsi="Arial"/>
                <w:sz w:val="23"/>
                <w:szCs w:val="23"/>
                <w:color w:val="auto"/>
                <w:vertAlign w:val="superscript"/>
              </w:rPr>
              <w:t>(2)</w:t>
            </w: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57,467</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57,467</w:t>
            </w:r>
          </w:p>
        </w:tc>
        <w:tc>
          <w:tcPr>
            <w:tcW w:w="0" w:type="dxa"/>
            <w:vAlign w:val="bottom"/>
          </w:tcPr>
          <w:p>
            <w:pPr>
              <w:spacing w:after="0"/>
              <w:rPr>
                <w:sz w:val="1"/>
                <w:szCs w:val="1"/>
                <w:color w:val="auto"/>
              </w:rPr>
            </w:pPr>
          </w:p>
        </w:tc>
      </w:tr>
      <w:tr>
        <w:trPr>
          <w:trHeight w:val="359"/>
        </w:trPr>
        <w:tc>
          <w:tcPr>
            <w:tcW w:w="8020" w:type="dxa"/>
            <w:vAlign w:val="bottom"/>
            <w:gridSpan w:val="2"/>
          </w:tcPr>
          <w:p>
            <w:pPr>
              <w:spacing w:after="0"/>
              <w:rPr>
                <w:sz w:val="20"/>
                <w:szCs w:val="20"/>
                <w:color w:val="auto"/>
              </w:rPr>
            </w:pPr>
            <w:r>
              <w:rPr>
                <w:rFonts w:ascii="Arial" w:cs="Arial" w:eastAsia="Arial" w:hAnsi="Arial"/>
                <w:sz w:val="18"/>
                <w:szCs w:val="18"/>
                <w:color w:val="auto"/>
              </w:rPr>
              <w:t>Timothy P. Walbert</w:t>
            </w:r>
            <w:r>
              <w:rPr>
                <w:rFonts w:ascii="Arial" w:cs="Arial" w:eastAsia="Arial" w:hAnsi="Arial"/>
                <w:sz w:val="26"/>
                <w:szCs w:val="26"/>
                <w:color w:val="auto"/>
                <w:vertAlign w:val="superscript"/>
              </w:rPr>
              <w:t>(3)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771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660" w:right="100" w:hanging="544"/>
        <w:spacing w:after="0" w:line="25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represent the aggregate grant date fair value of the stock options awarded to our named executive officers during fiscal year 2023, calculated in accordance with Financial Accounting Standards Board, or FASB, Accounting</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Standards Codification, or ASC, Topic 718. The assumptions used in calculating the grant date fair value of the awards reported in this column are set forth in Note 9 to our audited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w:t>
      </w:r>
    </w:p>
    <w:p>
      <w:pPr>
        <w:spacing w:after="0" w:line="4" w:lineRule="exact"/>
        <w:rPr>
          <w:sz w:val="20"/>
          <w:szCs w:val="20"/>
          <w:color w:val="auto"/>
        </w:rPr>
      </w:pPr>
    </w:p>
    <w:p>
      <w:pPr>
        <w:ind w:left="660" w:right="340" w:hanging="544"/>
        <w:spacing w:after="0" w:line="23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Smith provided us limited consulting services in 2023 for which he was granted an option to purchase 30,000 shares of our common stock with an exercise price of $2.93 and which vested in equal parts on May 20, 2023 and August 20, 2023.</w:t>
      </w:r>
    </w:p>
    <w:p>
      <w:pPr>
        <w:spacing w:after="0" w:line="1" w:lineRule="exact"/>
        <w:rPr>
          <w:rFonts w:ascii="Arial" w:cs="Arial" w:eastAsia="Arial" w:hAnsi="Arial"/>
          <w:sz w:val="18"/>
          <w:szCs w:val="18"/>
          <w:color w:val="auto"/>
        </w:rPr>
      </w:pPr>
    </w:p>
    <w:p>
      <w:pPr>
        <w:ind w:left="660" w:hanging="544"/>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Walbert was appointed in 2024 and therefore received no compensation for his service as a director in 2023.</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0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Effective upon the closing of this offering, our non-employee directors will be compensated in accordance with our non-employee director compensation program, or the Director Compensation Program. Pursuant to the Director Compensation Program, our non-employee directors will receive cash compensation, paid quarterly in arrears, as follows:</w:t>
      </w:r>
    </w:p>
    <w:p>
      <w:pPr>
        <w:spacing w:after="0" w:line="74"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Each non-employee director will receive a cash retainer in the amount of $      per year.</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500" w:type="dxa"/>
            <w:vAlign w:val="bottom"/>
          </w:tcPr>
          <w:p>
            <w:pPr>
              <w:ind w:left="80"/>
              <w:spacing w:after="0"/>
              <w:rPr>
                <w:sz w:val="20"/>
                <w:szCs w:val="20"/>
                <w:color w:val="auto"/>
              </w:rPr>
            </w:pPr>
            <w:r>
              <w:rPr>
                <w:rFonts w:ascii="Arial" w:cs="Arial" w:eastAsia="Arial" w:hAnsi="Arial"/>
                <w:sz w:val="18"/>
                <w:szCs w:val="18"/>
                <w:color w:val="auto"/>
              </w:rPr>
              <w:t xml:space="preserve">The independent Chair of the board will receive an additional cash retainer of $ </w:t>
            </w:r>
          </w:p>
        </w:tc>
        <w:tc>
          <w:tcPr>
            <w:tcW w:w="200" w:type="dxa"/>
            <w:vAlign w:val="bottom"/>
          </w:tcPr>
          <w:p>
            <w:pPr>
              <w:ind w:left="40"/>
              <w:spacing w:after="0"/>
              <w:rPr>
                <w:sz w:val="20"/>
                <w:szCs w:val="20"/>
                <w:color w:val="auto"/>
              </w:rPr>
            </w:pPr>
            <w:r>
              <w:rPr>
                <w:rFonts w:ascii="Arial" w:cs="Arial" w:eastAsia="Arial" w:hAnsi="Arial"/>
                <w:sz w:val="18"/>
                <w:szCs w:val="18"/>
                <w:color w:val="auto"/>
                <w:w w:val="77"/>
              </w:rPr>
              <w:t> </w:t>
            </w:r>
          </w:p>
        </w:tc>
        <w:tc>
          <w:tcPr>
            <w:tcW w:w="3440" w:type="dxa"/>
            <w:vAlign w:val="bottom"/>
          </w:tcPr>
          <w:p>
            <w:pPr>
              <w:ind w:left="60"/>
              <w:spacing w:after="0"/>
              <w:rPr>
                <w:sz w:val="20"/>
                <w:szCs w:val="20"/>
                <w:color w:val="auto"/>
              </w:rPr>
            </w:pPr>
            <w:r>
              <w:rPr>
                <w:rFonts w:ascii="Arial" w:cs="Arial" w:eastAsia="Arial" w:hAnsi="Arial"/>
                <w:sz w:val="18"/>
                <w:szCs w:val="18"/>
                <w:color w:val="auto"/>
              </w:rPr>
              <w:t>per year.</w:t>
            </w: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500" w:type="dxa"/>
            <w:vAlign w:val="bottom"/>
          </w:tcPr>
          <w:p>
            <w:pPr>
              <w:ind w:left="80"/>
              <w:spacing w:after="0"/>
              <w:rPr>
                <w:sz w:val="20"/>
                <w:szCs w:val="20"/>
                <w:color w:val="auto"/>
              </w:rPr>
            </w:pPr>
            <w:r>
              <w:rPr>
                <w:rFonts w:ascii="Arial" w:cs="Arial" w:eastAsia="Arial" w:hAnsi="Arial"/>
                <w:sz w:val="18"/>
                <w:szCs w:val="18"/>
                <w:color w:val="auto"/>
              </w:rPr>
              <w:t xml:space="preserve">The Chair of the Audit Committee will receive a cash retainer in the amount of $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3440" w:type="dxa"/>
            <w:vAlign w:val="bottom"/>
          </w:tcPr>
          <w:p>
            <w:pPr>
              <w:ind w:left="120"/>
              <w:spacing w:after="0"/>
              <w:rPr>
                <w:sz w:val="20"/>
                <w:szCs w:val="20"/>
                <w:color w:val="auto"/>
              </w:rPr>
            </w:pPr>
            <w:r>
              <w:rPr>
                <w:rFonts w:ascii="Arial" w:cs="Arial" w:eastAsia="Arial" w:hAnsi="Arial"/>
                <w:sz w:val="18"/>
                <w:szCs w:val="18"/>
                <w:color w:val="auto"/>
              </w:rPr>
              <w:t>per year for such Chair’s service on the</w:t>
            </w:r>
          </w:p>
        </w:tc>
      </w:tr>
      <w:tr>
        <w:trPr>
          <w:trHeight w:val="203"/>
        </w:trPr>
        <w:tc>
          <w:tcPr>
            <w:tcW w:w="140" w:type="dxa"/>
            <w:vAlign w:val="bottom"/>
          </w:tcPr>
          <w:p>
            <w:pPr>
              <w:spacing w:after="0"/>
              <w:rPr>
                <w:sz w:val="17"/>
                <w:szCs w:val="17"/>
                <w:color w:val="auto"/>
              </w:rPr>
            </w:pPr>
          </w:p>
        </w:tc>
        <w:tc>
          <w:tcPr>
            <w:tcW w:w="1014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Audit Committee. Each non-Chair member of the Audit Committee will receive a cash retainer in the amount of $      per year</w:t>
            </w:r>
          </w:p>
        </w:tc>
      </w:tr>
      <w:tr>
        <w:trPr>
          <w:trHeight w:val="239"/>
        </w:trPr>
        <w:tc>
          <w:tcPr>
            <w:tcW w:w="140" w:type="dxa"/>
            <w:vAlign w:val="bottom"/>
          </w:tcPr>
          <w:p>
            <w:pPr>
              <w:spacing w:after="0"/>
              <w:rPr>
                <w:sz w:val="20"/>
                <w:szCs w:val="20"/>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for such member’s service on the Audit Committee.</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The Chair of the Compensation Committee will receive a cash retainer in the amount of $      per year for such Chair’s service</w:t>
            </w:r>
          </w:p>
        </w:tc>
      </w:tr>
      <w:tr>
        <w:trPr>
          <w:trHeight w:val="203"/>
        </w:trPr>
        <w:tc>
          <w:tcPr>
            <w:tcW w:w="140" w:type="dxa"/>
            <w:vAlign w:val="bottom"/>
          </w:tcPr>
          <w:p>
            <w:pPr>
              <w:spacing w:after="0"/>
              <w:rPr>
                <w:sz w:val="17"/>
                <w:szCs w:val="17"/>
                <w:color w:val="auto"/>
              </w:rPr>
            </w:pPr>
          </w:p>
        </w:tc>
        <w:tc>
          <w:tcPr>
            <w:tcW w:w="1014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on the Compensation Committee. Each non-Chair member of the Compensation Committee will receive a cash retainer in the</w:t>
            </w:r>
          </w:p>
        </w:tc>
      </w:tr>
      <w:tr>
        <w:trPr>
          <w:trHeight w:val="239"/>
        </w:trPr>
        <w:tc>
          <w:tcPr>
            <w:tcW w:w="140" w:type="dxa"/>
            <w:vAlign w:val="bottom"/>
          </w:tcPr>
          <w:p>
            <w:pPr>
              <w:spacing w:after="0"/>
              <w:rPr>
                <w:sz w:val="20"/>
                <w:szCs w:val="20"/>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amount of $      per year for such member’s service on the Compensation Committee.</w:t>
            </w: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The Chair of the Nominating and Governance Committee will receive a cash retainer in the amount of $      per year for such</w:t>
            </w:r>
          </w:p>
        </w:tc>
      </w:tr>
      <w:tr>
        <w:trPr>
          <w:trHeight w:val="221"/>
        </w:trPr>
        <w:tc>
          <w:tcPr>
            <w:tcW w:w="140" w:type="dxa"/>
            <w:vAlign w:val="bottom"/>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Chair’s service on the Nominating and Governance Committee. Each non-Chair member of the Nominating and Governance</w:t>
            </w:r>
          </w:p>
        </w:tc>
      </w:tr>
    </w:tbl>
    <w:p>
      <w:pPr>
        <w:ind w:left="880" w:right="560"/>
        <w:spacing w:after="0" w:line="250" w:lineRule="auto"/>
        <w:rPr>
          <w:sz w:val="20"/>
          <w:szCs w:val="20"/>
          <w:color w:val="auto"/>
        </w:rPr>
      </w:pPr>
      <w:r>
        <w:rPr>
          <w:rFonts w:ascii="Arial" w:cs="Arial" w:eastAsia="Arial" w:hAnsi="Arial"/>
          <w:sz w:val="18"/>
          <w:szCs w:val="18"/>
          <w:color w:val="auto"/>
        </w:rPr>
        <w:t>Committee will receive a cash retainer in the amount of $    per year for such member’s service on the Nominating and Governance Committee.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040"/>
          </w:cols>
          <w:pgMar w:left="320" w:top="455" w:right="5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officers for the year ended December 31, 2023, are:</w:t>
      </w:r>
    </w:p>
    <w:p>
      <w:pPr>
        <w:spacing w:after="0" w:line="117" w:lineRule="exact"/>
        <w:rPr>
          <w:sz w:val="20"/>
          <w:szCs w:val="20"/>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Gary D. Glick, Ph.D., our President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Kira M. Schwartz, our Executive Vice President, General Counsel and Secretary;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Stephen Soisson, Ph.D., our Executive Vice President, Protein Therapeutics and Structural Biology.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0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The following table sets forth certain information with respect to the compensation paid to our named executive officers for the fiscal year ended December 31, 2023:</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68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Bonus</w:t>
            </w:r>
          </w:p>
        </w:tc>
        <w:tc>
          <w:tcPr>
            <w:tcW w:w="14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Incentive Plan</w:t>
            </w: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Compensation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60" w:type="dxa"/>
            <w:vAlign w:val="bottom"/>
          </w:tcPr>
          <w:p>
            <w:pPr>
              <w:jc w:val="right"/>
              <w:ind w:right="139"/>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(1)</w:t>
            </w:r>
          </w:p>
        </w:tc>
        <w:tc>
          <w:tcPr>
            <w:tcW w:w="260" w:type="dxa"/>
            <w:vAlign w:val="bottom"/>
          </w:tcPr>
          <w:p>
            <w:pPr>
              <w:spacing w:after="0"/>
              <w:rPr>
                <w:sz w:val="15"/>
                <w:szCs w:val="15"/>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8"/>
                <w:szCs w:val="18"/>
                <w:b w:val="1"/>
                <w:bCs w:val="1"/>
                <w:color w:val="auto"/>
                <w:vertAlign w:val="superscript"/>
              </w:rPr>
              <w:t>(2)</w:t>
            </w:r>
          </w:p>
        </w:tc>
        <w:tc>
          <w:tcPr>
            <w:tcW w:w="106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(3)</w:t>
            </w:r>
          </w:p>
        </w:tc>
        <w:tc>
          <w:tcPr>
            <w:tcW w:w="2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0"/>
        </w:trPr>
        <w:tc>
          <w:tcPr>
            <w:tcW w:w="4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Gary D. Glick, Ph.D.</w:t>
            </w:r>
          </w:p>
        </w:tc>
        <w:tc>
          <w:tcPr>
            <w:tcW w:w="4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4"/>
              </w:rPr>
              <w:t>2023</w:t>
            </w: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515,000</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246,234</w:t>
            </w: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800"/>
              <w:spacing w:after="0" w:line="189" w:lineRule="exact"/>
              <w:rPr>
                <w:sz w:val="20"/>
                <w:szCs w:val="20"/>
                <w:color w:val="auto"/>
              </w:rPr>
            </w:pPr>
            <w:r>
              <w:rPr>
                <w:rFonts w:ascii="Arial" w:cs="Arial" w:eastAsia="Arial" w:hAnsi="Arial"/>
                <w:sz w:val="18"/>
                <w:szCs w:val="18"/>
                <w:color w:val="auto"/>
                <w:w w:val="88"/>
              </w:rPr>
              <w:t>— </w:t>
            </w: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w w:val="95"/>
              </w:rPr>
              <w:t>761,234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360"/>
              <w:spacing w:after="0" w:line="202" w:lineRule="exact"/>
              <w:rPr>
                <w:sz w:val="20"/>
                <w:szCs w:val="20"/>
                <w:color w:val="auto"/>
              </w:rPr>
            </w:pPr>
            <w:r>
              <w:rPr>
                <w:rFonts w:ascii="Arial" w:cs="Arial" w:eastAsia="Arial" w:hAnsi="Arial"/>
                <w:sz w:val="18"/>
                <w:szCs w:val="18"/>
                <w:i w:val="1"/>
                <w:iCs w:val="1"/>
                <w:color w:val="auto"/>
              </w:rPr>
              <w:t>President and Chief Executive Officer</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Kira M. Schwartz</w:t>
            </w:r>
          </w:p>
        </w:tc>
        <w:tc>
          <w:tcPr>
            <w:tcW w:w="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2023</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412,000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175,100</w:t>
            </w:r>
          </w:p>
        </w:tc>
        <w:tc>
          <w:tcPr>
            <w:tcW w:w="14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2,923</w:t>
            </w:r>
          </w:p>
        </w:tc>
        <w:tc>
          <w:tcPr>
            <w:tcW w:w="8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590,023</w:t>
            </w:r>
          </w:p>
        </w:tc>
        <w:tc>
          <w:tcPr>
            <w:tcW w:w="0" w:type="dxa"/>
            <w:vAlign w:val="bottom"/>
          </w:tcPr>
          <w:p>
            <w:pPr>
              <w:spacing w:after="0"/>
              <w:rPr>
                <w:sz w:val="1"/>
                <w:szCs w:val="1"/>
                <w:color w:val="auto"/>
              </w:rPr>
            </w:pPr>
          </w:p>
        </w:tc>
      </w:tr>
      <w:tr>
        <w:trPr>
          <w:trHeight w:val="186"/>
        </w:trPr>
        <w:tc>
          <w:tcPr>
            <w:tcW w:w="4620" w:type="dxa"/>
            <w:vAlign w:val="bottom"/>
            <w:gridSpan w:val="2"/>
          </w:tcPr>
          <w:p>
            <w:pPr>
              <w:ind w:left="360"/>
              <w:spacing w:after="0" w:line="186" w:lineRule="exact"/>
              <w:rPr>
                <w:sz w:val="20"/>
                <w:szCs w:val="20"/>
                <w:color w:val="auto"/>
              </w:rPr>
            </w:pPr>
            <w:r>
              <w:rPr>
                <w:rFonts w:ascii="Arial" w:cs="Arial" w:eastAsia="Arial" w:hAnsi="Arial"/>
                <w:sz w:val="18"/>
                <w:szCs w:val="18"/>
                <w:i w:val="1"/>
                <w:iCs w:val="1"/>
                <w:color w:val="auto"/>
              </w:rPr>
              <w:t>Executive Vice President, General Counsel and</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20" w:type="dxa"/>
            <w:vAlign w:val="bottom"/>
            <w:gridSpan w:val="2"/>
          </w:tcPr>
          <w:p>
            <w:pPr>
              <w:ind w:left="540"/>
              <w:spacing w:after="0"/>
              <w:rPr>
                <w:sz w:val="20"/>
                <w:szCs w:val="20"/>
                <w:color w:val="auto"/>
              </w:rPr>
            </w:pPr>
            <w:r>
              <w:rPr>
                <w:rFonts w:ascii="Arial" w:cs="Arial" w:eastAsia="Arial" w:hAnsi="Arial"/>
                <w:sz w:val="18"/>
                <w:szCs w:val="18"/>
                <w:i w:val="1"/>
                <w:iCs w:val="1"/>
                <w:color w:val="auto"/>
              </w:rPr>
              <w:t>Secretary</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Soisson, Ph.D.</w:t>
            </w:r>
          </w:p>
        </w:tc>
        <w:tc>
          <w:tcPr>
            <w:tcW w:w="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2023</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412,000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153,213</w:t>
            </w:r>
          </w:p>
        </w:tc>
        <w:tc>
          <w:tcPr>
            <w:tcW w:w="14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3,474</w:t>
            </w:r>
          </w:p>
        </w:tc>
        <w:tc>
          <w:tcPr>
            <w:tcW w:w="8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568,687</w:t>
            </w:r>
          </w:p>
        </w:tc>
        <w:tc>
          <w:tcPr>
            <w:tcW w:w="0" w:type="dxa"/>
            <w:vAlign w:val="bottom"/>
          </w:tcPr>
          <w:p>
            <w:pPr>
              <w:spacing w:after="0"/>
              <w:rPr>
                <w:sz w:val="1"/>
                <w:szCs w:val="1"/>
                <w:color w:val="auto"/>
              </w:rPr>
            </w:pPr>
          </w:p>
        </w:tc>
      </w:tr>
      <w:tr>
        <w:trPr>
          <w:trHeight w:val="186"/>
        </w:trPr>
        <w:tc>
          <w:tcPr>
            <w:tcW w:w="4620" w:type="dxa"/>
            <w:vAlign w:val="bottom"/>
            <w:gridSpan w:val="2"/>
          </w:tcPr>
          <w:p>
            <w:pPr>
              <w:ind w:left="360"/>
              <w:spacing w:after="0" w:line="186" w:lineRule="exact"/>
              <w:rPr>
                <w:sz w:val="20"/>
                <w:szCs w:val="20"/>
                <w:color w:val="auto"/>
              </w:rPr>
            </w:pPr>
            <w:r>
              <w:rPr>
                <w:rFonts w:ascii="Arial" w:cs="Arial" w:eastAsia="Arial" w:hAnsi="Arial"/>
                <w:sz w:val="18"/>
                <w:szCs w:val="18"/>
                <w:i w:val="1"/>
                <w:iCs w:val="1"/>
                <w:color w:val="auto"/>
              </w:rPr>
              <w:t>Executive Vice President, Protein Therapeutics</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ind w:left="540"/>
              <w:spacing w:after="0"/>
              <w:rPr>
                <w:sz w:val="20"/>
                <w:szCs w:val="20"/>
                <w:color w:val="auto"/>
              </w:rPr>
            </w:pPr>
            <w:r>
              <w:rPr>
                <w:rFonts w:ascii="Arial" w:cs="Arial" w:eastAsia="Arial" w:hAnsi="Arial"/>
                <w:sz w:val="18"/>
                <w:szCs w:val="18"/>
                <w:i w:val="1"/>
                <w:iCs w:val="1"/>
                <w:color w:val="auto"/>
              </w:rPr>
              <w:t>and Structural Biology</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660" w:hanging="544"/>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reflect bonuses earned by each executive in 2023, which were paid in early 2024.</w:t>
      </w:r>
    </w:p>
    <w:p>
      <w:pPr>
        <w:spacing w:after="0" w:line="13" w:lineRule="exact"/>
        <w:rPr>
          <w:rFonts w:ascii="Arial" w:cs="Arial" w:eastAsia="Arial" w:hAnsi="Arial"/>
          <w:sz w:val="18"/>
          <w:szCs w:val="18"/>
          <w:color w:val="auto"/>
        </w:rPr>
      </w:pPr>
    </w:p>
    <w:p>
      <w:pPr>
        <w:ind w:left="660" w:right="600" w:hanging="544"/>
        <w:spacing w:after="0" w:line="23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reported represent the annual bonus earned based on certain criteria determined by the board of directors and communicated to Dr. Glick during the year ended December 31, 2023.</w:t>
      </w:r>
    </w:p>
    <w:p>
      <w:pPr>
        <w:spacing w:after="0" w:line="1" w:lineRule="exact"/>
        <w:rPr>
          <w:rFonts w:ascii="Arial" w:cs="Arial" w:eastAsia="Arial" w:hAnsi="Arial"/>
          <w:sz w:val="18"/>
          <w:szCs w:val="18"/>
          <w:color w:val="auto"/>
        </w:rPr>
      </w:pPr>
    </w:p>
    <w:p>
      <w:pPr>
        <w:ind w:left="660" w:right="180" w:hanging="544"/>
        <w:spacing w:after="0" w:line="242"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 for Ms. Schwartz reflects $645 in premiums for long-term disability insurance, $1,191 in premiums for life insurance, $700 in phone reimbursement and $387 in professional fees. Amount for Dr. Soisson reflects $645 in premiums for long-term disability insurance, $2,209 in premiums for life insurance and $620 in phone reimbursement.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0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Below are descriptions of employment agreements or offer letters with our named executive officers. For a discussion of the severance pay and other benefits to be provided in connection with a termination of employment and/or a change in control of the Company under the arrangements with our executive officers, see the subsection titled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 ” below. We intend to enter into new executive employment agreements with our named executive officers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closing of this offering.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Gary D. Glick, Ph.D.</w:t>
      </w:r>
    </w:p>
    <w:p>
      <w:pPr>
        <w:spacing w:after="0" w:line="102" w:lineRule="exact"/>
        <w:rPr>
          <w:sz w:val="20"/>
          <w:szCs w:val="20"/>
          <w:color w:val="auto"/>
        </w:rPr>
      </w:pPr>
    </w:p>
    <w:p>
      <w:pPr>
        <w:ind w:left="120" w:right="320" w:firstLine="551"/>
        <w:spacing w:after="0" w:line="275" w:lineRule="auto"/>
        <w:rPr>
          <w:sz w:val="20"/>
          <w:szCs w:val="20"/>
          <w:color w:val="auto"/>
        </w:rPr>
      </w:pPr>
      <w:r>
        <w:rPr>
          <w:rFonts w:ascii="Arial" w:cs="Arial" w:eastAsia="Arial" w:hAnsi="Arial"/>
          <w:sz w:val="17"/>
          <w:szCs w:val="17"/>
          <w:color w:val="auto"/>
        </w:rPr>
        <w:t>On August 30, 2021, we entered into an executive employment agreement with Dr. Glick, or the Glick Agreement, pursuant to which Dr. Glick agreed to serve as our President and Chief Executive Officer. The Glick Agreement requires Dr. Glick to devote no less than 80% of his business time to providing services to us on an at-will employment basis. The Glick Agreement provides for an initial</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base salary of $515,000, as may be increased from time to time, as determined by the board of directors in its sole discretion. Dr. Glick is also eligible to earn an annual bonus of up to 45% of his base salary, subject to the satisfaction of certain criteria determined by the board of directors, in its sole discretion, and subject to Dr. Glick’s continued service through the date of payment. Dr. Glick is eligible to participate in all employee benefit plans and programs available to our employees, including our equity incentive plan, subject to the terms of such plans. We also agreed to reimburse Dr. Glick for reasonable travel, entertainment and other expenses incurred in the furtherance of or in connection with the performance of Dr. Glick’s duties under the Glick Agreement. Dr. Glick is entitled to certain termination benefits pursuant to the Glick Agreement, as described in greater detail in the subsection titled “—</w:t>
      </w:r>
      <w:r>
        <w:rPr>
          <w:rFonts w:ascii="Arial" w:cs="Arial" w:eastAsia="Arial" w:hAnsi="Arial"/>
          <w:sz w:val="18"/>
          <w:szCs w:val="18"/>
          <w:i w:val="1"/>
          <w:iCs w:val="1"/>
          <w:color w:val="auto"/>
        </w:rPr>
        <w:t>Potential Payments upon Termination or Change</w:t>
      </w:r>
      <w:r>
        <w:rPr>
          <w:rFonts w:ascii="Arial" w:cs="Arial" w:eastAsia="Arial" w:hAnsi="Arial"/>
          <w:sz w:val="18"/>
          <w:szCs w:val="18"/>
          <w:color w:val="auto"/>
        </w:rPr>
        <w:t xml:space="preserve"> </w:t>
      </w:r>
      <w:r>
        <w:rPr>
          <w:rFonts w:ascii="Arial" w:cs="Arial" w:eastAsia="Arial" w:hAnsi="Arial"/>
          <w:sz w:val="18"/>
          <w:szCs w:val="18"/>
          <w:i w:val="1"/>
          <w:iCs w:val="1"/>
          <w:color w:val="auto"/>
        </w:rPr>
        <w:t>in Control</w:t>
      </w:r>
      <w:r>
        <w:rPr>
          <w:rFonts w:ascii="Arial" w:cs="Arial" w:eastAsia="Arial" w:hAnsi="Arial"/>
          <w:sz w:val="18"/>
          <w:szCs w:val="18"/>
          <w:color w:val="auto"/>
        </w:rPr>
        <w:t>” below. We also entered into a stock restriction agreement with Dr. Glick as described in more detail in the section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titled “</w:t>
      </w:r>
      <w:r>
        <w:rPr>
          <w:rFonts w:ascii="Arial" w:cs="Arial" w:eastAsia="Arial" w:hAnsi="Arial"/>
          <w:sz w:val="18"/>
          <w:szCs w:val="18"/>
          <w:i w:val="1"/>
          <w:iCs w:val="1"/>
          <w:color w:val="auto"/>
        </w:rPr>
        <w:t>Certain Relationships and Related Person Transactions—Founder Stock Purchase Agreement and Stock Restriction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jc w:val="both"/>
        <w:ind w:left="120" w:right="260" w:firstLine="551"/>
        <w:spacing w:after="0" w:line="253" w:lineRule="auto"/>
        <w:rPr>
          <w:sz w:val="20"/>
          <w:szCs w:val="20"/>
          <w:color w:val="auto"/>
        </w:rPr>
      </w:pPr>
      <w:r>
        <w:rPr>
          <w:rFonts w:ascii="Arial" w:cs="Arial" w:eastAsia="Arial" w:hAnsi="Arial"/>
          <w:sz w:val="18"/>
          <w:szCs w:val="18"/>
          <w:color w:val="auto"/>
        </w:rPr>
        <w:t>Dr. Glick has entered into a Confidentiality and Assignment of Inventions Agreement that contains various restrictive covenants, including confidentiality, non-competition and non-solicitation, and which also provides for the assignment of certain intellectual property rights from Dr. Glick to us, among other things.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Kira M. Schwartz</w:t>
      </w:r>
    </w:p>
    <w:p>
      <w:pPr>
        <w:spacing w:after="0" w:line="102" w:lineRule="exact"/>
        <w:rPr>
          <w:sz w:val="20"/>
          <w:szCs w:val="20"/>
          <w:color w:val="auto"/>
        </w:rPr>
      </w:pPr>
    </w:p>
    <w:p>
      <w:pPr>
        <w:ind w:left="120" w:firstLine="551"/>
        <w:spacing w:after="0" w:line="230" w:lineRule="auto"/>
        <w:rPr>
          <w:sz w:val="20"/>
          <w:szCs w:val="20"/>
          <w:color w:val="auto"/>
        </w:rPr>
      </w:pPr>
      <w:r>
        <w:rPr>
          <w:rFonts w:ascii="Arial" w:cs="Arial" w:eastAsia="Arial" w:hAnsi="Arial"/>
          <w:sz w:val="18"/>
          <w:szCs w:val="18"/>
          <w:color w:val="auto"/>
        </w:rPr>
        <w:t>On August 19, 2021, we entered into an offer letter with Ms. Schwartz, or the Schwartz Offer Letter, pursuant to which Ms. Schwartz agreed to serve as our Executive Vice President and General Counsel. The Schwartz Offer Letter provides for Ms. Schwartz’s service to us on an at-will employment basis. The Schwartz Offer Letter provides for an initial base salary of $400,000, as may be increased from time to time. The Schwartz Offer Letter provided for the payment of a one-time signing bonus of $25,000. Ms. Schwartz is also eligible to earn an annual target bonus of 40% of her annual salary, as determined by the board of directors, in its sole discretion, and subject to Ms. Schwartz’s continued service through the date of payment. Ms. Schwartz is eligible to participate in the employee benefit plans and programs available to our employees, including our equity incentive plan, subject to the terms of such plans. The Schwartz Offer Letter also provided for an initial option grant and an additional option grant after a financing, each of which is reflected in the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w:t>
      </w:r>
      <w:r>
        <w:rPr>
          <w:rFonts w:ascii="Arial" w:cs="Arial" w:eastAsia="Arial" w:hAnsi="Arial"/>
          <w:sz w:val="18"/>
          <w:szCs w:val="18"/>
          <w:i w:val="1"/>
          <w:iCs w:val="1"/>
          <w:color w:val="auto"/>
        </w:rPr>
        <w:t>Equity Awards at 2023 Fiscal Year-End</w:t>
      </w:r>
      <w:r>
        <w:rPr>
          <w:rFonts w:ascii="Arial" w:cs="Arial" w:eastAsia="Arial" w:hAnsi="Arial"/>
          <w:sz w:val="26"/>
          <w:szCs w:val="26"/>
          <w:color w:val="auto"/>
          <w:vertAlign w:val="superscript"/>
        </w:rPr>
        <w:t xml:space="preserve"> </w:t>
      </w:r>
      <w:r>
        <w:rPr>
          <w:rFonts w:ascii="Arial" w:cs="Arial" w:eastAsia="Arial" w:hAnsi="Arial"/>
          <w:sz w:val="18"/>
          <w:szCs w:val="18"/>
          <w:color w:val="auto"/>
        </w:rPr>
        <w:t>” table below. We also agreed to reimburse Ms. Schwartz for travel, entertainment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expenses reasonably incurred in connection with the performance of Ms. Schwartz’s duties under the Schwartz Offer Letter, in addition to certain technology costs and capped reimbursement for certain professional association dues. Ms. Schwartz is entitled to certain termination benefits pursuant to the Schwartz Offer Letter, as described in greater detail in the subsection titled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below.</w:t>
      </w:r>
    </w:p>
    <w:p>
      <w:pPr>
        <w:spacing w:after="0" w:line="182"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Ms. Schwartz has entered into a Confidentiality and Assignment of Inventions Agreement that contains various restrictive covenants, including confidentiality, non-competition and non-solicitation, and which also provides for the assignment of certain intellectual property rights from Ms. Schwartz to us, among other things.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Stephen Soisson, Ph.D.</w:t>
      </w:r>
    </w:p>
    <w:p>
      <w:pPr>
        <w:spacing w:after="0" w:line="102"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On September 21, 2021, we entered into an offer letter with Dr. Soisson, or the Soisson Offer Letter, pursuant to which Dr. Soisson agreed to serve initially as our Executive Vice President, Structural and Chemical Biology. The Soisson Offer Letter provides for</w:t>
      </w:r>
    </w:p>
    <w:p>
      <w:pPr>
        <w:ind w:left="120" w:right="380"/>
        <w:spacing w:after="0" w:line="250" w:lineRule="auto"/>
        <w:rPr>
          <w:sz w:val="20"/>
          <w:szCs w:val="20"/>
          <w:color w:val="auto"/>
        </w:rPr>
      </w:pPr>
      <w:r>
        <w:rPr>
          <w:rFonts w:ascii="Arial" w:cs="Arial" w:eastAsia="Arial" w:hAnsi="Arial"/>
          <w:sz w:val="18"/>
          <w:szCs w:val="18"/>
          <w:color w:val="auto"/>
        </w:rPr>
        <w:t>Dr. Soisson’s service to us on an at-will employment basis. The Soisson Offer Letter provides for an initial base salary of $400,000, as may be increased from time to time, as determined by the board of directors in its sole discretion.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Soisson Offer Letter provided for the payment of a one-time signing bonus of $450,000, payable in two equal installments, the last of which was paid in 2022. Dr. Soisson is also eligible to earn an annual bonus of up to 35% of his annual salary, as determined by the board of directors, in its sole discretion, and subject to Dr. Soisson’s continued service through the date of payment. Dr. Soisson is eligible to participate in the employee benefit plans and programs available to our employees, including our equity incentive plan, subject to the terms of such plans. The Soisson Offer Letter also provided for an initial option grant, which is reflected in the “</w:t>
      </w:r>
      <w:r>
        <w:rPr>
          <w:rFonts w:ascii="Arial" w:cs="Arial" w:eastAsia="Arial" w:hAnsi="Arial"/>
          <w:sz w:val="18"/>
          <w:szCs w:val="18"/>
          <w:i w:val="1"/>
          <w:iCs w:val="1"/>
          <w:color w:val="auto"/>
        </w:rPr>
        <w:t>Outstanding Equity Awards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at 2023 Fiscal Year-End </w:t>
      </w:r>
      <w:r>
        <w:rPr>
          <w:rFonts w:ascii="Arial" w:cs="Arial" w:eastAsia="Arial" w:hAnsi="Arial"/>
          <w:sz w:val="18"/>
          <w:szCs w:val="18"/>
          <w:color w:val="auto"/>
        </w:rPr>
        <w:t>” table below. We also agreed to reimburse Dr. Soisson for travel, entertainment and other business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incurred in connection with the performance of Dr. Soisson’s duties under the Soisson Offer Letter, in addition to certain technology costs and capped reimbursement for certain professional association dues. Dr. Soisson is entitled to certain termination benefits pursuant to the Soisson Offer Letter, as described in greater detail in the subsection titled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w:t>
      </w:r>
      <w:r>
        <w:rPr>
          <w:rFonts w:ascii="Arial" w:cs="Arial" w:eastAsia="Arial" w:hAnsi="Arial"/>
          <w:sz w:val="18"/>
          <w:szCs w:val="18"/>
          <w:color w:val="auto"/>
        </w:rPr>
        <w:t>” below.</w:t>
      </w:r>
    </w:p>
    <w:p>
      <w:pPr>
        <w:spacing w:after="0" w:line="180"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Dr. Soisson has entered into a Confidentiality and Assignment of Inventions Agreement that contains various restrictive covenants, including confidentiality, non-competition and non-solicitation, and which also provides for the assignment of certain intellectual property rights from Dr. Soisson to us, among other things.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Gary D. Glick, Ph.D.</w:t>
      </w:r>
    </w:p>
    <w:p>
      <w:pPr>
        <w:spacing w:after="0" w:line="102"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Dr. Glick is entitled to certain severance benefits pursuant to the Glick Agreement. If Dr. Glick’s employment is terminated for any reason, we are required to pay Dr. Glick any unpaid and accrued salary and vacation pay, reimburse Dr. Glick for any expenses incurred prior to the termination and provide Dr. Glick any vested benefits earned under any of our employee benefit plans. Except as described below, all unvested equity awards held by Dr. Glick at the time of termination will be forfeited or subject to repurchase.</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event that Dr. Glick resigns for good reason (as defined in the Glick Agreement), Dr. Glick will also be entitled to receive, subject to his execution and non-revocation of a general mutual release of claims with us, (i) the full amount of any earned and unpaid annual bonus for the calendar year prior to the calendar year in which the resignation occurs, (ii) an amount equal to the pro rata annual target bonus amount for the calendar year in which the resignation occurs, (iii) an amount equal to 12 months of Dr. Glick’s base salary, payable in 12 equal monthly installments following the date of resignation in accordance with our normal payroll practices and (iv) an amount equal to the premiums for COBRA continuation coverage for up to nine months for Dr. Glick and his dependents. In addition, Dr. Glick would be entitled to the full acceleration of vesting with respect to any and all shares of our capital stock and other equity incentive awards then held by Dr. Glick that are subject to vesting. In the event that Dr. Glick’s employment is terminated without cause (as defined in the Glick Agreement), subject to his execution and non-revocation of a general mutual release of claims with us and his agreement to extend his non-compete period until the 12-month anniversary of the termination, Dr. Glick will also be entitled to the benefits described above (except for those described in clause (i) above). To the extent Dr. Glick is subject to the non-compete provision of his Confidentiality and Assignment of Inventions Agreement following his termination, we would be required to pay him an amount equal to 12 months of his base salary, excluding benefits, bonuses, commissions and any indirect or deferred compensation, in four equal installments during the non-compete period. In the event of Dr. Glick’s death or disability, we would be required to pay Dr. Glick or his estate or legal representative any unpaid and accrued salary and vacation pay, reimbursements for any expenses incurred prior to the termination and vested benefits earned under any of our employee benefit plans, plus the full amount of any earned and unpaid annual bonus for the calendar year prior to the calendar year in which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death or disability occurs, and to accelerate the vesting with respect to 50% of all shares of our capital stock or other equity incentive awards then held by Dr. Glick that are subject to vesting.</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Kira M. Schwartz</w:t>
      </w:r>
    </w:p>
    <w:p>
      <w:pPr>
        <w:spacing w:after="0" w:line="10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In the event that Ms. Schwartz resigns for good reason (as defined in the Schwartz Offer Letter), Ms. Schwartz will be entitled to receive, subject to her execution and non-revocation of a release and severance agreement with us, (i) 12 months of continuation of Ms. Schwartz’s base salary payable in accordance with our normal payroll practices and (ii) if eligible, reimbursement for COBRA continuation coverage for up to twelve months if elected by Ms. Schwartz. In the event that Ms. Schwartz’s employment is terminated without cause (as defined in the Schwartz Offer Letter), subject to her execution and non-revocation of a release and severance agreement with us and her agreement to extend her non-compete period until the 12-month anniversary of the termination, Ms. Schwartz will also be entitled to the benefits described above.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Stephen Soisson, Ph.D.</w:t>
      </w:r>
    </w:p>
    <w:p>
      <w:pPr>
        <w:spacing w:after="0" w:line="210" w:lineRule="exact"/>
        <w:rPr>
          <w:sz w:val="20"/>
          <w:szCs w:val="20"/>
          <w:color w:val="auto"/>
        </w:rPr>
      </w:pPr>
    </w:p>
    <w:p>
      <w:pPr>
        <w:ind w:left="120" w:right="80" w:firstLine="551"/>
        <w:spacing w:after="0" w:line="259" w:lineRule="auto"/>
        <w:rPr>
          <w:sz w:val="20"/>
          <w:szCs w:val="20"/>
          <w:color w:val="auto"/>
        </w:rPr>
      </w:pPr>
      <w:r>
        <w:rPr>
          <w:rFonts w:ascii="Arial" w:cs="Arial" w:eastAsia="Arial" w:hAnsi="Arial"/>
          <w:sz w:val="17"/>
          <w:szCs w:val="17"/>
          <w:color w:val="auto"/>
        </w:rPr>
        <w:t>In the event that Dr. Soisson resigns for good reason or is terminated by us without cause (each as defined in the Soisson Offer Letter), Dr. Soisson will be entitled to receive, subject to his execution and non-revocation of a release and severance agreement with us,</w:t>
      </w:r>
    </w:p>
    <w:p>
      <w:pPr>
        <w:spacing w:after="0" w:line="1" w:lineRule="exact"/>
        <w:rPr>
          <w:sz w:val="20"/>
          <w:szCs w:val="20"/>
          <w:color w:val="auto"/>
        </w:rPr>
      </w:pPr>
    </w:p>
    <w:p>
      <w:pPr>
        <w:ind w:left="120" w:right="60" w:hanging="4"/>
        <w:spacing w:after="0" w:line="239" w:lineRule="auto"/>
        <w:tabs>
          <w:tab w:leader="none" w:pos="3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12 months of continuation of Dr. Soisson’s base salary payable in accordance with our normal payroll practices starting on the first payroll following the date that is 55 days after Dr. Soisson’s last date of employment, (ii) an amount equal to the annual bonus earned for any prior full year but not yet paid as of the date on which the termination occurs paid on the first payroll following the date that is 55 days after Dr. Soisson’s last date of employment and (iii) if eligible, reimbursement for COBRA continuation coverage for up to twelve months if elected by Dr. Soisson.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Perquisites, Health, Welfare and Retirement Plans and Benefits</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All of our named executive officers are eligible to participate in our employee benefit plans, including medical, dental, vision, disability, life insurance and 401(k) plans, offered to other employees of the Company.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2023</w:t>
      </w:r>
    </w:p>
    <w:p>
      <w:pPr>
        <w:spacing w:after="0" w:line="10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The following table presents certain information concerning outstanding equity awards held by each of our named executive officers at December 31, 2023:</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1"/>
                <w:szCs w:val="21"/>
                <w:b w:val="1"/>
                <w:bCs w:val="1"/>
                <w:color w:val="auto"/>
                <w:vertAlign w:val="superscript"/>
              </w:rPr>
              <w:t>(1)</w:t>
            </w: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Underlying</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Vesting</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Unexercised</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Unexercised</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640" w:type="dxa"/>
            <w:vAlign w:val="bottom"/>
            <w:vMerge w:val="restart"/>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Grant</w:t>
            </w: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Commencement</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Options (#)</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Options (#)</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Exercise</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780" w:type="dxa"/>
            <w:vAlign w:val="bottom"/>
            <w:tcBorders>
              <w:bottom w:val="single" w:sz="8" w:color="auto"/>
            </w:tcBorders>
          </w:tcPr>
          <w:p>
            <w:pPr>
              <w:jc w:val="right"/>
              <w:ind w:right="168"/>
              <w:spacing w:after="0" w:line="158" w:lineRule="exact"/>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5"/>
                <w:szCs w:val="15"/>
                <w:color w:val="auto"/>
              </w:rPr>
            </w:pPr>
          </w:p>
        </w:tc>
        <w:tc>
          <w:tcPr>
            <w:tcW w:w="1120" w:type="dxa"/>
            <w:vAlign w:val="bottom"/>
            <w:tcBorders>
              <w:bottom w:val="single" w:sz="8" w:color="auto"/>
            </w:tcBorders>
          </w:tcPr>
          <w:p>
            <w:pPr>
              <w:jc w:val="right"/>
              <w:ind w:right="328"/>
              <w:spacing w:after="0" w:line="158" w:lineRule="exact"/>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Exercisable</w:t>
            </w:r>
          </w:p>
        </w:tc>
        <w:tc>
          <w:tcPr>
            <w:tcW w:w="38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Unexercisable</w:t>
            </w:r>
          </w:p>
        </w:tc>
        <w:tc>
          <w:tcPr>
            <w:tcW w:w="36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Gary D. Glick, Ph.D.</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12/10/2021</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4/23/2021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834,184</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417,093</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2.59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12/10/2031</w:t>
            </w:r>
          </w:p>
        </w:tc>
        <w:tc>
          <w:tcPr>
            <w:tcW w:w="0" w:type="dxa"/>
            <w:vAlign w:val="bottom"/>
          </w:tcPr>
          <w:p>
            <w:pPr>
              <w:spacing w:after="0"/>
              <w:rPr>
                <w:sz w:val="1"/>
                <w:szCs w:val="1"/>
                <w:color w:val="auto"/>
              </w:rPr>
            </w:pPr>
          </w:p>
        </w:tc>
      </w:tr>
      <w:tr>
        <w:trPr>
          <w:trHeight w:val="162"/>
        </w:trPr>
        <w:tc>
          <w:tcPr>
            <w:tcW w:w="4040" w:type="dxa"/>
            <w:vAlign w:val="bottom"/>
            <w:gridSpan w:val="2"/>
          </w:tcPr>
          <w:p>
            <w:pPr>
              <w:spacing w:after="0"/>
              <w:rPr>
                <w:sz w:val="20"/>
                <w:szCs w:val="20"/>
                <w:color w:val="auto"/>
              </w:rPr>
            </w:pPr>
            <w:r>
              <w:rPr>
                <w:rFonts w:ascii="Arial" w:cs="Arial" w:eastAsia="Arial" w:hAnsi="Arial"/>
                <w:sz w:val="14"/>
                <w:szCs w:val="14"/>
                <w:i w:val="1"/>
                <w:iCs w:val="1"/>
                <w:color w:val="auto"/>
              </w:rPr>
              <w:t>President and Chief Executive Officer</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6/30/2022</w:t>
            </w:r>
          </w:p>
        </w:tc>
        <w:tc>
          <w:tcPr>
            <w:tcW w:w="1480" w:type="dxa"/>
            <w:vAlign w:val="bottom"/>
            <w:gridSpan w:val="2"/>
          </w:tcPr>
          <w:p>
            <w:pPr>
              <w:jc w:val="right"/>
              <w:ind w:right="360"/>
              <w:spacing w:after="0"/>
              <w:rPr>
                <w:sz w:val="20"/>
                <w:szCs w:val="20"/>
                <w:color w:val="auto"/>
              </w:rPr>
            </w:pPr>
            <w:r>
              <w:rPr>
                <w:rFonts w:ascii="Arial" w:cs="Arial" w:eastAsia="Arial" w:hAnsi="Arial"/>
                <w:sz w:val="14"/>
                <w:szCs w:val="14"/>
                <w:color w:val="auto"/>
              </w:rPr>
              <w:t>8/30/2021</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75,824</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54,160</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2.94</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6/30/2032</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Kira M. Schwartz</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10/7/2021</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9/13/2021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147,955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115,077</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10/7/2031</w:t>
            </w:r>
          </w:p>
        </w:tc>
        <w:tc>
          <w:tcPr>
            <w:tcW w:w="0" w:type="dxa"/>
            <w:vAlign w:val="bottom"/>
          </w:tcPr>
          <w:p>
            <w:pPr>
              <w:spacing w:after="0"/>
              <w:rPr>
                <w:sz w:val="1"/>
                <w:szCs w:val="1"/>
                <w:color w:val="auto"/>
              </w:rPr>
            </w:pPr>
          </w:p>
        </w:tc>
      </w:tr>
      <w:tr>
        <w:trPr>
          <w:trHeight w:val="162"/>
        </w:trPr>
        <w:tc>
          <w:tcPr>
            <w:tcW w:w="4040" w:type="dxa"/>
            <w:vAlign w:val="bottom"/>
            <w:gridSpan w:val="2"/>
          </w:tcPr>
          <w:p>
            <w:pPr>
              <w:spacing w:after="0"/>
              <w:rPr>
                <w:sz w:val="20"/>
                <w:szCs w:val="20"/>
                <w:color w:val="auto"/>
              </w:rPr>
            </w:pPr>
            <w:r>
              <w:rPr>
                <w:rFonts w:ascii="Arial" w:cs="Arial" w:eastAsia="Arial" w:hAnsi="Arial"/>
                <w:sz w:val="14"/>
                <w:szCs w:val="14"/>
                <w:i w:val="1"/>
                <w:iCs w:val="1"/>
                <w:color w:val="auto"/>
              </w:rPr>
              <w:t>Executive Vice President, General Counsel and Secretary</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12/10/2021</w:t>
            </w:r>
          </w:p>
        </w:tc>
        <w:tc>
          <w:tcPr>
            <w:tcW w:w="1480" w:type="dxa"/>
            <w:vAlign w:val="bottom"/>
            <w:gridSpan w:val="2"/>
          </w:tcPr>
          <w:p>
            <w:pPr>
              <w:jc w:val="right"/>
              <w:ind w:right="360"/>
              <w:spacing w:after="0"/>
              <w:rPr>
                <w:sz w:val="20"/>
                <w:szCs w:val="20"/>
                <w:color w:val="auto"/>
              </w:rPr>
            </w:pPr>
            <w:r>
              <w:rPr>
                <w:rFonts w:ascii="Arial" w:cs="Arial" w:eastAsia="Arial" w:hAnsi="Arial"/>
                <w:sz w:val="14"/>
                <w:szCs w:val="14"/>
                <w:color w:val="auto"/>
              </w:rPr>
              <w:t>9/13/2021</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48,312</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37,577</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2.59</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12/10/2031</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Stephen Soisson, Ph.D.</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10/7/2021</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10/6/2021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88,826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75,162</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10/7/2031</w:t>
            </w:r>
          </w:p>
        </w:tc>
        <w:tc>
          <w:tcPr>
            <w:tcW w:w="0" w:type="dxa"/>
            <w:vAlign w:val="bottom"/>
          </w:tcPr>
          <w:p>
            <w:pPr>
              <w:spacing w:after="0"/>
              <w:rPr>
                <w:sz w:val="1"/>
                <w:szCs w:val="1"/>
                <w:color w:val="auto"/>
              </w:rPr>
            </w:pPr>
          </w:p>
        </w:tc>
      </w:tr>
      <w:tr>
        <w:trPr>
          <w:trHeight w:val="155"/>
        </w:trPr>
        <w:tc>
          <w:tcPr>
            <w:tcW w:w="40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Executive Vice President, Protein Therapeutics and</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12/10/2021</w:t>
            </w:r>
          </w:p>
        </w:tc>
        <w:tc>
          <w:tcPr>
            <w:tcW w:w="148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10/6/2021</w:t>
            </w: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10,833</w:t>
            </w: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9,167</w:t>
            </w: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2.59</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12/10/2031</w:t>
            </w:r>
          </w:p>
        </w:tc>
        <w:tc>
          <w:tcPr>
            <w:tcW w:w="0" w:type="dxa"/>
            <w:vAlign w:val="bottom"/>
          </w:tcPr>
          <w:p>
            <w:pPr>
              <w:spacing w:after="0"/>
              <w:rPr>
                <w:sz w:val="1"/>
                <w:szCs w:val="1"/>
                <w:color w:val="auto"/>
              </w:rPr>
            </w:pPr>
          </w:p>
        </w:tc>
      </w:tr>
      <w:tr>
        <w:trPr>
          <w:trHeight w:val="188"/>
        </w:trPr>
        <w:tc>
          <w:tcPr>
            <w:tcW w:w="40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Structural Biology</w:t>
            </w:r>
          </w:p>
        </w:tc>
        <w:tc>
          <w:tcPr>
            <w:tcW w:w="11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660" w:right="280" w:hanging="544"/>
        <w:spacing w:after="0" w:line="263" w:lineRule="auto"/>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Each stock option award is subject to the terms of the 2021 Plan. Each stock option vests as follows: 25% of the shares subject to the stock option vested on the one-year anniversary of the vesting commencement date, and the remaining 75% of the shares subject to the stock option vest on a monthly basis thereafter, in each case, subject to the executive’s continuous service relationship with us through each applicable vesting date.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Benefit Plans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Long-Term Incentive Plan</w:t>
      </w:r>
    </w:p>
    <w:p>
      <w:pPr>
        <w:spacing w:after="0" w:line="10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In order to incentivize our employees and other service providers following the closing of this offering, our board of directors and stockholders have adopted the Odyssey Therapeutics, Inc. 2024 Long-Term Incentive Plan, or the 2024 Plan, which will become effective on the date immediately preceding the date on which our common stock is listed (or approved for listing) on Nasdaq. The material terms of the 2024 Plan are summarized below. The purpose of the 2024 Plan is to attract and retain the best available personnel, incentivize service providers, promote the success of our business and strengthen the mutuality of interest between eligible service providers and our stockholders. At the time the 2024 Plan becomes effective, no further grants may be made under the 2021 Plan.</w:t>
      </w:r>
    </w:p>
    <w:p>
      <w:pPr>
        <w:spacing w:after="0" w:line="179"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The 2024 Plan provides for the grant of incentive stock options, or ISOs, within the meaning of Section 422 of the Internal Revenue Code of 1986, as amended, or the Code, to our employees and our parent and subsidiary corporations’ consultants, and for the grant of nonstatutory stock options, or NSOs, stock appreciation rights, restricted stock, restricted stock units, unrestricted stock, performance-based awards and other stock-based awards or cash incentives, to our employees, directors and consultants and any of our affiliates’ employees and consultants.</w:t>
      </w:r>
    </w:p>
    <w:p>
      <w:pPr>
        <w:spacing w:after="0" w:line="176"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common stock that may be issued under the 2024 Plan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exceed        shares of our common stock, plus an additional number of shares not to exceed        shares, consisting of any shares of our common stock subject to outstanding stock options or other stock awards granted under the 2021 Plan that, following the effective date of the 2024 Plan, are forfeited, canceled, reacquired by the Company prior to vesting, expired (whether voluntarily or involuntarily), settled in cash or otherwise satisfied without the issuance of shares, withheld upon exercise of an option or settlement of an award to cover the exercise price or tax withholding, surrendered pursuant to an exchange or otherwise terminated (other than by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exercise). In addition, the number of shares of our common stock that will be reserved for issuance under the 2024 Plan will automatically increase on January 1 of each year for a period of ten years, beginning on           and continuing through           , in an amount equal to  % of the total number of shares of our common stock outstanding on December 31 of the immediately preceding calendar year; provided, however, that our board of directors may act prior to January 1st of a given year to provide that the increase for such year will be a lesser number of shares of our common stock. The maximum number of shares of our common stock that may be issued upon the exercise of ISOs under the 2024 Plan is        shares.</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Shares subject to awards that will be granted under the 2024 Plan that are forfeited, canceled or reacquired by us, or which expire or otherwise terminate without being exercised in full, will not reduce the number of shares available for issuance under the 2024 Plan. The settlement of any portion of an award in cash will not reduce the number of shares available for issuance under the 2024 Plan. Shares withheld under an award to satisfy the exercise, strike or purchase price of an award or to satisfy a tax withholding obligation will not reduce the number of shares that will be available for issuance under the 2024 Plan. With respect to a stock appreciation right, only shares of our common stock that are issued upon settlement of the stock appreciation right will count towards reducing the number of shares available for issuance under the 2024 Plan. If any shares of our common stock issued pursuant to an award are forfeited back to or repurchased or reacquired by us because of a failure to meet a contingency or condition required to vest such shares in the grantee, a right of first refusal, a forfeiture provision or repurchase by us, then the shares that are forfeited or reacquired will, as applicable, become or again be available for future grant and issuance under the 2024 Plan.</w:t>
      </w:r>
    </w:p>
    <w:p>
      <w:pPr>
        <w:spacing w:after="0" w:line="180"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the 2024 Plan.</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or a duly authorized committee of our board of directors, may, in accordance with the terms of the 2024 Plan, delegate to one or more of our officers the power to grant awards under the 2024 Plan to employees or officers (other than to themselves or members of their immediate family), provided, that our board of directors, or a duly authorized committee of our board of directors, shall fix certain material terms of the awards to be granted by any such officer and shall fix a maximum number of shares subject to awards that the officers may grant. Under the 2024 Plan, our board of directors, or a duly authorized committee of our board of directors, will have the authority to, among other things, grant awards and determine recipients and terms thereof, including the type and number of awards to be granted; the number of shares or dollar amount to which an award will relate; the purchase, exercise, or base price; the time or times when awards may be exercised; vesting criteria and/or performance goals; any forfeiture, cancelation, or surrender events; any vesting, acceleration or waiver of forfeiture restrictions; and any restriction or limitation regarding any award or the shares or other consideration relating thereto. The plan administrator also has the authority to determine the fair market value of the awards; prescribe and amend the terms of or form of any award agreement; amend, modify or terminate any outstanding award subject to the terms of the 2024 Plan; and construe and interpret the provisions of the 2024 Plan and any award agreement granted thereunder. Our board of directors may accelerate the time at which an award granted under the 2024 Plan may first be exercised or the time during which an award grant under the 2024 Plan or any part thereof will vest, notwithstanding the provisions in the award agreement stating the time at which it may first be exercised or the time during which it will vest.</w:t>
      </w:r>
    </w:p>
    <w:p>
      <w:pPr>
        <w:spacing w:after="0" w:line="18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Under the 2024 Plan, the plan administrator will not, without the participant’s consent, amend, modify or terminate any outstanding award and award agreement, unless the plan administrator determines that (i) that the action, taking into account any related action, would not materially and adversely affect the grantee’s rights under the 2024 Plan, (ii) the change is permitted under another section of the 2024 Plan, including with respect to changes for awards to foreign grantees, in the event of certain corporate adjustments and upon certain corporate transactions and (iii) the plan administrator determines that the action is required or advisable in order for us, the 2024 Plan, or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80"/>
        <w:spacing w:after="0" w:line="266" w:lineRule="auto"/>
        <w:rPr>
          <w:sz w:val="20"/>
          <w:szCs w:val="20"/>
          <w:color w:val="auto"/>
        </w:rPr>
      </w:pPr>
      <w:r>
        <w:rPr>
          <w:rFonts w:ascii="Arial" w:cs="Arial" w:eastAsia="Arial" w:hAnsi="Arial"/>
          <w:sz w:val="17"/>
          <w:szCs w:val="17"/>
          <w:color w:val="auto"/>
        </w:rPr>
        <w:t>award to satisfy any law or regulation or to meet the requirements of or avoid adverse financial accounting consequences under any accounting standard. We may not, at any time when the exercise price of an option or stock appreciation right is above the fair market value of a share of our common stock, reduce the exercise price of such option or stock appreciation right or exchange such option or stock appreciation right for a new award with a lower (or no) exercise price or for cash without obtaining stockholder approval.</w:t>
      </w:r>
    </w:p>
    <w:p>
      <w:pPr>
        <w:spacing w:after="0" w:line="159"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will be granted under stock option agreements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determine the exercise price for stock options, within the terms and conditions of the 2024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2024 Plan will vest at the rate specified in the stock option agreement as will be determined by the plan administrator. The terms and conditions of separate options need not be identical.</w:t>
      </w:r>
    </w:p>
    <w:p>
      <w:pPr>
        <w:spacing w:after="0" w:line="185"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No option will be exercisable after the expiration of ten years (or five years in the case of ISOs granted to a ten percent stockholder) or a shorter period specified in the applicable award agreement.</w:t>
      </w:r>
    </w:p>
    <w:p>
      <w:pPr>
        <w:spacing w:after="0" w:line="15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(i) cash; (ii) check; (iii) to the extent permitted under applicable law, delivery of a promissory note with such recourse, interest, security, redemption and other provisions as the plan administrator determines to be appropriate; (iv) cancellation of indebtedness; (v) subject to certain conditions, the tender of shares of our common stock previously owned by the optionholder; (vi) a net exercise of the option if it is an NSO; (vii) other legal consideration approved by the plan administrator; or (viii) any combination of the foregoing methods of payment.</w:t>
      </w:r>
    </w:p>
    <w:p>
      <w:pPr>
        <w:spacing w:after="0" w:line="179"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i w:val="1"/>
          <w:iCs w:val="1"/>
          <w:color w:val="auto"/>
        </w:rPr>
        <w:t>Tax Limitations on ISOs</w:t>
      </w:r>
      <w:r>
        <w:rPr>
          <w:rFonts w:ascii="Arial" w:cs="Arial" w:eastAsia="Arial" w:hAnsi="Arial"/>
          <w:sz w:val="17"/>
          <w:szCs w:val="17"/>
          <w:color w:val="auto"/>
        </w:rPr>
        <w:t>. The aggregate fair market value, determined at the time of grant, of our common stock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ISOs that are exercisable for the first time by any participant during any calendar year under all of our stock plans or plans of our affiliates may not exceed $100,000. Options or portions thereof that exceed such limit will generally be treated as NSOs. No ISO may be granted to any person who, at the time of the grant, is a ten percent stockholder unless (i) the option exercise price is at least 110% of the fair market value of the stock subject to the option on the date of grant; and (ii) the term of the ISO does not exceed five years from the date of grant.</w:t>
      </w:r>
    </w:p>
    <w:p>
      <w:pPr>
        <w:spacing w:after="0" w:line="16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Subject to the terms of the 2024 Plan, each restricted stock unit award will have such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as determined by the plan administrator. A restricted stock unit is an award based on the value of our common stock that is an unfunded and unsecured promise to deliver shares, cash or other property upon the attainment of specified vesting or performance conditions as determined by the plan administrator and set forth in the applicable award agreement. A participant will not have voting or any other rights as a stockholder of ours with respect to any restricted stock unit award (unless and until shares are actually issued in settlement of a vested restricted stock unit award). A restricted stock unit award will generally be granted in consideration for a participant’s services to us or an affiliate, such that the participant will not be required to make any payment to us (other than such services) with respect to the grant or vesting of the restricted stock unit award, or the issuance of any shares pursuant to the restricted stock unit award. If, at the time of grant, our board of directors determines that a participant must pay consideration upon the issuance of shares pursuant to a restricted stock unit award, such consideration may be paid in any form of legal consideration that may be acceptable to our board of directors and permissible under applicable law. A restricted stock unit award may be settled in any form specified by the plan administrator in the award agreement,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including, but not limited to, the delivery of shares, cash or a combination of cash and shares as deemed appropriate by the plan administrator. At the time of grant, the plan administrator may determine to impose such restrictions or conditions that delay such delivery to a date following the vesting of the restricted stock unit award. Additionally, dividends or dividend equivalents may be paid or credited in respect of shares covered by a restricted stock unit award, subject to the same restrictions on transferability and forfeitability as the underlying award with respect to which such dividends or dividend equivalents are granted and subject to such other terms and conditions as determined by the plan administrator and specified in the applicable restricted stock unit award agreement.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80"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will be granted under restricted stock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 restricted stock award may be awarded in consideration for cash, check, bank draft or money order, past or future services to us or any of our affiliates or any other form of legal consideration that may be acceptable to our board of directors and permissible under applicable law. The plan administrator will determine the terms and conditions of restricted stock awards, including vesting and forfeiture terms. Dividends or dividend equivalents shall be paid or credited with respect to shares subject to a restricted stock award, subject to the same restrictions on transferability and forfeitability as the underlying award with respect to which such dividends or dividend equivalents are granted and subject to such other terms and conditions, unless determined otherwise by the plan administrator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8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will be granted under stock appreciation right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and will be a right entitling the grantee to shares, other property or cash compensation, as determined by the plan administrator and set forth in the applicable award agreement, measured by appreciation in the value of common stock. The terms of separation stock appreciation rights need not be identical. The plan administrator will determine the purchase price or strike price for a stock appreciation right, which generally will not be less than 100% of the fair market value of our common stock on the date of grant. A stock appreciation right granted under the 2024 Plan will vest at the rate specified in the stock appreciation right agreement as will be determined by the plan administrator. Stock appreciation rights may be settled in cash or shares of our common stock (or any combination of our common stock and cash) or in any other form of payment, as determined by our board of directors and specified in the stock appreciation right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administrator will determine the term of stock appreciation rights granted under the 2024 Plan, up to a maximum of 10</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years.</w:t>
      </w:r>
    </w:p>
    <w:p>
      <w:pPr>
        <w:spacing w:after="0" w:line="19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will be permitted to grant other awards, based in whole or in part by reference to,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based on, our common stock, either alone or in addition to other awards. The plan administrator will have the sole and complete discretion to determine the persons to whom and the time or times at which other stock awards will be granted, the number of shares under the other stock award (or cash equivalent) and all other terms and conditions of such awards.</w:t>
      </w:r>
    </w:p>
    <w:p>
      <w:pPr>
        <w:spacing w:after="0" w:line="174"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stock dividend, reorganization, recapitalization, combination or exchange of shares, reclassification of shares, spin-off, or other similar change in capitalization or event, or any dividend or distribution to holders of shares other than an ordinary cash</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dividend, the plan administrator may equitably adjust (i) the number and class of securities available under the 2024 Plan, including the number of ISOs authorized under the 2024 Plan, (ii) the number and class of securities and exercise price per share of each outstanding option and stock appreciation right, (iii) the number of shares subject to and the repurchase price per share subject to each outstanding restricted stock award (or restricted share arrangement pursuant to each “early exercised” option) and restricted stock unit award, and (iv) the terms of each other outstanding award, in each case granted under the 2024 Plan.</w:t>
      </w:r>
    </w:p>
    <w:p>
      <w:pPr>
        <w:spacing w:after="0" w:line="17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(as defined below), unless otherwise provided in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or other written agreement with us, the plan administrator, in its sole discretion, may provide, with respect to all outstanding awards or on an award-by-award basis, for the awards to become immediately vested and exercisable or non-forfeitable, cause any award to be assumed by the surviving or successor company or canceled in exchange for substitute stock options or stock appreciation rights in a manner consistent with the U.S. treasury regulations, cause any award to be canceled in exchange for consideration equivalent to that paid to our stockholders. If the surviving or acquiring corporation (or its parent company) does not assume, continue or substitute for such awards, then with respect to any such outstanding awards, the vesting (and exercisability, if applicable) of such awards will be accelerated in full to a date prior to the effective time of the corporate transaction (contingent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w:t>
      </w:r>
    </w:p>
    <w:p>
      <w:pPr>
        <w:spacing w:after="0" w:line="18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the event an award will terminate if not exercised prior to the effective time of a corporate transaction, the plan administrator may provide, in its sole discretion, that the holder of such award may not exercise such award but instead will receive a payment, in such form as may be determined by our board of directors,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2024 Plan governing a corporate transaction involving us.</w:t>
      </w:r>
    </w:p>
    <w:p>
      <w:pPr>
        <w:spacing w:after="0" w:line="17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Under the 2024 Plan, a “corporate transaction” generally will be the consummation, in a single transaction or in a series of related transactions, of (i) a sale, lease, exclusive license or other disposition of all or substantially all, as determined by our board of directors, of our consolidated assets unless our stockholders immediately before such consolidation, merger or other transaction own, directly or indirectly, a majority of the combined voting power of the outstanding voting securities of the purchaser of the assets; (ii) a sale or other disposition in which any person, other than any person who prior to such transaction or series of related transactions owns more than a majority of our common stock, becomes the beneficial owner of at least 50% of our outstanding securities; (iii) a merger, consolidation or similar transaction unless our stockholders immediately before such merger, consolidation or similar transaction own, directly or indirectly, a majority of the combined voting power of the outstanding voting securities of the corporation or other entity resulting from such merger, consolidation or similar transaction; (iv) individuals who constitute our board of directors on the date the 2024 Plan is approved by our board of directors (referred to as the incumbent board) cease for any reason to constitute at least a majority of the board of directors (for this purpose, any board member whose appointment or election is approved or recommended by a majority of the incumbent board will be considered a member of the incumbent board); or (v) the liquidation, dissolution, or winding up of the Company.</w:t>
      </w:r>
    </w:p>
    <w:p>
      <w:pPr>
        <w:spacing w:after="0" w:line="183"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Except as expressly provided in the 2024 Plan or the form of award agreement, unless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otherwise, awards generally will not be transferable. The plan administrator may provide that an award be transferable by will or the laws of descent and distribution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or as permitted by applicable law. Subject to approval of the plan administrator or a duly authorized officer, an option may be transferred pursuant to a domestic relations order.</w:t>
      </w:r>
    </w:p>
    <w:p>
      <w:pPr>
        <w:spacing w:after="0" w:line="15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All awards granted under the 2024 Plan will be subject to recoupment in accordance with any clawback policy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to adopt pursuant to the listing standards of any national securities exchange or association on which our securities are listed or as is otherwise required by the Dodd-Frank Wall Street Reform and Consumer Protection Act or other applicable law and any clawback policy that we otherwise adopt, to the extent applicable and permissible under applicable law. In addition, our board of directors may impose such other clawback, recovery or recoupment provisions in an award agreement as our board of directors determines necessary or appropriate, including but not limited to a reacquisition right in respect of previously acquired shares of our common stock or other cash or property upon the occurrence of cause.</w:t>
      </w:r>
    </w:p>
    <w:p>
      <w:pPr>
        <w:spacing w:after="0" w:line="18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will have the authority to amend, suspend or terminate the 2024 Plan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provided that such action does not materially impair the existing rights of any participant without such participant’s written consent. Certain material amendments will also require the approval of our stockholders. No ISOs may be granted after the tenth anniversary of the date our board of directors adopts the 2024 Plan. No awards may be granted under the 2024 Plan while it is suspended or after it is terminated.</w:t>
      </w:r>
    </w:p>
    <w:p>
      <w:pPr>
        <w:spacing w:after="0" w:line="176"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intend to file a registration statement on Form S-8 to register all of the shares of our common stock reserved for issuance under the 2024 Plan.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02"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Our board of directors adopted and our stockholders initially approved the 2021 Equity Incentive Plan, or the 2021 Plan, in August 2021, and it was most recently amended in March 2024. No further awards will be made under the 2021 Plan after this offering; however, awards outstanding under the 2021 Plan will continue to be governed by their existing terms.</w:t>
      </w:r>
    </w:p>
    <w:p>
      <w:pPr>
        <w:spacing w:after="0" w:line="169"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September 30, 2024, we had reserved        shares of our common stock for issuance under the 2021</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3,500,000 shares of our common stock were added to the number of shares reserved for future issuance under the 2021 Plan pursuant to an amendment thereto in October 2024. As of September 30, 2024, options to purchase         shares of our common stock, at exercise prices ranging from $    to $    per share, or a weighted-average exercise price of $    per share, were outstanding under the 2021 Plan, and        shares of our common stock remained available for future issuance under the 2021 Plan. Unissued shares subject to awards that expire, are forfeited, or are cancelled, shares reacquired by us and shares withheld in payment of the purchase price or exercise price of an award or in satisfaction of withholding taxes will again become available for issuance under the 2021 Plan or, following consummation of this offering, under the 2024 Plan.</w:t>
      </w:r>
    </w:p>
    <w:p>
      <w:pPr>
        <w:spacing w:after="0" w:line="180"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thereof, has administered the 2021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the 2021 Plan. The administrator has complete discretion to make all decisions relating to the 2021 Plan and outstanding awards.</w:t>
      </w:r>
    </w:p>
    <w:p>
      <w:pPr>
        <w:spacing w:after="0" w:line="169"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members of our board of directors and consultants are eligible to participate in the 2021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ISOs.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2021 Plan provides for the following types of awards granted with respect to shares of our common stock:</w:t>
      </w:r>
    </w:p>
    <w:p>
      <w:pPr>
        <w:spacing w:after="0" w:line="117" w:lineRule="exact"/>
        <w:rPr>
          <w:sz w:val="20"/>
          <w:szCs w:val="20"/>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ISOs and NSOs to purchase shares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of restricted and/or unrestricted common stock;</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restricted stock units;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stock-based awards or cash incentives consistent with the purpose of the 2021 Plan and our interests.</w:t>
      </w:r>
    </w:p>
    <w:p>
      <w:pPr>
        <w:spacing w:after="0" w:line="21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for options granted under the 2021 Plan is determined by our board of directors at the time of grant, but</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less than 100% of the fair market value of our common stock on the grant date. If the optionholder owns more than 10% of the combined voting power of all classes of our capital stock, the exercise price of any ISO granted to such person must be at least 110% of the fair market value of our common stock on the grant date. Optionholders may pay the exercise price in cash or cash equivalents or by one, or any combination of, the following forms of payment, as permitted by the administrator in its sole discretion:</w:t>
      </w:r>
    </w:p>
    <w:p>
      <w:pPr>
        <w:spacing w:after="0" w:line="82" w:lineRule="exact"/>
        <w:rPr>
          <w:sz w:val="20"/>
          <w:szCs w:val="20"/>
          <w:color w:val="auto"/>
        </w:rPr>
      </w:pPr>
    </w:p>
    <w:p>
      <w:pPr>
        <w:ind w:left="880" w:hanging="224"/>
        <w:spacing w:after="0" w:line="271"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cash, by either certified or bank check, by wire transfer of immediately available funds or by other instrument acceptable to the board of directors or applicable committee;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form of previously acquired shares of our common stock based on the fair market value on the date of exercise;</w:t>
      </w:r>
    </w:p>
    <w:p>
      <w:pPr>
        <w:spacing w:after="0" w:line="117" w:lineRule="exact"/>
        <w:rPr>
          <w:rFonts w:ascii="Arial" w:cs="Arial" w:eastAsia="Arial" w:hAnsi="Arial"/>
          <w:sz w:val="18"/>
          <w:szCs w:val="18"/>
          <w:color w:val="auto"/>
        </w:rPr>
      </w:pPr>
    </w:p>
    <w:p>
      <w:pPr>
        <w:ind w:left="880" w:right="180" w:hanging="224"/>
        <w:spacing w:after="0" w:line="24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permitted by the board of directors or applicable committee, by the optionee’s delivery of a promissory note, if the board of directors has expressly authorized the loan of funds to the optionee for the purpose of enabling or assisting the optionholder to effect such exercise; provided, that at least so much of the exercise price as represents the par value of the shares of our commons stock exercised shall be paid in cash if required by state law;</w:t>
      </w:r>
    </w:p>
    <w:p>
      <w:pPr>
        <w:spacing w:after="0" w:line="79" w:lineRule="exact"/>
        <w:rPr>
          <w:rFonts w:ascii="Arial" w:cs="Arial" w:eastAsia="Arial" w:hAnsi="Arial"/>
          <w:sz w:val="18"/>
          <w:szCs w:val="18"/>
          <w:color w:val="auto"/>
        </w:rPr>
      </w:pPr>
    </w:p>
    <w:p>
      <w:pPr>
        <w:ind w:left="880" w:right="120" w:hanging="224"/>
        <w:spacing w:after="0" w:line="253"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permitted by the board of directors or applicable committee and this offering has closed, through the delivery (or attestation to the ownership) of shares of our common stock that have been purchased by the optionholder on the open market or that are beneficially owned by the optionholder and are not then subject to restrictions under any agreement; and/or</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by such other means as the administrator may accept.</w:t>
      </w:r>
    </w:p>
    <w:p>
      <w:pPr>
        <w:spacing w:after="0" w:line="212"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optionholder’s service terminates. If the optionholder owns more than 10% of the combined voting power of all classes of our capital stock, the expiration date of any ISO granted to such person will be no more than five years from the grant date.</w:t>
      </w:r>
    </w:p>
    <w:p>
      <w:pPr>
        <w:spacing w:after="0" w:line="174" w:lineRule="exact"/>
        <w:rPr>
          <w:sz w:val="20"/>
          <w:szCs w:val="20"/>
          <w:color w:val="auto"/>
        </w:rPr>
      </w:pPr>
    </w:p>
    <w:p>
      <w:pPr>
        <w:jc w:val="both"/>
        <w:ind w:left="120" w:right="120" w:firstLine="551"/>
        <w:spacing w:after="0" w:line="266"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under the 2021 Plan subject to the terms and conditions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in its sole discretion. Restricted shares vest as determined by the administrator. If the recipient’s service terminates, the Company may require the recipient forfeit the shares still subject to restrictions or determine to repurchase those shares. Upon a grant of restricted shares, the recipient will have the same rights as a stockholder with respect to those shares, until all or a portion are forfeited.</w:t>
      </w:r>
    </w:p>
    <w:p>
      <w:pPr>
        <w:spacing w:after="0" w:line="15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awarded under the 2021 Plan. No cash consideration shall be required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in connection with the grant of restricted stock units. Settlement of vested restricted stock units may be made in the form of cash, shares of our common stock or any combination of both, as determined by the administrator. Restricted stock units vest as determined by the administrator. Upon the settlement of restricted stock units in shares, the recipient will have the same rights as a stockholder with respect to those shares.</w:t>
      </w:r>
    </w:p>
    <w:p>
      <w:pPr>
        <w:spacing w:after="0" w:line="176"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or similar corporate transactions, awards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granted under the 2021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74"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option or stock appreciation right will become vested and immediately exercisable, in whole or in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restricted shares or restricted stock units will become non-forfeitable, in whole or in part;</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option or stock appreciation right will be assumed by the successor corporation or cancelled in exchange for substitute stock options;</w:t>
      </w:r>
    </w:p>
    <w:p>
      <w:pPr>
        <w:spacing w:after="0" w:line="59"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option will be cancelled in exchange for cash and/or other substitute consideration with a value equal to the excess, if any, of the value of the shares subject to the option over any exercise price applicable to the options;</w:t>
      </w:r>
    </w:p>
    <w:p>
      <w:pPr>
        <w:spacing w:after="0" w:line="59" w:lineRule="exact"/>
        <w:rPr>
          <w:rFonts w:ascii="Arial" w:cs="Arial" w:eastAsia="Arial" w:hAnsi="Arial"/>
          <w:sz w:val="18"/>
          <w:szCs w:val="18"/>
          <w:color w:val="auto"/>
        </w:rPr>
      </w:pPr>
    </w:p>
    <w:p>
      <w:pPr>
        <w:ind w:left="880" w:right="460" w:hanging="224"/>
        <w:spacing w:after="0" w:line="301" w:lineRule="auto"/>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restricted shares or restricted stock units will be cancelled in exchange for restricted stock of or restricted stock units in respect of the capital stock of any successor corporation (or the equivalent in a successor entity that is not a corporation);</w:t>
      </w:r>
    </w:p>
    <w:p>
      <w:pPr>
        <w:spacing w:after="0" w:line="36" w:lineRule="exact"/>
        <w:rPr>
          <w:rFonts w:ascii="Arial" w:cs="Arial" w:eastAsia="Arial" w:hAnsi="Arial"/>
          <w:sz w:val="17"/>
          <w:szCs w:val="17"/>
          <w:color w:val="auto"/>
        </w:rPr>
      </w:pPr>
    </w:p>
    <w:p>
      <w:pPr>
        <w:jc w:val="both"/>
        <w:ind w:left="880" w:right="100" w:hanging="224"/>
        <w:spacing w:after="0" w:line="253"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restricted shares will be redeemed for cash and/or other substitute consideration with a value equal to the fair market value of an unrestricted share on the date of the corporate transaction or the per share consideration payable to the holders of shares in corporate transaction;</w:t>
      </w:r>
    </w:p>
    <w:p>
      <w:pPr>
        <w:spacing w:after="0" w:line="74" w:lineRule="exact"/>
        <w:rPr>
          <w:rFonts w:ascii="Arial" w:cs="Arial" w:eastAsia="Arial" w:hAnsi="Arial"/>
          <w:sz w:val="18"/>
          <w:szCs w:val="18"/>
          <w:color w:val="auto"/>
        </w:rPr>
      </w:pPr>
    </w:p>
    <w:p>
      <w:pPr>
        <w:ind w:left="880" w:right="20" w:hanging="224"/>
        <w:spacing w:after="0" w:line="253"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restricted stock unit will be cancelled in exchange for cash and/or other substitute consideration with a value equal to the fair market value of an unrestricted share on the date of the corporate transaction or the per share consideration payable to the holders of shares in corporate transaction; or</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other treatment as is described in an award agreement.</w:t>
      </w:r>
    </w:p>
    <w:p>
      <w:pPr>
        <w:spacing w:after="0" w:line="212"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the 2021 Plan will vest on an accelerated basis in connection with a corporate transaction or to amend or modify an award so long as such amendment or modification is not inconsistent with the terms of the 2021 Plan or would not result in the impairment of a participant’s rights without the participant’s consent.</w:t>
      </w:r>
    </w:p>
    <w:p>
      <w:pPr>
        <w:spacing w:after="0" w:line="174"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i w:val="1"/>
          <w:iCs w:val="1"/>
          <w:color w:val="auto"/>
        </w:rPr>
        <w:t>Changes in Capitalization</w:t>
      </w:r>
      <w:r>
        <w:rPr>
          <w:rFonts w:ascii="Arial" w:cs="Arial" w:eastAsia="Arial" w:hAnsi="Arial"/>
          <w:sz w:val="18"/>
          <w:szCs w:val="18"/>
          <w:color w:val="auto"/>
        </w:rPr>
        <w:t>. In the event of certain specified changes in the capital structure of our common stock, such as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equitable adjustments to the terms of outstanding awards will be made by the administrator.</w:t>
      </w:r>
    </w:p>
    <w:p>
      <w:pPr>
        <w:spacing w:after="0" w:line="174"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The board of directors may at any time alter, amend, suspend or terminate the 2021 Plan,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in the case of an amendment if the amendment increases the number of shares available for issuance or otherwise to the extent necessary to comply with applicable law, rule or regulation. The 2021 Plan will terminate automatically ten years after the later of the date when our board of directors adopted the plan.</w:t>
      </w:r>
    </w:p>
    <w:p>
      <w:pPr>
        <w:spacing w:after="0" w:line="174"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We intend to file a registration statement on Form S-8 to register all of the shares of our common stock reserved for issuance pursuant to outstanding awards granted under the 2021 Plan.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2"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Our board of directors and stockholders have adopted the 2024 Employee Stock Purchase Plan, or the ESPP, which will become effective on the date immediately preceding the date on which our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7"/>
          <w:szCs w:val="17"/>
          <w:color w:val="auto"/>
        </w:rPr>
        <w:t>common stock is listed (or approved for listing) on Nasdaq. The material terms of the ESPP are summarized below. Under the ESPP, we are authorized to offer eligible employees the ability to purchase shares of our common stock at a discount, subject to various limitations.</w:t>
      </w:r>
    </w:p>
    <w:p>
      <w:pPr>
        <w:spacing w:after="0" w:line="131"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The ESPP is intended to qualify as an “employee stock purchase plan” under Section 423 of the Code. However, with regard to offers of options for purchase of shares of our common stock under the ESPP to employees outside the United States working for one of our subsidiaries or an affiliates, the board of directors may offer a sub-plan or an option that is not intended to meet the requirements of Section 423 of the Code and that varies from the terms and conditions of the ESPP.</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Initially, the maximum number of shares of our common stock that may be issued under the ESPP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exceed        shares of our common stock. In addition, the number of shares of our common stock that will be reserved for issuance under the ESPP will automatically increase on January 1 of each year, beginning on           and continuing through           , in an amount equal to the lesser of (x)  % of the total number of shares of our capital stock outstanding on December 31 of the immediately preceding year and (y)        shares of our common stock, unless our board of directors acts prior to the first day of any calendar year to provide that there will be no January 1 increase in the share reserve for such calendar year or that the increase for such calendar year will be a lesser number of shares of our common stock.</w:t>
      </w:r>
    </w:p>
    <w:p>
      <w:pPr>
        <w:spacing w:after="0" w:line="185"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will administer the ESPP.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a duly authorized committee of our board of directors, may, in accordance with the terms of the ESPP, delegate administrative authority to our officers or other individuals or groups. Under the ESPP, the ESPP administrator will have discretionary authority to administer and interpret the ESPP and determine the terms and conditions of the offerings of common stock to be made under the ESPP. Interpretations and constructions of the ESPP administrator of any provision of the ESPP or of any rights thereunder will be conclusive and binding on all persons.</w:t>
      </w:r>
    </w:p>
    <w:p>
      <w:pPr>
        <w:spacing w:after="0" w:line="17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the ESPP for a given offering generally include employees who are employed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designated subsidiaries on the first day of the offering, subject to any other eligibility requirements that the ESPP administrator may impose (within the limits permitted by the Code).</w:t>
      </w:r>
    </w:p>
    <w:p>
      <w:pPr>
        <w:spacing w:after="0" w:line="169"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Employees will enroll under the ESPP by completing an enrollment form permitting the deduction from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a whole percentage of their compensation during an offering, subject to a minimum of 1% and a maximum of 15%, or, to the extent permitted by the ESPP administrator for an offering, an employee may authorize a payroll deduction expressed as a flat dollar amount, subject to such terms, conditions and limits as may be established by the ESPP administrator for such offering. Accumulated deductions will be credited to a notional account and applied to the purchase of shares on the exercise date of the offering.</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However, an employee will not be permitted to participate in an offering if, immediately after the option to purchase stock in the offering were granted, the employee would own (or be deemed to own through attribution) 5% or more of the total combined voting power or value of all classes of our stock, or one of our subsidiaries or our parent company. In addition, a participant may not purchase more than        shares of our common stock in each offering (or such other maximum number of shares of our common stock established by the ESPP administrator in advance of the offering). A participant may not be granted an option that permits the participant’s rights to purchase shares of common stock to accrue at a rate exceeding $25,000 in fair market value of such stock (determined at the time the option is granted) under the ESPP or any other of our employee stock purchase plans and our parent and subsidiary companies during any calendar year.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i w:val="1"/>
          <w:iCs w:val="1"/>
          <w:color w:val="auto"/>
        </w:rPr>
        <w:t xml:space="preserve">Offerings. </w:t>
      </w:r>
      <w:r>
        <w:rPr>
          <w:rFonts w:ascii="Arial" w:cs="Arial" w:eastAsia="Arial" w:hAnsi="Arial"/>
          <w:sz w:val="18"/>
          <w:szCs w:val="18"/>
          <w:color w:val="auto"/>
        </w:rPr>
        <w:t>Under the ESPP, participants are given the option to purchase shares of our common stock during offerings, the duration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of which will be determined by the ESPP administrator. However, in no event may an offering be longer than 27 months in length. The ESPP administrator may provide for concurrent or overlapping offerings under the ESPP. An offering under the ESPP may be terminated under certain circumstances.</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Common stock will be purchased for the accounts of participants at a price per share determined under the terms of the applicable offering, which will generally be at a discount from the trading price of our common stock on the date of purchase. The option price for an offering will generally be the lower of 85% of the closing trading price per share of our common stock on the first day of the offering or 85% of the closing trading price per share on the purchase date, unless the ESPP administrator specifies a lesser discount in advance of the offering.</w:t>
      </w:r>
    </w:p>
    <w:p>
      <w:pPr>
        <w:spacing w:after="0" w:line="176" w:lineRule="exact"/>
        <w:rPr>
          <w:sz w:val="20"/>
          <w:szCs w:val="20"/>
          <w:color w:val="auto"/>
        </w:rPr>
      </w:pPr>
    </w:p>
    <w:p>
      <w:pPr>
        <w:ind w:left="120" w:right="20" w:firstLine="551"/>
        <w:spacing w:after="0" w:line="275" w:lineRule="auto"/>
        <w:rPr>
          <w:sz w:val="20"/>
          <w:szCs w:val="20"/>
          <w:color w:val="auto"/>
        </w:rPr>
      </w:pPr>
      <w:r>
        <w:rPr>
          <w:rFonts w:ascii="Arial" w:cs="Arial" w:eastAsia="Arial" w:hAnsi="Arial"/>
          <w:sz w:val="17"/>
          <w:szCs w:val="17"/>
          <w:color w:val="auto"/>
        </w:rPr>
        <w:t>Unless a participant has withdrawn from participation in the ESPP before a purchase date, the participant will be deemed to have exercised the participant’s option in full as of such purchase date. Upon exercise, the participant will purchase the number of whole shares that the participant’s accumulated payroll deductions will buy at the option price, subject to the participation limitations listed above.</w:t>
      </w:r>
    </w:p>
    <w:p>
      <w:pPr>
        <w:spacing w:after="0" w:line="15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A participant may cancel his or her payroll deduction authorization and withdraw from the offering at any time prior to the end of the offering. Upon withdrawal, the participant will receive a refund of the participant’s notional account balance in cash without interest. If a participant withdraws from an offering, the participant may not later re-enroll in the same offering, but the participant may (if eligible) enroll in any later offering under the ESPP. If a participant wants to increase or decrease the rate of payroll withholding, the participant may do so effective for the next offering by submitting a new enrollment form before the offering for which such change is to be effective.</w:t>
      </w:r>
    </w:p>
    <w:p>
      <w:pPr>
        <w:spacing w:after="0" w:line="176"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A participant may not transfer any rights under the ESPP other than by will or the laws of descent and distribution. During a participant’s lifetime, options in the ESPP shall be exercisable only by such participant. The ESPP is unfunded, and all funds received by us under the ESPP may be combined with other corporate funds and used for any corporate purpose, unless otherwise required by applicable law.</w:t>
      </w:r>
    </w:p>
    <w:p>
      <w:pPr>
        <w:spacing w:after="0" w:line="174" w:lineRule="exact"/>
        <w:rPr>
          <w:sz w:val="20"/>
          <w:szCs w:val="20"/>
          <w:color w:val="auto"/>
        </w:rPr>
      </w:pPr>
    </w:p>
    <w:p>
      <w:pPr>
        <w:ind w:left="120" w:right="20" w:firstLine="551"/>
        <w:spacing w:after="0" w:line="266"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In the event of any stock split, reverse stock split, stock dividend, recapitalization, combination or exchange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reclassification of shares, spin-off, or other similar change in capitalization or event, or any dividend or distribution to holders of our common stock other than an ordinary cash dividend, we will proportionately adjust the number and class of shares approved under the ESPP, the option price for an offering and the maximum number of shares which a participant may elect to purchase in any single offering.</w:t>
      </w:r>
    </w:p>
    <w:p>
      <w:pPr>
        <w:spacing w:after="0" w:line="15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(as defined above with respect to the 2024 Plan),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take any of the following actions, or do any combination thereof: (i) determine that each outstanding option will be assumed or an equivalent option substituted by the acquiring or successor corporation or other entity (or an affiliate thereof); (ii) upon written notice to participants, provide that participants’ accumulated payroll deductions will be used to purchase shares of our common stock on a date determined by the ESPP administrator within ten days prior to the corporate transaction and that all outstanding options will terminate immediately after such purchase; (iii) upon written notice to participants, provide that all outstanding options will be cancelled and accumulated payroll deductions will be returned to participants; (iv) if the applicable corporate transaction provides for cash payments to the holders of our common stock, provide for cash payments to participants in amounts based on the per-share amount of such cash payments to the stockholders; or (v) if we are liquidated or dissolved, provide that options to purchase stock under the ESPP will convert into the right to receive the liquidation proceeds (net of the option price).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firstLine="551"/>
        <w:spacing w:after="0" w:line="241"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ESPP administrator may amend, suspend or terminate the ESPP at any time. However, if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ESPP are amended to increase the number of shares approved for the ESPP or in a manner that would require stockholder approval under the rules of Nasdaq, other relevant listing authority or to qualify as an “employee stock purchase plan” under</w:t>
      </w:r>
    </w:p>
    <w:p>
      <w:pPr>
        <w:spacing w:after="0" w:line="2" w:lineRule="exact"/>
        <w:rPr>
          <w:sz w:val="20"/>
          <w:szCs w:val="20"/>
          <w:color w:val="auto"/>
        </w:rPr>
      </w:pPr>
    </w:p>
    <w:p>
      <w:pPr>
        <w:jc w:val="both"/>
        <w:ind w:left="120" w:right="260"/>
        <w:spacing w:after="0" w:line="242" w:lineRule="auto"/>
        <w:rPr>
          <w:sz w:val="20"/>
          <w:szCs w:val="20"/>
          <w:color w:val="auto"/>
        </w:rPr>
      </w:pPr>
      <w:r>
        <w:rPr>
          <w:rFonts w:ascii="Arial" w:cs="Arial" w:eastAsia="Arial" w:hAnsi="Arial"/>
          <w:sz w:val="18"/>
          <w:szCs w:val="18"/>
          <w:color w:val="auto"/>
        </w:rPr>
        <w:t>Section 423(b) of the Code, the ESPP administrator may not amend the ESPP without obtaining stockholder approval within 12 months before or after the date such amendment is adopted. The ESPP automatically terminates on the ten-year anniversary of the date ESPP was approved by the Company’s stockholders.</w:t>
      </w:r>
    </w:p>
    <w:p>
      <w:pPr>
        <w:spacing w:after="0" w:line="179"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We intend to file a registration statement on Form S-8 to register all of the shares of our common stock reserved for issuance under the ESPP.</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Clawback Policy</w:t>
      </w:r>
    </w:p>
    <w:p>
      <w:pPr>
        <w:spacing w:after="0" w:line="104"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In connection with the closing of this offering, we intend to adopt a clawback policy, or the Clawback Policy, in compliance with the SEC’s and Nasdaq’s final rules. The Clawback Policy will require the repayment of certain erroneously awarded incentive-based compensation paid to any current or former executive officer, including our named executive officers, in connection with a restatement of financial statements if such compensation exceeds the amount that the executive officers would have received based on the restated financial statements.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0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Our Certificate of Incorporation, which will become effective immediately prior to the closing of this offering, will provide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 Delaware law provides that directors and officers of a corporation will not be personally liable for monetary damages for any breach of fiduciary duties as directors or officers, except liability for:</w:t>
      </w:r>
    </w:p>
    <w:p>
      <w:pPr>
        <w:spacing w:after="0" w:line="84"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corporation or its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a director, unlawful payments of dividends, unlawful stock repurchases or redemptions;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an officer, derivative claims brought on behalf of the corporation by a stockholder;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212" w:lineRule="exact"/>
        <w:rPr>
          <w:sz w:val="20"/>
          <w:szCs w:val="20"/>
          <w:color w:val="auto"/>
        </w:rPr>
      </w:pPr>
    </w:p>
    <w:p>
      <w:pPr>
        <w:ind w:left="120" w:right="440" w:firstLine="551"/>
        <w:spacing w:after="0" w:line="247" w:lineRule="auto"/>
        <w:rPr>
          <w:sz w:val="20"/>
          <w:szCs w:val="20"/>
          <w:color w:val="auto"/>
        </w:rPr>
      </w:pPr>
      <w:r>
        <w:rPr>
          <w:rFonts w:ascii="Arial" w:cs="Arial" w:eastAsia="Arial" w:hAnsi="Arial"/>
          <w:sz w:val="18"/>
          <w:szCs w:val="18"/>
          <w:color w:val="auto"/>
        </w:rPr>
        <w:t>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w:t>
      </w:r>
    </w:p>
    <w:p>
      <w:pPr>
        <w:spacing w:after="0" w:line="174"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We believe that these Certificate of Incorporation provisions and indemnification agreements are necessary to attract and retain qualified persons as directors and officers. We also maintain customary directors’ and officers’ liability insurance.</w:t>
      </w:r>
    </w:p>
    <w:p>
      <w:pPr>
        <w:spacing w:after="0" w:line="15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The limitation of liability and indemnification provisions in our Certificate of Incorporation may discourage stockholders from bringing a lawsuit against our directors for breach of their fiduciary duty.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Plans</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 Prior to 180 days after the date of the closing of this offering, subject to early termination and subject to certain limited exceptions, the sale of any shares under such Rule</w:t>
      </w:r>
    </w:p>
    <w:p>
      <w:pPr>
        <w:spacing w:after="0" w:line="5" w:lineRule="exact"/>
        <w:rPr>
          <w:sz w:val="20"/>
          <w:szCs w:val="20"/>
          <w:color w:val="auto"/>
        </w:rPr>
      </w:pPr>
    </w:p>
    <w:p>
      <w:pPr>
        <w:ind w:left="120" w:right="500"/>
        <w:spacing w:after="0" w:line="250" w:lineRule="auto"/>
        <w:rPr>
          <w:sz w:val="20"/>
          <w:szCs w:val="20"/>
          <w:color w:val="auto"/>
        </w:rPr>
      </w:pPr>
      <w:r>
        <w:rPr>
          <w:rFonts w:ascii="Arial" w:cs="Arial" w:eastAsia="Arial" w:hAnsi="Arial"/>
          <w:sz w:val="18"/>
          <w:szCs w:val="18"/>
          <w:color w:val="auto"/>
        </w:rPr>
        <w:t>10b5-1 plan would be subject to the lock-up agreement that the director or executive officer has entered into with the underwriters in connection with this offering.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1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The following is a summary of transactions since January 1, 2021 and any currently proposed transactions to which we have been a participant in which the amount involved exceeded or will exceed the lesser of $120,000 or 1% of the average of our total assets as of each of December 31, 2023 and 2022,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the sections of this prospectus 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and “</w:t>
      </w:r>
      <w:r>
        <w:rPr>
          <w:rFonts w:ascii="Arial" w:cs="Arial" w:eastAsia="Arial" w:hAnsi="Arial"/>
          <w:sz w:val="18"/>
          <w:szCs w:val="18"/>
          <w:i w:val="1"/>
          <w:iCs w:val="1"/>
          <w:color w:val="auto"/>
        </w:rPr>
        <w:t>Management—Non-Employee Director Compensation</w:t>
      </w:r>
      <w:r>
        <w:rPr>
          <w:rFonts w:ascii="Arial" w:cs="Arial" w:eastAsia="Arial" w:hAnsi="Arial"/>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 Financing</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On April 23, 2021, we entered into a convertible note purchase agreement with our Chief Executive Officer, Gary D. Glick, OrbiMed Private Investments VIII, LP and certain of our employees, to issue convertible promissory notes, or the Convertible Notes. We issued Convertible Notes in an aggregate principal amount of approximately $2.0 million. OrbiMed Private Investments VIII, LP purchased approximately $1.5 million of principal amount of Convertible Notes and Dr. Glick purchased $71,429 of principal amount of Convertible Notes. The Convertible Notes accrued interest at a rate equal to 4% per year and were convertible into shares of capital stock issued by us in a qualifying equity financing. As discussed below, all of the outstanding Convertible Notes converted into shares of our Series A convertible preferred stock in connection with the Series A Preferred Stock Financing (as defined below).</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A Preferred Stock Financing</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On August 30, 2021, we entered into a Series A Preferred Stock Purchase Agreement with a number of investors named therein. In multiple closings held between August 2021 and October 2021, we issued and sold an aggregate of 30,039,874 shares of our Series A convertible preferred stock at a purchase price of $4.34186 per share for an aggregate purchase price of approximately $121.0 million, which we refer to as the Series A Preferred Stock Financing. Included in this amount was approximately $2.0 million of outstanding principal and interest on the Convertible Notes, all of which converted into an aggregate of 489,755 shares of our Series A convertible preferred stock in the Series A Preferred Stock Financing.</w:t>
      </w:r>
    </w:p>
    <w:p>
      <w:pPr>
        <w:spacing w:after="0" w:line="179"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On November 15, 2021, we entered into a Series A-1 Preferred Stock Purchase Agreement with a number of investors named therein, pursuant to which we sold an aggregate of 7,575,753 shares of our Series A-1 convertible preferred stock at a purchase price of $5.86151 per share for an aggregate purchase price of approximately $44.4 million, which we refer to as the Series A-1 Preferred Stock Financing. On November 22, 2021, we entered into a Series A-2 Preferred Stock Purchase Agreement, with a number of investors named therein. We subsequently entered into Amendment No. 1 thereto on March 7, 2022. In multiple closings in November 2021 and March 2022, we issued and sold an aggregate of 7,799,055 shares of our Series A-2 convertible preferred stock at a purchase price of $6.15459 per share for an aggregate purchase price of approximately $48.0 million, which we refer to as the Series A-2 Preferred Stock Financing.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The following table summarizes the Series A convertible preferred stock, Series A-1 convertible preferred stock and Series A-2 convertible preferred stock purchased by our directors, executive officers or holders of more than 5% of our capital stock as of the date of the applicable closing, and entities affiliated with certain of our executive officers and directors. The Series A convertible preferred stock, Series A-1 convertible preferred stock and Series A-2 convertible preferred stock will convert into an aggregate of        shares of common stock immediately prior to the completion of this offering.</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Series A</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A-1</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A-2</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21"/>
                <w:szCs w:val="21"/>
                <w:b w:val="1"/>
                <w:bCs w:val="1"/>
                <w:color w:val="auto"/>
                <w:w w:val="90"/>
                <w:vertAlign w:val="superscript"/>
              </w:rPr>
              <w:t>(1)</w:t>
            </w:r>
          </w:p>
        </w:tc>
        <w:tc>
          <w:tcPr>
            <w:tcW w:w="5300" w:type="dxa"/>
            <w:vAlign w:val="bottom"/>
            <w:vMerge w:val="restart"/>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w:t>
            </w: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(Shares)</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OrbiMed Private Investments VIII, LP</w:t>
            </w:r>
          </w:p>
        </w:tc>
        <w:tc>
          <w:tcPr>
            <w:tcW w:w="12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11,645,522</w:t>
            </w:r>
          </w:p>
        </w:tc>
        <w:tc>
          <w:tcPr>
            <w:tcW w:w="1140" w:type="dxa"/>
            <w:vAlign w:val="bottom"/>
            <w:gridSpan w:val="2"/>
            <w:shd w:val="clear" w:color="auto" w:fill="CCEEFF"/>
          </w:tcPr>
          <w:p>
            <w:pPr>
              <w:ind w:left="700"/>
              <w:spacing w:after="0" w:line="203"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700"/>
              <w:spacing w:after="0" w:line="203" w:lineRule="exact"/>
              <w:rPr>
                <w:sz w:val="20"/>
                <w:szCs w:val="20"/>
                <w:color w:val="auto"/>
              </w:rPr>
            </w:pPr>
            <w:r>
              <w:rPr>
                <w:rFonts w:ascii="Arial" w:cs="Arial" w:eastAsia="Arial" w:hAnsi="Arial"/>
                <w:sz w:val="18"/>
                <w:szCs w:val="18"/>
                <w:color w:val="auto"/>
              </w:rPr>
              <w:t>— </w:t>
            </w:r>
          </w:p>
        </w:tc>
        <w:tc>
          <w:tcPr>
            <w:tcW w:w="1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6"/>
                <w:szCs w:val="16"/>
                <w:color w:val="auto"/>
              </w:rPr>
              <w:t>48,999,991.40</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SR One Capital Management</w:t>
            </w:r>
            <w:r>
              <w:rPr>
                <w:rFonts w:ascii="Arial" w:cs="Arial" w:eastAsia="Arial" w:hAnsi="Arial"/>
                <w:sz w:val="23"/>
                <w:szCs w:val="23"/>
                <w:color w:val="auto"/>
                <w:vertAlign w:val="superscript"/>
              </w:rPr>
              <w:t>(3)</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5,757,900</w:t>
            </w:r>
          </w:p>
        </w:tc>
        <w:tc>
          <w:tcPr>
            <w:tcW w:w="11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1,299,842</w:t>
            </w:r>
          </w:p>
        </w:tc>
        <w:tc>
          <w:tcPr>
            <w:tcW w:w="1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32,999,990.27</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Foresite Capital</w:t>
            </w:r>
            <w:r>
              <w:rPr>
                <w:rFonts w:ascii="Arial" w:cs="Arial" w:eastAsia="Arial" w:hAnsi="Arial"/>
                <w:sz w:val="23"/>
                <w:szCs w:val="23"/>
                <w:color w:val="auto"/>
                <w:vertAlign w:val="superscript"/>
              </w:rPr>
              <w:t>(4)</w:t>
            </w:r>
          </w:p>
        </w:tc>
        <w:tc>
          <w:tcPr>
            <w:tcW w:w="124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4,874,410</w:t>
            </w:r>
          </w:p>
        </w:tc>
        <w:tc>
          <w:tcPr>
            <w:tcW w:w="1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29,999,995.04</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Hillhouse Investment</w:t>
            </w:r>
            <w:r>
              <w:rPr>
                <w:rFonts w:ascii="Arial" w:cs="Arial" w:eastAsia="Arial" w:hAnsi="Arial"/>
                <w:sz w:val="23"/>
                <w:szCs w:val="23"/>
                <w:color w:val="auto"/>
                <w:vertAlign w:val="superscript"/>
              </w:rPr>
              <w:t>(5)</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460,630</w:t>
            </w:r>
          </w:p>
        </w:tc>
        <w:tc>
          <w:tcPr>
            <w:tcW w:w="11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4,163,663</w:t>
            </w:r>
          </w:p>
        </w:tc>
        <w:tc>
          <w:tcPr>
            <w:tcW w:w="11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26,405,343.31</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Woodline Master Fund LP</w:t>
            </w:r>
          </w:p>
        </w:tc>
        <w:tc>
          <w:tcPr>
            <w:tcW w:w="124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3,412,090</w:t>
            </w:r>
          </w:p>
        </w:tc>
        <w:tc>
          <w:tcPr>
            <w:tcW w:w="11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— </w:t>
            </w:r>
          </w:p>
        </w:tc>
        <w:tc>
          <w:tcPr>
            <w:tcW w:w="1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19,999,999.70</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Logos Opportunities Fund III, LP</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2,303,160</w:t>
            </w:r>
          </w:p>
        </w:tc>
        <w:tc>
          <w:tcPr>
            <w:tcW w:w="11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1,624,803</w:t>
            </w:r>
          </w:p>
        </w:tc>
        <w:tc>
          <w:tcPr>
            <w:tcW w:w="1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19,999,994.58</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Beckman Capital GmbH</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2,303,160</w:t>
            </w:r>
          </w:p>
        </w:tc>
        <w:tc>
          <w:tcPr>
            <w:tcW w:w="11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— </w:t>
            </w:r>
          </w:p>
        </w:tc>
        <w:tc>
          <w:tcPr>
            <w:tcW w:w="1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9,999,998.28</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Colt Odyssey Partners, LLC</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2,303,160</w:t>
            </w:r>
          </w:p>
        </w:tc>
        <w:tc>
          <w:tcPr>
            <w:tcW w:w="11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9,999,998.28</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HBM Healthcare Investments (Cayman) Ltd.</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2,303,160</w:t>
            </w:r>
          </w:p>
        </w:tc>
        <w:tc>
          <w:tcPr>
            <w:tcW w:w="11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— </w:t>
            </w:r>
          </w:p>
        </w:tc>
        <w:tc>
          <w:tcPr>
            <w:tcW w:w="1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9,999,998.28</w:t>
            </w:r>
          </w:p>
        </w:tc>
        <w:tc>
          <w:tcPr>
            <w:tcW w:w="0" w:type="dxa"/>
            <w:vAlign w:val="bottom"/>
          </w:tcPr>
          <w:p>
            <w:pPr>
              <w:spacing w:after="0"/>
              <w:rPr>
                <w:sz w:val="1"/>
                <w:szCs w:val="1"/>
                <w:color w:val="auto"/>
              </w:rPr>
            </w:pPr>
          </w:p>
        </w:tc>
      </w:tr>
      <w:tr>
        <w:trPr>
          <w:trHeight w:val="391"/>
        </w:trPr>
        <w:tc>
          <w:tcPr>
            <w:tcW w:w="5820" w:type="dxa"/>
            <w:vAlign w:val="bottom"/>
            <w:gridSpan w:val="2"/>
          </w:tcPr>
          <w:p>
            <w:pPr>
              <w:spacing w:after="0"/>
              <w:rPr>
                <w:sz w:val="20"/>
                <w:szCs w:val="20"/>
                <w:color w:val="auto"/>
              </w:rPr>
            </w:pPr>
            <w:r>
              <w:rPr>
                <w:rFonts w:ascii="Arial" w:cs="Arial" w:eastAsia="Arial" w:hAnsi="Arial"/>
                <w:sz w:val="18"/>
                <w:szCs w:val="18"/>
                <w:color w:val="auto"/>
              </w:rPr>
              <w:t>Balderton Capital VI S.L.P.</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1,681,885</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100"/>
              <w:spacing w:after="0" w:line="390"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3"/>
                <w:szCs w:val="13"/>
                <w:color w:val="auto"/>
              </w:rPr>
              <w:t xml:space="preserve"> (6)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wp:posOffset>
            </wp:positionV>
            <wp:extent cx="7715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660" w:right="380" w:hanging="544"/>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included in the section of this prospectus titled “</w:t>
      </w:r>
      <w:r>
        <w:rPr>
          <w:rFonts w:ascii="Arial" w:cs="Arial" w:eastAsia="Arial" w:hAnsi="Arial"/>
          <w:sz w:val="18"/>
          <w:szCs w:val="18"/>
          <w:i w:val="1"/>
          <w:iCs w:val="1"/>
          <w:color w:val="auto"/>
        </w:rPr>
        <w:t>Principal Stockholders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480" w:hanging="544"/>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360,038 of the shares of Series A convertible preferred stock were issued in exchange for the cancellation of $1,506,904.11 in aggregate principal amount of Convertible Notes held by OrbiMed Private Investments VIII, LP.</w:t>
      </w:r>
    </w:p>
    <w:p>
      <w:pPr>
        <w:spacing w:after="0" w:line="1"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(i) 4,606,320 shares of Series A convertible preferred stock held by SR One Capital Fund I Aggregator, L.P., (ii) 1,151,580 shares of Series A convertible preferred stock held by SR One Co-Invest IV LLC, and (iii) 1,299,842 shares of Series A-2 convertible preferred stock held by SR One Capital Fund I Aggregator, L.P.</w:t>
      </w:r>
    </w:p>
    <w:p>
      <w:pPr>
        <w:spacing w:after="0" w:line="2" w:lineRule="exact"/>
        <w:rPr>
          <w:rFonts w:ascii="Arial" w:cs="Arial" w:eastAsia="Arial" w:hAnsi="Arial"/>
          <w:sz w:val="18"/>
          <w:szCs w:val="18"/>
          <w:color w:val="auto"/>
        </w:rPr>
      </w:pPr>
    </w:p>
    <w:p>
      <w:pPr>
        <w:ind w:left="660" w:right="440" w:hanging="544"/>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(i) 3,899,528 shares of Series A-2 convertible preferred stock held by Foresite Capital Fund V, L.P. and (ii) 974,882 shares of Series A-2 convertible preferred stock held by Foresite Capital Opportunity Fund V, L.P.</w:t>
      </w:r>
    </w:p>
    <w:p>
      <w:pPr>
        <w:spacing w:after="0" w:line="1" w:lineRule="exact"/>
        <w:rPr>
          <w:rFonts w:ascii="Arial" w:cs="Arial" w:eastAsia="Arial" w:hAnsi="Arial"/>
          <w:sz w:val="18"/>
          <w:szCs w:val="18"/>
          <w:color w:val="auto"/>
        </w:rPr>
      </w:pPr>
    </w:p>
    <w:p>
      <w:pPr>
        <w:ind w:left="660" w:right="140" w:hanging="544"/>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(i) 276,378 shares of Series A convertible preferred stock held by VSUM XXIII Holdings Limited, (ii) 184,252 shares of Series A convertible preferred stock held by WXR II Holdings Limited, (iii) 2,498,198 shares of Series A-1 convertible preferred stock held by GNTR Holdings Limited and (iv) 1,665,465 shares of Series A-1 convertible preferred stock held by WXR II Holdings Limited.</w:t>
      </w:r>
    </w:p>
    <w:p>
      <w:pPr>
        <w:spacing w:after="0" w:line="2" w:lineRule="exact"/>
        <w:rPr>
          <w:rFonts w:ascii="Arial" w:cs="Arial" w:eastAsia="Arial" w:hAnsi="Arial"/>
          <w:sz w:val="18"/>
          <w:szCs w:val="18"/>
          <w:color w:val="auto"/>
        </w:rPr>
      </w:pPr>
    </w:p>
    <w:p>
      <w:pPr>
        <w:ind w:left="660" w:right="60" w:hanging="544"/>
        <w:spacing w:after="0" w:line="250"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shares of Series A convertible preferred stock were issued to Balderton Capital VI S.L.P. as partial consideration for the shares of Rahko Limited held by Balderton, pursuant to a share purchase agreement, dated October 6, 2021.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 Preferred Stock Financing</w:t>
      </w:r>
    </w:p>
    <w:p>
      <w:pPr>
        <w:spacing w:after="0" w:line="10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On May 13, 2022, we entered into a Series B Preferred Stock Purchase Agreement with a number of investors named therein. We subsequently entered into Amendment No. 1 thereto, dated May 19, 2022, and Amendment No. 2 thereto, dated September 15, 2022. In multiple closings held between May 2022 and September 2022, we issued and sold an aggregate of 26,601,360 shares of our Series B convertible preferred stock at a purchase price of $6.31584 per share for an aggregate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 price of approximately $168.0 million, which we refer to as the Series B Preferred Stock Financing.</w:t>
      </w:r>
    </w:p>
    <w:p>
      <w:pPr>
        <w:spacing w:after="0" w:line="212"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The following table summarizes the Series B convertible preferred stock purchased by our directors, executive officers or holders of more than 5% of our capital stock as of the date of the applicable closing, and entities affiliated with certain of our executive officers and directors. The Series B convertible preferred stock will convert into an aggregate of        shares of common stock immediately prior to the completion of this offering.</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Series B</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w:t>
            </w: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21"/>
                <w:szCs w:val="21"/>
                <w:b w:val="1"/>
                <w:bCs w:val="1"/>
                <w:color w:val="auto"/>
                <w:w w:val="90"/>
                <w:vertAlign w:val="superscript"/>
              </w:rPr>
              <w:t>(1)</w:t>
            </w:r>
          </w:p>
        </w:tc>
        <w:tc>
          <w:tcPr>
            <w:tcW w:w="7500" w:type="dxa"/>
            <w:vAlign w:val="bottom"/>
            <w:vMerge w:val="restart"/>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 Purchased</w:t>
            </w: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750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3" w:lineRule="exact"/>
              <w:rPr>
                <w:sz w:val="20"/>
                <w:szCs w:val="20"/>
                <w:color w:val="auto"/>
              </w:rPr>
            </w:pPr>
            <w:r>
              <w:rPr>
                <w:rFonts w:ascii="Arial" w:cs="Arial" w:eastAsia="Arial" w:hAnsi="Arial"/>
                <w:sz w:val="16"/>
                <w:szCs w:val="16"/>
                <w:color w:val="auto"/>
              </w:rPr>
              <w:t>Entities affiliated with SR One Capital Management</w:t>
            </w:r>
            <w:r>
              <w:rPr>
                <w:rFonts w:ascii="Arial" w:cs="Arial" w:eastAsia="Arial" w:hAnsi="Arial"/>
                <w:sz w:val="23"/>
                <w:szCs w:val="23"/>
                <w:color w:val="auto"/>
                <w:vertAlign w:val="superscript"/>
              </w:rPr>
              <w:t>(2)</w:t>
            </w:r>
          </w:p>
        </w:tc>
        <w:tc>
          <w:tcPr>
            <w:tcW w:w="16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4,829,127</w:t>
            </w:r>
          </w:p>
        </w:tc>
        <w:tc>
          <w:tcPr>
            <w:tcW w:w="13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30,499,993.48</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General Catalyst Group XI—Endurance, L.P.</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4,749,962</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30,000,000.00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OrbiMed Private Investments VIII, LP</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2,295,814</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14,499,993.90</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Logos Opportunities Fund III, LP</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1,583,320</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9,999,995.80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Colt Odyssey Partners, LLC</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949,992</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5,999,997.49</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Foresite Capital</w:t>
            </w:r>
            <w:r>
              <w:rPr>
                <w:rFonts w:ascii="Arial" w:cs="Arial" w:eastAsia="Arial" w:hAnsi="Arial"/>
                <w:sz w:val="23"/>
                <w:szCs w:val="23"/>
                <w:color w:val="auto"/>
                <w:vertAlign w:val="superscript"/>
              </w:rPr>
              <w:t>(3)</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791,660</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4,999,997.90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Beckman Capital GmbH</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474,996</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2,999,998.74</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HBM Healthcare Investments (Cayman) Ltd.</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474,996</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2,999,998.74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Racing Beach Ventures LLC</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79,166</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499,999.79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right="380" w:hanging="544"/>
        <w:spacing w:after="0" w:line="245"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included in the section of this prospectus titled “</w:t>
      </w:r>
      <w:r>
        <w:rPr>
          <w:rFonts w:ascii="Arial" w:cs="Arial" w:eastAsia="Arial" w:hAnsi="Arial"/>
          <w:sz w:val="18"/>
          <w:szCs w:val="18"/>
          <w:i w:val="1"/>
          <w:iCs w:val="1"/>
          <w:color w:val="auto"/>
        </w:rPr>
        <w:t>Principal Stockholders</w:t>
      </w:r>
      <w:r>
        <w:rPr>
          <w:rFonts w:ascii="Arial" w:cs="Arial" w:eastAsia="Arial" w:hAnsi="Arial"/>
          <w:sz w:val="18"/>
          <w:szCs w:val="18"/>
          <w:color w:val="auto"/>
        </w:rPr>
        <w:t>.”</w:t>
      </w:r>
    </w:p>
    <w:p>
      <w:pPr>
        <w:ind w:left="660" w:right="20" w:hanging="544"/>
        <w:spacing w:after="0" w:line="23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(i) 554,162 shares of Series B convertible preferred stock held by SR One Capital Fund I Aggregator, L.P., (ii) 2,374,981 shares of Series B convertible preferred stock held by SR One Co-Invest IV LLC, and (iii) 1,899,984 shares of Series B convertible preferred stock held by SR One Co-Invest IV-A LLC.</w:t>
      </w:r>
    </w:p>
    <w:p>
      <w:pPr>
        <w:spacing w:after="0" w:line="2" w:lineRule="exact"/>
        <w:rPr>
          <w:rFonts w:ascii="Arial" w:cs="Arial" w:eastAsia="Arial" w:hAnsi="Arial"/>
          <w:sz w:val="18"/>
          <w:szCs w:val="18"/>
          <w:color w:val="auto"/>
        </w:rPr>
      </w:pPr>
    </w:p>
    <w:p>
      <w:pPr>
        <w:ind w:left="660" w:right="160" w:hanging="544"/>
        <w:spacing w:after="0" w:line="250"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(i) 395,830 shares of Series B convertible preferred stock held by Foresite Capital Fund V, L.P. and (ii) 395,830 shares of Series B convertible preferred stock held by Foresite Capital Opportunity Fund V, L.P.</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Stock Financing</w:t>
      </w:r>
    </w:p>
    <w:p>
      <w:pPr>
        <w:spacing w:after="0" w:line="10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On October 25, 2023, we entered into the Series C Preferred Stock Purchase Agreement with a number of investors named therein. We subsequently entered into Amendment No. 1 thereto, dated November 28, 2023, Amendment No. 2 thereto, dated January 18, 2024, Amendment No. 3 thereto, dated April 30, 2024, Amendment No. 4 thereto, dated July 17, 2024, and Amendment No. 5 thereto, dated August 6, 2024. In multiple closings held between October 2023 and August 2024, we issued and sold an aggregate of 23,442,000 shares of our Series C convertible preferred stock at a purchase price of $5.00 per share for an aggregate purchase price of approximately $117.2 million, which we refer to as the Series C Preferred Stock Financing.</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The following table summarizes the Series C convertible preferred stock purchased by our directors, executive officers or holders of more than 5% of our capital stock as of the date of the applicable closing, and entities affiliated with certain of our executive officers and directors. The Series C convertible preferred stock will convert into an aggregate of        shares of common stock immediately prior to the completion of this offering.</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Series C</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w:t>
            </w: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21"/>
                <w:szCs w:val="21"/>
                <w:b w:val="1"/>
                <w:bCs w:val="1"/>
                <w:color w:val="auto"/>
                <w:w w:val="90"/>
                <w:vertAlign w:val="superscript"/>
              </w:rPr>
              <w:t>(1)</w:t>
            </w:r>
          </w:p>
        </w:tc>
        <w:tc>
          <w:tcPr>
            <w:tcW w:w="7500" w:type="dxa"/>
            <w:vAlign w:val="bottom"/>
            <w:vMerge w:val="restart"/>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 Purchased</w:t>
            </w: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750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3" w:lineRule="exact"/>
              <w:rPr>
                <w:sz w:val="20"/>
                <w:szCs w:val="20"/>
                <w:color w:val="auto"/>
              </w:rPr>
            </w:pPr>
            <w:r>
              <w:rPr>
                <w:rFonts w:ascii="Arial" w:cs="Arial" w:eastAsia="Arial" w:hAnsi="Arial"/>
                <w:sz w:val="16"/>
                <w:szCs w:val="16"/>
                <w:color w:val="auto"/>
              </w:rPr>
              <w:t>Entities affiliated with SR One Capital Management</w:t>
            </w:r>
            <w:r>
              <w:rPr>
                <w:rFonts w:ascii="Arial" w:cs="Arial" w:eastAsia="Arial" w:hAnsi="Arial"/>
                <w:sz w:val="23"/>
                <w:szCs w:val="23"/>
                <w:color w:val="auto"/>
                <w:vertAlign w:val="superscript"/>
              </w:rPr>
              <w:t>(2)</w:t>
            </w:r>
          </w:p>
        </w:tc>
        <w:tc>
          <w:tcPr>
            <w:tcW w:w="16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5,300,142</w:t>
            </w:r>
          </w:p>
        </w:tc>
        <w:tc>
          <w:tcPr>
            <w:tcW w:w="13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26,500,710.00</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Ascenta Capital</w:t>
            </w:r>
            <w:r>
              <w:rPr>
                <w:rFonts w:ascii="Arial" w:cs="Arial" w:eastAsia="Arial" w:hAnsi="Arial"/>
                <w:sz w:val="23"/>
                <w:szCs w:val="23"/>
                <w:color w:val="auto"/>
                <w:vertAlign w:val="superscript"/>
              </w:rPr>
              <w:t>(3)</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3,226,000</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16,130,000.00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OrbiMed Private Investments VIII, LP</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1,341,687</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6,708,435.00</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Foresite Capital</w:t>
            </w:r>
            <w:r>
              <w:rPr>
                <w:rFonts w:ascii="Arial" w:cs="Arial" w:eastAsia="Arial" w:hAnsi="Arial"/>
                <w:sz w:val="23"/>
                <w:szCs w:val="23"/>
                <w:color w:val="auto"/>
                <w:vertAlign w:val="superscript"/>
              </w:rPr>
              <w:t>(4)</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524,400</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2,622,000.00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General Catalyst Group</w:t>
            </w:r>
            <w:r>
              <w:rPr>
                <w:rFonts w:ascii="Arial" w:cs="Arial" w:eastAsia="Arial" w:hAnsi="Arial"/>
                <w:sz w:val="23"/>
                <w:szCs w:val="23"/>
                <w:color w:val="auto"/>
                <w:vertAlign w:val="superscript"/>
              </w:rPr>
              <w:t>(5)</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439,614</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2,198,070.00</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HBM Healthcare Investments (Cayman) Ltd.</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257,121</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1,285,605.00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Racing Beach Ventures LLC</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100,000</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9"/>
        </w:trPr>
        <w:tc>
          <w:tcPr>
            <w:tcW w:w="8020" w:type="dxa"/>
            <w:vAlign w:val="bottom"/>
            <w:gridSpan w:val="2"/>
          </w:tcPr>
          <w:p>
            <w:pPr>
              <w:spacing w:after="0"/>
              <w:rPr>
                <w:sz w:val="20"/>
                <w:szCs w:val="20"/>
                <w:color w:val="auto"/>
              </w:rPr>
            </w:pPr>
            <w:r>
              <w:rPr>
                <w:rFonts w:ascii="Arial" w:cs="Arial" w:eastAsia="Arial" w:hAnsi="Arial"/>
                <w:sz w:val="18"/>
                <w:szCs w:val="18"/>
                <w:color w:val="auto"/>
              </w:rPr>
              <w:t>Gary D. Glick, Ph.D.</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100,000</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660" w:right="380" w:hanging="544"/>
        <w:spacing w:after="0" w:line="245"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included in the section of this prospectus titled “</w:t>
      </w:r>
      <w:r>
        <w:rPr>
          <w:rFonts w:ascii="Arial" w:cs="Arial" w:eastAsia="Arial" w:hAnsi="Arial"/>
          <w:sz w:val="18"/>
          <w:szCs w:val="18"/>
          <w:i w:val="1"/>
          <w:iCs w:val="1"/>
          <w:color w:val="auto"/>
        </w:rPr>
        <w:t>Principal Stockholders</w:t>
      </w:r>
      <w:r>
        <w:rPr>
          <w:rFonts w:ascii="Arial" w:cs="Arial" w:eastAsia="Arial" w:hAnsi="Arial"/>
          <w:sz w:val="18"/>
          <w:szCs w:val="18"/>
          <w:color w:val="auto"/>
        </w:rPr>
        <w:t>.”</w:t>
      </w:r>
    </w:p>
    <w:p>
      <w:pPr>
        <w:ind w:left="660" w:right="16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600,142 shares of Series C convertible preferred stock held by SR One Capital Fund I Aggregator, L.P., (ii) 200,000 shares of Series C convertible preferred stock held by SR One Co-Invest IV-A, LLC and (iii) 4,500,000 shares of Series C convertible preferred stock held by AMZL, LP.</w:t>
      </w:r>
    </w:p>
    <w:p>
      <w:pPr>
        <w:spacing w:after="0" w:line="2"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3,000,000 shares of Series C convertible preferred stock held by Ascenta Capital Fund I, L.P. and (ii) 226,000 shares of Series C convertible preferred stock held by Ascenta Capital Project Argos SPV, L.P.</w:t>
      </w:r>
    </w:p>
    <w:p>
      <w:pPr>
        <w:spacing w:after="0" w:line="1" w:lineRule="exact"/>
        <w:rPr>
          <w:rFonts w:ascii="Arial" w:cs="Arial" w:eastAsia="Arial" w:hAnsi="Arial"/>
          <w:sz w:val="18"/>
          <w:szCs w:val="18"/>
          <w:color w:val="auto"/>
        </w:rPr>
      </w:pPr>
    </w:p>
    <w:p>
      <w:pPr>
        <w:ind w:left="660" w:right="14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397,540 shares of Series C convertible preferred stock held by Foresite Capital Fund V, L.P. and (ii) 126,860 shares of Series C convertible preferred stock held by Foresite Capital Opportunity Fund V, L.P.</w:t>
      </w:r>
    </w:p>
    <w:p>
      <w:pPr>
        <w:spacing w:after="0" w:line="1" w:lineRule="exact"/>
        <w:rPr>
          <w:rFonts w:ascii="Arial" w:cs="Arial" w:eastAsia="Arial" w:hAnsi="Arial"/>
          <w:sz w:val="18"/>
          <w:szCs w:val="18"/>
          <w:color w:val="auto"/>
        </w:rPr>
      </w:pPr>
    </w:p>
    <w:p>
      <w:pPr>
        <w:ind w:left="660" w:right="240" w:hanging="544"/>
        <w:spacing w:after="0" w:line="250"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43,961 shares of Series C convertible preferred stock held by General Catalyst Group XI—Endurance, L.P. and (ii) 395,653 shares of Series C convertible preferred stock held by General Catalyst Group XI—Health Assurance, L.P.</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On August 30, 2021, in connection with the initial issuance and sale of our Series A preferred stock, we entered into an Investors’ Rights Agreement, or the Rights Agreement, with, among others, the holders of more than 5% of our outstanding capital stock listed in the table under the heading “</w:t>
      </w:r>
      <w:r>
        <w:rPr>
          <w:rFonts w:ascii="Arial" w:cs="Arial" w:eastAsia="Arial" w:hAnsi="Arial"/>
          <w:sz w:val="18"/>
          <w:szCs w:val="18"/>
          <w:i w:val="1"/>
          <w:iCs w:val="1"/>
          <w:color w:val="auto"/>
        </w:rPr>
        <w:t>—Series A Preferred Stock Financing</w:t>
      </w:r>
      <w:r>
        <w:rPr>
          <w:rFonts w:ascii="Arial" w:cs="Arial" w:eastAsia="Arial" w:hAnsi="Arial"/>
          <w:sz w:val="18"/>
          <w:szCs w:val="18"/>
          <w:color w:val="auto"/>
        </w:rPr>
        <w:t>” above. The Rights Agreement, as amended on November 15, 2021 and November 22, 2021 in connection with the Series A-1 Preferred Stock Financing and Series A-2 Preferred Stock Financing, respectively, and as subsequently amended and restated on May 13, 2022 in connection with the Series B Preferred Stock Financing and on October 25, 2023 in connection with the Series C Preferred Stock Financing, is referred to herein as the Second A&amp;R Rights Agreement. Certain holders of more than 5% of our outstanding capital stock are party to the Second A&amp;R Rights Agreement, including those listed in the table under the heading “</w:t>
      </w:r>
      <w:r>
        <w:rPr>
          <w:rFonts w:ascii="Arial" w:cs="Arial" w:eastAsia="Arial" w:hAnsi="Arial"/>
          <w:sz w:val="18"/>
          <w:szCs w:val="18"/>
          <w:i w:val="1"/>
          <w:iCs w:val="1"/>
          <w:color w:val="auto"/>
        </w:rPr>
        <w:t>—Series C Preferred Stock Financing</w:t>
      </w:r>
      <w:r>
        <w:rPr>
          <w:rFonts w:ascii="Arial" w:cs="Arial" w:eastAsia="Arial" w:hAnsi="Arial"/>
          <w:sz w:val="18"/>
          <w:szCs w:val="18"/>
          <w:color w:val="auto"/>
        </w:rPr>
        <w:t>” above.</w:t>
      </w:r>
    </w:p>
    <w:p>
      <w:pPr>
        <w:spacing w:after="0" w:line="180" w:lineRule="exact"/>
        <w:rPr>
          <w:sz w:val="20"/>
          <w:szCs w:val="20"/>
          <w:color w:val="auto"/>
        </w:rPr>
      </w:pPr>
    </w:p>
    <w:p>
      <w:pPr>
        <w:jc w:val="both"/>
        <w:ind w:left="120" w:right="320" w:firstLine="551"/>
        <w:spacing w:after="0" w:line="253" w:lineRule="auto"/>
        <w:rPr>
          <w:sz w:val="20"/>
          <w:szCs w:val="20"/>
          <w:color w:val="auto"/>
        </w:rPr>
      </w:pPr>
      <w:r>
        <w:rPr>
          <w:rFonts w:ascii="Arial" w:cs="Arial" w:eastAsia="Arial" w:hAnsi="Arial"/>
          <w:sz w:val="18"/>
          <w:szCs w:val="18"/>
          <w:color w:val="auto"/>
        </w:rPr>
        <w:t>The Second A&amp;R Rights Agreement grants certain rights to the holders of our outstanding convertible preferred stock, including certain registration rights with respect to the registrable securities held by them. See the section of this prospectus 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Stock—Registration Rights</w:t>
      </w:r>
      <w:r>
        <w:rPr>
          <w:rFonts w:ascii="Arial" w:cs="Arial" w:eastAsia="Arial" w:hAnsi="Arial"/>
          <w:sz w:val="18"/>
          <w:szCs w:val="18"/>
          <w:color w:val="auto"/>
        </w:rPr>
        <w:t>” for additional information.</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In addition, the Second A&amp;R Rights Agreement imposes certain affirmative obligations on us, including, among other things, our obligation to grant certain investors who hold shares of our convertible preferred stock a right of first offer with respect to future sales of our equity, excluding the shares to be offered and sold in this offering, and grant certain information and inspection rights to such investors. Each of these other obligations will terminate in connection with the closing of this offering.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August 30, 2021, in connection with the Series A Preferred Stock Financing, we entered into a Voting Agreement, or the Voting Agreement, with, among others, the holders of more than 5% of our outstanding capital stock listed in the table under the heading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Series A Preferred Stock Financing</w:t>
      </w:r>
      <w:r>
        <w:rPr>
          <w:rFonts w:ascii="Arial" w:cs="Arial" w:eastAsia="Arial" w:hAnsi="Arial"/>
          <w:sz w:val="18"/>
          <w:szCs w:val="18"/>
          <w:color w:val="auto"/>
        </w:rPr>
        <w:t>” above. The Voting Agreement, as amended on November 15, 2021 and November 22, 2021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Series A-1 Preferred Stock Financing and Series A-2 Preferred Stock Financing, respectively, and as subsequently amended and restated on May 13, 2022 in connection with the Series B Preferred Stock Financing and on October 25, 2023 in connection with the Series C Preferred Stock Financing, is referred to herein as the Second A&amp;R Voting Agreement. The Second A&amp;R Voting Agreement was amended on March 4, 2024. Certain holders of more than 5% of our outstanding capital stock are party to the Second A&amp;R Voting Agreement, including those listed in the table under the heading “</w:t>
      </w:r>
      <w:r>
        <w:rPr>
          <w:rFonts w:ascii="Arial" w:cs="Arial" w:eastAsia="Arial" w:hAnsi="Arial"/>
          <w:sz w:val="18"/>
          <w:szCs w:val="18"/>
          <w:i w:val="1"/>
          <w:iCs w:val="1"/>
          <w:color w:val="auto"/>
        </w:rPr>
        <w:t>—Series C Preferred Stock Financing</w:t>
      </w:r>
      <w:r>
        <w:rPr>
          <w:rFonts w:ascii="Arial" w:cs="Arial" w:eastAsia="Arial" w:hAnsi="Arial"/>
          <w:sz w:val="18"/>
          <w:szCs w:val="18"/>
          <w:color w:val="auto"/>
        </w:rPr>
        <w:t>” above.</w:t>
      </w:r>
    </w:p>
    <w:p>
      <w:pPr>
        <w:spacing w:after="0" w:line="18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Pursuant to the Second A&amp;R Voting Agreement, the parties thereto agreed to vote their shares as needed to (i) maintain the size of our board of directors at seven members (subsequently updated to nine members), (ii) (A) cause OrbiMed’s designee, initially Carl Gordon, to be elected as a Series A director, (B) cause SR One’s nominee, initially Jill Carroll, to be elected as a Series A director,</w:t>
      </w:r>
    </w:p>
    <w:p>
      <w:pPr>
        <w:spacing w:after="0" w:line="2" w:lineRule="exact"/>
        <w:rPr>
          <w:sz w:val="20"/>
          <w:szCs w:val="20"/>
          <w:color w:val="auto"/>
        </w:rPr>
      </w:pPr>
    </w:p>
    <w:p>
      <w:pPr>
        <w:ind w:left="120" w:right="120" w:hanging="4"/>
        <w:spacing w:after="0" w:line="236"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cause Ascenta Capital’s nominee, initially Lorence Kim, to be elected as a Series C director (provided that such nominee may be removed by our board on or before October 25, 2024), (D) cause our Chief Executive Officer, initially Gary Glick, to be elected, (E) cause two other individuals, initially Charles Baum and Valerie Odegard, who are designated by a majority of the preferred directors and the Chief Executive Officer to be elected, and (F) cause one individual independent director, initially Jeffrey Leiden, who is designated by a majority of the preferred directors and the chief executive officer to be elected, subject to the approval of General Catalyst Group, and (iii) so long as Dr. Glick holds at least 1,863,033 shares of voting stock, if at any time he no longer serves as our Chief Executive Officer, elect a director designated by Dr. Glick. In the event of a sale of the company (as defined in the Second A&amp;R Voting Agreement) that has been approved by our board of directors, the required holders and a majority of the shares of our Series C convertible preferred stock, each party is required to vote in favor of the transaction and/or sell their stock in the transaction, and otherwise execute and deliver all related documentation and refrain from exercising dissenter’s rights or depositing their shares in a voting trust or other arrangement, subject to certain limitations. The rights set forth above will terminate upon the consummation of this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On August 30, 2021, in connection with the Series A Preferred Stock Financing, we entered into a Right of First Refusal and Co-Sale Agreement, or the RoFR Agreement, with, among others, the holders of more than 5% of our outstanding capital stock listed in the table under the heading “</w:t>
      </w:r>
      <w:r>
        <w:rPr>
          <w:rFonts w:ascii="Arial" w:cs="Arial" w:eastAsia="Arial" w:hAnsi="Arial"/>
          <w:sz w:val="18"/>
          <w:szCs w:val="18"/>
          <w:i w:val="1"/>
          <w:iCs w:val="1"/>
          <w:color w:val="auto"/>
        </w:rPr>
        <w:t>—Series A Preferred Stock Financing</w:t>
      </w:r>
      <w:r>
        <w:rPr>
          <w:rFonts w:ascii="Arial" w:cs="Arial" w:eastAsia="Arial" w:hAnsi="Arial"/>
          <w:sz w:val="18"/>
          <w:szCs w:val="18"/>
          <w:color w:val="auto"/>
        </w:rPr>
        <w:t>” above. The RoFR Agreement, as amended on November 15, 2021 and November 22, 2021 in connection with the Series A-1 Preferred Stock Financing and the Series A-2 Preferred Stock Financing, respectively, and as subsequently amended and restated on May 13, 2022 in connection with the Series B Preferred Stock Financing and on October 25, 2023 in connection with the Series C Preferred Stock Financing, is referred to herein as the Second A&amp;R RoFR Agreement.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Certain holders of more than 5% of our outstanding capital stock are party to the Second A&amp;R RoFR Agreement, including those listed in the table under the heading “</w:t>
      </w:r>
      <w:r>
        <w:rPr>
          <w:rFonts w:ascii="Arial" w:cs="Arial" w:eastAsia="Arial" w:hAnsi="Arial"/>
          <w:sz w:val="18"/>
          <w:szCs w:val="18"/>
          <w:i w:val="1"/>
          <w:iCs w:val="1"/>
          <w:color w:val="auto"/>
        </w:rPr>
        <w:t>—Series C Preferred Stock Financing</w:t>
      </w:r>
      <w:r>
        <w:rPr>
          <w:rFonts w:ascii="Arial" w:cs="Arial" w:eastAsia="Arial" w:hAnsi="Arial"/>
          <w:sz w:val="18"/>
          <w:szCs w:val="18"/>
          <w:color w:val="auto"/>
        </w:rPr>
        <w:t>” above.</w:t>
      </w:r>
    </w:p>
    <w:p>
      <w:pPr>
        <w:spacing w:after="0" w:line="15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Pursuant to the Second A&amp;R RoFR Agreement, we have a right of first refusal in respect of certain sales of securities by certain holders of our common stock, including holders of more than 5% of our outstanding capital stock. To the extent we do not exercise such right in full, certain holders of our convertible preferred stock are entitled to certain rights of first refusal and co-sale in respect of such sale. The Second A&amp;R RoFR Agreement will terminate in connection with the closing of this offering.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Rights Letters</w:t>
      </w:r>
    </w:p>
    <w:p>
      <w:pPr>
        <w:spacing w:after="0" w:line="104"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In connection with the issuance and sale of our convertible preferred stock, we entered into management rights letters with certain purchasers of our convertible preferred stock, including holders of more than 5% of our capital stock and entities with which certain of our directors or officers are affiliated, pursuant to which such entities were granted certain management rights, including preemptive rights, observer rights and the rights to receive board materials, consult with and advise our management on significant business issues, review our operating plans, examine our books and records and inspect our facilities. These management rights letters or the rights provided therein, other than certain confidentiality obligations, will terminate upon completion of this offering.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0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We have entered into employment agreements or offer letters with certain of our executive officers. For more information regarding these agreements with our executive officers, see the sections of this prospectus titled “</w:t>
      </w:r>
      <w:r>
        <w:rPr>
          <w:rFonts w:ascii="Arial" w:cs="Arial" w:eastAsia="Arial" w:hAnsi="Arial"/>
          <w:sz w:val="18"/>
          <w:szCs w:val="18"/>
          <w:i w:val="1"/>
          <w:iCs w:val="1"/>
          <w:color w:val="auto"/>
        </w:rPr>
        <w:t>Executive Compensation—Employment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Compensation—Potential Payments Upon Termination or Change in Control</w:t>
      </w:r>
      <w:r>
        <w:rPr>
          <w:rFonts w:ascii="Arial" w:cs="Arial" w:eastAsia="Arial" w:hAnsi="Arial"/>
          <w:sz w:val="18"/>
          <w:szCs w:val="18"/>
          <w:color w:val="auto"/>
        </w:rPr>
        <w: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Grants</w:t>
      </w:r>
    </w:p>
    <w:p>
      <w:pPr>
        <w:spacing w:after="0" w:line="104" w:lineRule="exact"/>
        <w:rPr>
          <w:sz w:val="20"/>
          <w:szCs w:val="20"/>
          <w:color w:val="auto"/>
        </w:rPr>
      </w:pPr>
    </w:p>
    <w:p>
      <w:pPr>
        <w:jc w:val="both"/>
        <w:ind w:left="120" w:right="500" w:firstLine="551"/>
        <w:spacing w:after="0" w:line="253" w:lineRule="auto"/>
        <w:rPr>
          <w:sz w:val="20"/>
          <w:szCs w:val="20"/>
          <w:color w:val="auto"/>
        </w:rPr>
      </w:pPr>
      <w:r>
        <w:rPr>
          <w:rFonts w:ascii="Arial" w:cs="Arial" w:eastAsia="Arial" w:hAnsi="Arial"/>
          <w:sz w:val="18"/>
          <w:szCs w:val="18"/>
          <w:color w:val="auto"/>
        </w:rPr>
        <w:t>We have granted options to purchase shares of our common stock to certain of our executive officers and directors. For more information regarding the options granted to our executive officers and directors, see the sections of this prospectus 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“Management—Non-Employee Director Compensation</w:t>
      </w:r>
      <w:r>
        <w:rPr>
          <w:rFonts w:ascii="Arial" w:cs="Arial" w:eastAsia="Arial" w:hAnsi="Arial"/>
          <w:sz w:val="18"/>
          <w:szCs w:val="18"/>
          <w:color w:val="auto"/>
        </w:rPr>
        <w: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04"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We have entered into indemnification agreements with certain of our current directors and executive officers and we intend to enter into indemnification agreements with each of our directors and executive officers in connection with this offering. The indemnification agreements, to be in effect upon the closing of this offering, and our Bylaws, to be in effect immediately prior to the closing of this offering, require us to indemnify our directors and executive officers to the fullest extent permitted by Delaware law. For more information regarding these agreements, see the section of this prospectus titled “</w:t>
      </w:r>
      <w:r>
        <w:rPr>
          <w:rFonts w:ascii="Arial" w:cs="Arial" w:eastAsia="Arial" w:hAnsi="Arial"/>
          <w:sz w:val="17"/>
          <w:szCs w:val="17"/>
          <w:i w:val="1"/>
          <w:iCs w:val="1"/>
          <w:color w:val="auto"/>
        </w:rPr>
        <w:t>Executive Compensation—Limitations on Liability and Indemnification</w:t>
      </w:r>
      <w:r>
        <w:rPr>
          <w:rFonts w:ascii="Arial" w:cs="Arial" w:eastAsia="Arial" w:hAnsi="Arial"/>
          <w:sz w:val="17"/>
          <w:szCs w:val="17"/>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Stock Purchase Agreement and Stock Restriction Agreement</w:t>
      </w:r>
    </w:p>
    <w:p>
      <w:pPr>
        <w:spacing w:after="0" w:line="104"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On April 13, 2021, we entered into a Common Stock Purchase Agreement, or the Founder Stock Purchase Agreement, with our founder, President and Chief Executive Officer, Dr. Glick. Pursuant to the Founder Stock Purchase Agreement, we sold to Dr. Glick 1,000,000 shares of our common stock at a price per share of $0.0001, for an aggregate payment of $100. On August 30, 2021, in connection with the Series A Preferred Stock Financing, we entered into a Stock Restriction Agreement with</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Dr. Glick, or the Stock Restriction Agreement. Pursuant to the Stock Restriction Agreement, Dr. Glick agreed that the 3,726,067 shares of common stock held by him would be subject to repurchase by us until such shares have vested under the agreement, with 1,713,116 shares initially classified as “base shares” and 2,012,951 initially classified as “top-up shares.” Upon the termination of Dr. Glick’s service as Chief Executive Officer for any reason, including upon death, disability, retirement or discharge or resignation, whether voluntary or involuntary, we will have the right to repurchase any unvested shares of common stock held by Dr. Glick at a price per share of $0.0001, subject to adjustment for stock splits, stock dividends and similar events. 25% of the base shares and the top-up shares vested on April 23, 2022, and 1/36th of 75% of the base shares and the top-up shares vest on the last day of each calendar month after April 23, 2022 for three years, with all shares to be vested on April 30, 2025. If Dr. Glick is terminated without cause or resigns for good reason, then all base shares and top-up shares will vest in full. In the event of Dr. Glick’s death or disability, then 50% of the base shares and top-up shares will vest in full.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IFM Acquisition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May 6, 2022, we acquired all of the membership interests of IFM Discovery, LLC, or IFM, in exchange for $1,750,000 in cash and 81,240 shares of our non-voting common stock at closing. We also agreed to pay to the former members of IFM additional contingent payments of up to $60.0 million upon the first achievement of certain development, commercial, regulatory and sale milestones related to our NLRP1 and MDA5 programs. Dr. Glick was the Chairman of the board of directors of IFM Therapeutics, LLC, IFM’s parent, at the time of the acquisition. The acquisition was conducted in the normal course of business on an arm’s length basis with Dr. Glick recusing himself from all transaction negotiations. We incurred $0.3 million in operating expenses related to the IFM acquisition for the years ended December 31, 2023 and 2022.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0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Prior to this offering, we did not have a formal policy regarding approval of transactions with related parties. In connection with this offering, we have adopted a written related person transaction policy that sets forth our procedures for the identification, review, consideration and approval or ratification of related person transactions. The policy will become effective immediately upon the execution of the underwriting agreement for this offering. For purposes of our policy only, a related person transaction is a transaction, arrangement or relationship, or any series of similar transactions, arrangements or relationships in which (i) we are, were or will be a participant, (ii) any related person has, had or will have a direct or indirect material interest and (iii) in which the amount involved exceeded or will exceed, so long as we qualify as a smaller reporting company, the lesser of $120,000 or 1% of the average of our total assets as of the end of the two prior fiscal years, or, once we no longer qualify as a smaller reporting company, $ 120,000. Transactions involving compensation for services provided to us as an executive officer or director are not covered by this policy. A related person is any officer, director (or nominee to become a director) or beneficial owner of more than 5% of any class of our voting securities, including any of their immediate family members.</w:t>
      </w:r>
    </w:p>
    <w:p>
      <w:pPr>
        <w:spacing w:after="0" w:line="186"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All of the transactions described above were entered into prior to the adoption of the written related person transaction policy, but all were approved by our board of directors considering similar factors to those described above.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 2024, for:</w:t>
      </w:r>
    </w:p>
    <w:p>
      <w:pPr>
        <w:spacing w:after="0" w:line="117" w:lineRule="exact"/>
        <w:rPr>
          <w:sz w:val="20"/>
          <w:szCs w:val="20"/>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880" w:right="200" w:hanging="224"/>
        <w:spacing w:after="0" w:line="271"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outstanding shares common stock.</w:t>
      </w:r>
    </w:p>
    <w:p>
      <w:pPr>
        <w:spacing w:after="0" w:line="15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We have determined beneficial ownership in accordance with the rules of the SEC, which generally means that a person has beneficial ownership of a security if he or she possesses sole or shared voting or investment power of that security, including options that are currently exercisable or exercisable within 60 days of        , 2024.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Securities Act.</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based our calculation of the percentage of beneficial ownership prior to this offering on        shares of our common stock outstanding as of      , 2024, after giving effect to the conversion of all outstanding shares of our convertible preferred stock into an aggregate of        shares of our common stock and the conversion of our non-voting common stock into        shares of our common stock. We have based our calculation of the percentage of beneficial ownership after this offering on        shares of our common stock outstanding immediately after the closing of this offering, which reflects the conversion of our convertible preferred stock into an aggregate of        shares of common stock and the conversion of our non-voting common stock into        shares of our common stock and further reflects the issuance of        shares of common stock in this offering, assuming that the underwriters will not exercise their option to purchase up to an additional        shares of our common stock.</w:t>
      </w:r>
    </w:p>
    <w:p>
      <w:pPr>
        <w:spacing w:after="0" w:line="180"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Unless otherwise indicated, the address of each beneficial owner listed in the table below is c/o Odyssey Therapeutics, Inc., 51 Sleeper Street, Boston, MA 02210.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 of Shares</w:t>
            </w:r>
          </w:p>
        </w:tc>
      </w:tr>
      <w:tr>
        <w:trPr>
          <w:trHeight w:val="171"/>
        </w:trPr>
        <w:tc>
          <w:tcPr>
            <w:tcW w:w="4160" w:type="dxa"/>
            <w:vAlign w:val="bottom"/>
          </w:tcPr>
          <w:p>
            <w:pPr>
              <w:spacing w:after="0"/>
              <w:rPr>
                <w:sz w:val="14"/>
                <w:szCs w:val="14"/>
                <w:color w:val="auto"/>
              </w:rPr>
            </w:pPr>
          </w:p>
        </w:tc>
        <w:tc>
          <w:tcPr>
            <w:tcW w:w="4560" w:type="dxa"/>
            <w:vAlign w:val="bottom"/>
          </w:tcPr>
          <w:p>
            <w:pPr>
              <w:jc w:val="center"/>
              <w:ind w:left="1368"/>
              <w:spacing w:after="0"/>
              <w:rPr>
                <w:sz w:val="20"/>
                <w:szCs w:val="20"/>
                <w:color w:val="auto"/>
              </w:rPr>
            </w:pPr>
            <w:r>
              <w:rPr>
                <w:rFonts w:ascii="Arial" w:cs="Arial" w:eastAsia="Arial" w:hAnsi="Arial"/>
                <w:sz w:val="14"/>
                <w:szCs w:val="14"/>
                <w:b w:val="1"/>
                <w:bCs w:val="1"/>
                <w:color w:val="auto"/>
              </w:rPr>
              <w:t>Number of Shares</w:t>
            </w: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Beneficially Owned</w:t>
            </w:r>
          </w:p>
        </w:tc>
      </w:tr>
      <w:tr>
        <w:trPr>
          <w:trHeight w:val="146"/>
        </w:trPr>
        <w:tc>
          <w:tcPr>
            <w:tcW w:w="4160" w:type="dxa"/>
            <w:vAlign w:val="bottom"/>
          </w:tcPr>
          <w:p>
            <w:pPr>
              <w:spacing w:after="0"/>
              <w:rPr>
                <w:sz w:val="12"/>
                <w:szCs w:val="12"/>
                <w:color w:val="auto"/>
              </w:rPr>
            </w:pPr>
          </w:p>
        </w:tc>
        <w:tc>
          <w:tcPr>
            <w:tcW w:w="4560" w:type="dxa"/>
            <w:vAlign w:val="bottom"/>
          </w:tcPr>
          <w:p>
            <w:pPr>
              <w:jc w:val="center"/>
              <w:ind w:left="1368"/>
              <w:spacing w:after="0" w:line="147" w:lineRule="exact"/>
              <w:rPr>
                <w:sz w:val="20"/>
                <w:szCs w:val="20"/>
                <w:color w:val="auto"/>
              </w:rPr>
            </w:pPr>
            <w:r>
              <w:rPr>
                <w:rFonts w:ascii="Arial" w:cs="Arial" w:eastAsia="Arial" w:hAnsi="Arial"/>
                <w:sz w:val="14"/>
                <w:szCs w:val="14"/>
                <w:b w:val="1"/>
                <w:bCs w:val="1"/>
                <w:color w:val="auto"/>
              </w:rPr>
              <w:t>Beneficially</w:t>
            </w:r>
          </w:p>
        </w:tc>
        <w:tc>
          <w:tcPr>
            <w:tcW w:w="1080" w:type="dxa"/>
            <w:vAlign w:val="bottom"/>
          </w:tcPr>
          <w:p>
            <w:pPr>
              <w:jc w:val="center"/>
              <w:ind w:right="408"/>
              <w:spacing w:after="0" w:line="147" w:lineRule="exact"/>
              <w:rPr>
                <w:sz w:val="20"/>
                <w:szCs w:val="20"/>
                <w:color w:val="auto"/>
              </w:rPr>
            </w:pPr>
            <w:r>
              <w:rPr>
                <w:rFonts w:ascii="Arial" w:cs="Arial" w:eastAsia="Arial" w:hAnsi="Arial"/>
                <w:sz w:val="14"/>
                <w:szCs w:val="14"/>
                <w:b w:val="1"/>
                <w:bCs w:val="1"/>
                <w:color w:val="auto"/>
              </w:rPr>
              <w:t>Prior to</w:t>
            </w:r>
          </w:p>
        </w:tc>
        <w:tc>
          <w:tcPr>
            <w:tcW w:w="1180" w:type="dxa"/>
            <w:vAlign w:val="bottom"/>
          </w:tcPr>
          <w:p>
            <w:pPr>
              <w:spacing w:after="0"/>
              <w:rPr>
                <w:sz w:val="12"/>
                <w:szCs w:val="12"/>
                <w:color w:val="auto"/>
              </w:rPr>
            </w:pPr>
          </w:p>
        </w:tc>
      </w:tr>
      <w:tr>
        <w:trPr>
          <w:trHeight w:val="162"/>
        </w:trPr>
        <w:tc>
          <w:tcPr>
            <w:tcW w:w="4160" w:type="dxa"/>
            <w:vAlign w:val="bottom"/>
          </w:tcPr>
          <w:p>
            <w:pPr>
              <w:spacing w:after="0"/>
              <w:rPr>
                <w:sz w:val="14"/>
                <w:szCs w:val="14"/>
                <w:color w:val="auto"/>
              </w:rPr>
            </w:pPr>
          </w:p>
        </w:tc>
        <w:tc>
          <w:tcPr>
            <w:tcW w:w="4560" w:type="dxa"/>
            <w:vAlign w:val="bottom"/>
          </w:tcPr>
          <w:p>
            <w:pPr>
              <w:jc w:val="center"/>
              <w:ind w:left="1368"/>
              <w:spacing w:after="0"/>
              <w:rPr>
                <w:sz w:val="20"/>
                <w:szCs w:val="20"/>
                <w:color w:val="auto"/>
              </w:rPr>
            </w:pPr>
            <w:r>
              <w:rPr>
                <w:rFonts w:ascii="Arial" w:cs="Arial" w:eastAsia="Arial" w:hAnsi="Arial"/>
                <w:sz w:val="14"/>
                <w:szCs w:val="14"/>
                <w:b w:val="1"/>
                <w:bCs w:val="1"/>
                <w:color w:val="auto"/>
              </w:rPr>
              <w:t>Owned Prior to</w:t>
            </w:r>
          </w:p>
        </w:tc>
        <w:tc>
          <w:tcPr>
            <w:tcW w:w="1080" w:type="dxa"/>
            <w:vAlign w:val="bottom"/>
          </w:tcPr>
          <w:p>
            <w:pPr>
              <w:jc w:val="center"/>
              <w:ind w:right="408"/>
              <w:spacing w:after="0"/>
              <w:rPr>
                <w:sz w:val="20"/>
                <w:szCs w:val="20"/>
                <w:color w:val="auto"/>
              </w:rPr>
            </w:pPr>
            <w:r>
              <w:rPr>
                <w:rFonts w:ascii="Arial" w:cs="Arial" w:eastAsia="Arial" w:hAnsi="Arial"/>
                <w:sz w:val="14"/>
                <w:szCs w:val="14"/>
                <w:b w:val="1"/>
                <w:bCs w:val="1"/>
                <w:color w:val="auto"/>
                <w:w w:val="96"/>
              </w:rPr>
              <w:t>this</w:t>
            </w:r>
          </w:p>
        </w:tc>
        <w:tc>
          <w:tcPr>
            <w:tcW w:w="1180" w:type="dxa"/>
            <w:vAlign w:val="bottom"/>
          </w:tcPr>
          <w:p>
            <w:pPr>
              <w:jc w:val="center"/>
              <w:ind w:left="368"/>
              <w:spacing w:after="0"/>
              <w:rPr>
                <w:sz w:val="20"/>
                <w:szCs w:val="20"/>
                <w:color w:val="auto"/>
              </w:rPr>
            </w:pPr>
            <w:r>
              <w:rPr>
                <w:rFonts w:ascii="Arial" w:cs="Arial" w:eastAsia="Arial" w:hAnsi="Arial"/>
                <w:sz w:val="14"/>
                <w:szCs w:val="14"/>
                <w:b w:val="1"/>
                <w:bCs w:val="1"/>
                <w:color w:val="auto"/>
              </w:rPr>
              <w:t>After this</w:t>
            </w:r>
          </w:p>
        </w:tc>
      </w:tr>
      <w:tr>
        <w:trPr>
          <w:trHeight w:val="170"/>
        </w:trPr>
        <w:tc>
          <w:tcPr>
            <w:tcW w:w="416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4560" w:type="dxa"/>
            <w:vAlign w:val="bottom"/>
          </w:tcPr>
          <w:p>
            <w:pPr>
              <w:jc w:val="center"/>
              <w:ind w:left="1368"/>
              <w:spacing w:after="0"/>
              <w:rPr>
                <w:sz w:val="20"/>
                <w:szCs w:val="20"/>
                <w:color w:val="auto"/>
              </w:rPr>
            </w:pPr>
            <w:r>
              <w:rPr>
                <w:rFonts w:ascii="Arial" w:cs="Arial" w:eastAsia="Arial" w:hAnsi="Arial"/>
                <w:sz w:val="14"/>
                <w:szCs w:val="14"/>
                <w:b w:val="1"/>
                <w:bCs w:val="1"/>
                <w:color w:val="auto"/>
              </w:rPr>
              <w:t>Offering</w:t>
            </w:r>
          </w:p>
        </w:tc>
        <w:tc>
          <w:tcPr>
            <w:tcW w:w="1080" w:type="dxa"/>
            <w:vAlign w:val="bottom"/>
          </w:tcPr>
          <w:p>
            <w:pPr>
              <w:jc w:val="center"/>
              <w:ind w:right="408"/>
              <w:spacing w:after="0"/>
              <w:rPr>
                <w:sz w:val="20"/>
                <w:szCs w:val="20"/>
                <w:color w:val="auto"/>
              </w:rPr>
            </w:pPr>
            <w:r>
              <w:rPr>
                <w:rFonts w:ascii="Arial" w:cs="Arial" w:eastAsia="Arial" w:hAnsi="Arial"/>
                <w:sz w:val="14"/>
                <w:szCs w:val="14"/>
                <w:b w:val="1"/>
                <w:bCs w:val="1"/>
                <w:u w:val="single" w:color="auto"/>
                <w:color w:val="auto"/>
              </w:rPr>
              <w:t>Offering</w:t>
            </w:r>
          </w:p>
        </w:tc>
        <w:tc>
          <w:tcPr>
            <w:tcW w:w="1180" w:type="dxa"/>
            <w:vAlign w:val="bottom"/>
          </w:tcPr>
          <w:p>
            <w:pPr>
              <w:jc w:val="center"/>
              <w:ind w:left="388"/>
              <w:spacing w:after="0"/>
              <w:rPr>
                <w:sz w:val="20"/>
                <w:szCs w:val="20"/>
                <w:color w:val="auto"/>
              </w:rPr>
            </w:pPr>
            <w:r>
              <w:rPr>
                <w:rFonts w:ascii="Arial" w:cs="Arial" w:eastAsia="Arial" w:hAnsi="Arial"/>
                <w:sz w:val="14"/>
                <w:szCs w:val="14"/>
                <w:b w:val="1"/>
                <w:bCs w:val="1"/>
                <w:color w:val="auto"/>
              </w:rPr>
              <w:t>Offering</w:t>
            </w:r>
          </w:p>
        </w:tc>
      </w:tr>
    </w:tbl>
    <w:p>
      <w:pPr>
        <w:ind w:left="120"/>
        <w:spacing w:after="0" w:line="234" w:lineRule="auto"/>
        <w:rPr>
          <w:sz w:val="20"/>
          <w:szCs w:val="20"/>
          <w:color w:val="auto"/>
        </w:rPr>
      </w:pPr>
      <w:r>
        <w:rPr>
          <w:rFonts w:ascii="Arial" w:cs="Arial" w:eastAsia="Arial" w:hAnsi="Arial"/>
          <w:sz w:val="18"/>
          <w:szCs w:val="18"/>
          <w:b w:val="1"/>
          <w:bCs w:val="1"/>
          <w:i w:val="1"/>
          <w:iCs w:val="1"/>
          <w:color w:val="auto"/>
        </w:rPr>
        <w:t>5% and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OrbiMed Private Investments VIII, LP</w:t>
      </w:r>
    </w:p>
    <w:p>
      <w:pPr>
        <w:ind w:left="120"/>
        <w:spacing w:after="0" w:line="235" w:lineRule="auto"/>
        <w:rPr>
          <w:sz w:val="20"/>
          <w:szCs w:val="20"/>
          <w:color w:val="auto"/>
        </w:rPr>
      </w:pPr>
      <w:r>
        <w:rPr>
          <w:rFonts w:ascii="Arial" w:cs="Arial" w:eastAsia="Arial" w:hAnsi="Arial"/>
          <w:sz w:val="18"/>
          <w:szCs w:val="18"/>
          <w:color w:val="auto"/>
        </w:rPr>
        <w:t>Entities affiliated with SR One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FMR LLC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Entities affiliated with Foresite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Logos Opportunities Fund III, LP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Entities affiliated with General Catalyst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 of Shares</w:t>
            </w:r>
          </w:p>
        </w:tc>
      </w:tr>
      <w:tr>
        <w:trPr>
          <w:trHeight w:val="171"/>
        </w:trPr>
        <w:tc>
          <w:tcPr>
            <w:tcW w:w="4140" w:type="dxa"/>
            <w:vAlign w:val="bottom"/>
          </w:tcPr>
          <w:p>
            <w:pPr>
              <w:spacing w:after="0"/>
              <w:rPr>
                <w:sz w:val="14"/>
                <w:szCs w:val="14"/>
                <w:color w:val="auto"/>
              </w:rPr>
            </w:pPr>
          </w:p>
        </w:tc>
        <w:tc>
          <w:tcPr>
            <w:tcW w:w="4560" w:type="dxa"/>
            <w:vAlign w:val="bottom"/>
          </w:tcPr>
          <w:p>
            <w:pPr>
              <w:jc w:val="center"/>
              <w:ind w:left="1368"/>
              <w:spacing w:after="0"/>
              <w:rPr>
                <w:sz w:val="20"/>
                <w:szCs w:val="20"/>
                <w:color w:val="auto"/>
              </w:rPr>
            </w:pPr>
            <w:r>
              <w:rPr>
                <w:rFonts w:ascii="Arial" w:cs="Arial" w:eastAsia="Arial" w:hAnsi="Arial"/>
                <w:sz w:val="14"/>
                <w:szCs w:val="14"/>
                <w:b w:val="1"/>
                <w:bCs w:val="1"/>
                <w:color w:val="auto"/>
              </w:rPr>
              <w:t>Number of Shares</w:t>
            </w: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Beneficially Owned</w:t>
            </w:r>
          </w:p>
        </w:tc>
      </w:tr>
      <w:tr>
        <w:trPr>
          <w:trHeight w:val="146"/>
        </w:trPr>
        <w:tc>
          <w:tcPr>
            <w:tcW w:w="4140" w:type="dxa"/>
            <w:vAlign w:val="bottom"/>
          </w:tcPr>
          <w:p>
            <w:pPr>
              <w:spacing w:after="0"/>
              <w:rPr>
                <w:sz w:val="12"/>
                <w:szCs w:val="12"/>
                <w:color w:val="auto"/>
              </w:rPr>
            </w:pPr>
          </w:p>
        </w:tc>
        <w:tc>
          <w:tcPr>
            <w:tcW w:w="4560" w:type="dxa"/>
            <w:vAlign w:val="bottom"/>
          </w:tcPr>
          <w:p>
            <w:pPr>
              <w:jc w:val="center"/>
              <w:ind w:left="1368"/>
              <w:spacing w:after="0" w:line="147" w:lineRule="exact"/>
              <w:rPr>
                <w:sz w:val="20"/>
                <w:szCs w:val="20"/>
                <w:color w:val="auto"/>
              </w:rPr>
            </w:pPr>
            <w:r>
              <w:rPr>
                <w:rFonts w:ascii="Arial" w:cs="Arial" w:eastAsia="Arial" w:hAnsi="Arial"/>
                <w:sz w:val="14"/>
                <w:szCs w:val="14"/>
                <w:b w:val="1"/>
                <w:bCs w:val="1"/>
                <w:color w:val="auto"/>
              </w:rPr>
              <w:t>Beneficially</w:t>
            </w:r>
          </w:p>
        </w:tc>
        <w:tc>
          <w:tcPr>
            <w:tcW w:w="1100" w:type="dxa"/>
            <w:vAlign w:val="bottom"/>
          </w:tcPr>
          <w:p>
            <w:pPr>
              <w:jc w:val="center"/>
              <w:ind w:right="408"/>
              <w:spacing w:after="0" w:line="147" w:lineRule="exact"/>
              <w:rPr>
                <w:sz w:val="20"/>
                <w:szCs w:val="20"/>
                <w:color w:val="auto"/>
              </w:rPr>
            </w:pPr>
            <w:r>
              <w:rPr>
                <w:rFonts w:ascii="Arial" w:cs="Arial" w:eastAsia="Arial" w:hAnsi="Arial"/>
                <w:sz w:val="14"/>
                <w:szCs w:val="14"/>
                <w:b w:val="1"/>
                <w:bCs w:val="1"/>
                <w:color w:val="auto"/>
              </w:rPr>
              <w:t>Prior to</w:t>
            </w:r>
          </w:p>
        </w:tc>
        <w:tc>
          <w:tcPr>
            <w:tcW w:w="1180" w:type="dxa"/>
            <w:vAlign w:val="bottom"/>
          </w:tcPr>
          <w:p>
            <w:pPr>
              <w:spacing w:after="0"/>
              <w:rPr>
                <w:sz w:val="12"/>
                <w:szCs w:val="12"/>
                <w:color w:val="auto"/>
              </w:rPr>
            </w:pPr>
          </w:p>
        </w:tc>
      </w:tr>
      <w:tr>
        <w:trPr>
          <w:trHeight w:val="162"/>
        </w:trPr>
        <w:tc>
          <w:tcPr>
            <w:tcW w:w="4140" w:type="dxa"/>
            <w:vAlign w:val="bottom"/>
          </w:tcPr>
          <w:p>
            <w:pPr>
              <w:spacing w:after="0"/>
              <w:rPr>
                <w:sz w:val="14"/>
                <w:szCs w:val="14"/>
                <w:color w:val="auto"/>
              </w:rPr>
            </w:pPr>
          </w:p>
        </w:tc>
        <w:tc>
          <w:tcPr>
            <w:tcW w:w="4560" w:type="dxa"/>
            <w:vAlign w:val="bottom"/>
          </w:tcPr>
          <w:p>
            <w:pPr>
              <w:jc w:val="center"/>
              <w:ind w:left="1368"/>
              <w:spacing w:after="0"/>
              <w:rPr>
                <w:sz w:val="20"/>
                <w:szCs w:val="20"/>
                <w:color w:val="auto"/>
              </w:rPr>
            </w:pPr>
            <w:r>
              <w:rPr>
                <w:rFonts w:ascii="Arial" w:cs="Arial" w:eastAsia="Arial" w:hAnsi="Arial"/>
                <w:sz w:val="14"/>
                <w:szCs w:val="14"/>
                <w:b w:val="1"/>
                <w:bCs w:val="1"/>
                <w:color w:val="auto"/>
              </w:rPr>
              <w:t>Owned Prior to</w:t>
            </w:r>
          </w:p>
        </w:tc>
        <w:tc>
          <w:tcPr>
            <w:tcW w:w="1100" w:type="dxa"/>
            <w:vAlign w:val="bottom"/>
          </w:tcPr>
          <w:p>
            <w:pPr>
              <w:jc w:val="center"/>
              <w:ind w:right="408"/>
              <w:spacing w:after="0"/>
              <w:rPr>
                <w:sz w:val="20"/>
                <w:szCs w:val="20"/>
                <w:color w:val="auto"/>
              </w:rPr>
            </w:pPr>
            <w:r>
              <w:rPr>
                <w:rFonts w:ascii="Arial" w:cs="Arial" w:eastAsia="Arial" w:hAnsi="Arial"/>
                <w:sz w:val="14"/>
                <w:szCs w:val="14"/>
                <w:b w:val="1"/>
                <w:bCs w:val="1"/>
                <w:color w:val="auto"/>
              </w:rPr>
              <w:t>this</w:t>
            </w:r>
          </w:p>
        </w:tc>
        <w:tc>
          <w:tcPr>
            <w:tcW w:w="1180" w:type="dxa"/>
            <w:vAlign w:val="bottom"/>
          </w:tcPr>
          <w:p>
            <w:pPr>
              <w:jc w:val="center"/>
              <w:ind w:left="368"/>
              <w:spacing w:after="0"/>
              <w:rPr>
                <w:sz w:val="20"/>
                <w:szCs w:val="20"/>
                <w:color w:val="auto"/>
              </w:rPr>
            </w:pPr>
            <w:r>
              <w:rPr>
                <w:rFonts w:ascii="Arial" w:cs="Arial" w:eastAsia="Arial" w:hAnsi="Arial"/>
                <w:sz w:val="14"/>
                <w:szCs w:val="14"/>
                <w:b w:val="1"/>
                <w:bCs w:val="1"/>
                <w:color w:val="auto"/>
              </w:rPr>
              <w:t>After this</w:t>
            </w:r>
          </w:p>
        </w:tc>
      </w:tr>
      <w:tr>
        <w:trPr>
          <w:trHeight w:val="170"/>
        </w:trPr>
        <w:tc>
          <w:tcPr>
            <w:tcW w:w="414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4560" w:type="dxa"/>
            <w:vAlign w:val="bottom"/>
          </w:tcPr>
          <w:p>
            <w:pPr>
              <w:jc w:val="center"/>
              <w:ind w:left="1368"/>
              <w:spacing w:after="0"/>
              <w:rPr>
                <w:sz w:val="20"/>
                <w:szCs w:val="20"/>
                <w:color w:val="auto"/>
              </w:rPr>
            </w:pPr>
            <w:r>
              <w:rPr>
                <w:rFonts w:ascii="Arial" w:cs="Arial" w:eastAsia="Arial" w:hAnsi="Arial"/>
                <w:sz w:val="14"/>
                <w:szCs w:val="14"/>
                <w:b w:val="1"/>
                <w:bCs w:val="1"/>
                <w:color w:val="auto"/>
              </w:rPr>
              <w:t>Offering</w:t>
            </w:r>
          </w:p>
        </w:tc>
        <w:tc>
          <w:tcPr>
            <w:tcW w:w="1100" w:type="dxa"/>
            <w:vAlign w:val="bottom"/>
          </w:tcPr>
          <w:p>
            <w:pPr>
              <w:jc w:val="center"/>
              <w:ind w:right="428"/>
              <w:spacing w:after="0"/>
              <w:rPr>
                <w:sz w:val="20"/>
                <w:szCs w:val="20"/>
                <w:color w:val="auto"/>
              </w:rPr>
            </w:pPr>
            <w:r>
              <w:rPr>
                <w:rFonts w:ascii="Arial" w:cs="Arial" w:eastAsia="Arial" w:hAnsi="Arial"/>
                <w:sz w:val="14"/>
                <w:szCs w:val="14"/>
                <w:b w:val="1"/>
                <w:bCs w:val="1"/>
                <w:u w:val="single" w:color="auto"/>
                <w:color w:val="auto"/>
              </w:rPr>
              <w:t>Offering</w:t>
            </w:r>
          </w:p>
        </w:tc>
        <w:tc>
          <w:tcPr>
            <w:tcW w:w="1180" w:type="dxa"/>
            <w:vAlign w:val="bottom"/>
          </w:tcPr>
          <w:p>
            <w:pPr>
              <w:jc w:val="center"/>
              <w:ind w:left="388"/>
              <w:spacing w:after="0"/>
              <w:rPr>
                <w:sz w:val="20"/>
                <w:szCs w:val="20"/>
                <w:color w:val="auto"/>
              </w:rPr>
            </w:pPr>
            <w:r>
              <w:rPr>
                <w:rFonts w:ascii="Arial" w:cs="Arial" w:eastAsia="Arial" w:hAnsi="Arial"/>
                <w:sz w:val="14"/>
                <w:szCs w:val="14"/>
                <w:b w:val="1"/>
                <w:bCs w:val="1"/>
                <w:color w:val="auto"/>
              </w:rPr>
              <w:t>Offering</w:t>
            </w:r>
          </w:p>
        </w:tc>
      </w:tr>
    </w:tbl>
    <w:p>
      <w:pPr>
        <w:ind w:left="120"/>
        <w:spacing w:after="0" w:line="234" w:lineRule="auto"/>
        <w:rPr>
          <w:sz w:val="20"/>
          <w:szCs w:val="20"/>
          <w:color w:val="auto"/>
        </w:rPr>
      </w:pPr>
      <w:r>
        <w:rPr>
          <w:rFonts w:ascii="Arial" w:cs="Arial" w:eastAsia="Arial" w:hAnsi="Arial"/>
          <w:sz w:val="18"/>
          <w:szCs w:val="18"/>
          <w:b w:val="1"/>
          <w:bCs w:val="1"/>
          <w:i w:val="1"/>
          <w:i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Gary D. Glick, Ph.D.</w:t>
      </w:r>
    </w:p>
    <w:p>
      <w:pPr>
        <w:ind w:left="120"/>
        <w:spacing w:after="0" w:line="235" w:lineRule="auto"/>
        <w:rPr>
          <w:sz w:val="20"/>
          <w:szCs w:val="20"/>
          <w:color w:val="auto"/>
        </w:rPr>
      </w:pPr>
      <w:r>
        <w:rPr>
          <w:rFonts w:ascii="Arial" w:cs="Arial" w:eastAsia="Arial" w:hAnsi="Arial"/>
          <w:sz w:val="18"/>
          <w:szCs w:val="18"/>
          <w:color w:val="auto"/>
        </w:rPr>
        <w:t>Kira 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Stephen Soisson, Ph.D.</w:t>
      </w:r>
    </w:p>
    <w:p>
      <w:pPr>
        <w:ind w:left="120"/>
        <w:spacing w:after="0" w:line="235" w:lineRule="auto"/>
        <w:rPr>
          <w:sz w:val="20"/>
          <w:szCs w:val="20"/>
          <w:color w:val="auto"/>
        </w:rPr>
      </w:pPr>
      <w:r>
        <w:rPr>
          <w:rFonts w:ascii="Arial" w:cs="Arial" w:eastAsia="Arial" w:hAnsi="Arial"/>
          <w:sz w:val="18"/>
          <w:szCs w:val="18"/>
          <w:color w:val="auto"/>
        </w:rPr>
        <w:t>Jeffrey M. Leiden,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Charles Baum, M.D., Ph.D.</w:t>
      </w:r>
    </w:p>
    <w:p>
      <w:pPr>
        <w:ind w:left="120"/>
        <w:spacing w:after="0" w:line="235" w:lineRule="auto"/>
        <w:rPr>
          <w:sz w:val="20"/>
          <w:szCs w:val="20"/>
          <w:color w:val="auto"/>
        </w:rPr>
      </w:pPr>
      <w:r>
        <w:rPr>
          <w:rFonts w:ascii="Arial" w:cs="Arial" w:eastAsia="Arial" w:hAnsi="Arial"/>
          <w:sz w:val="18"/>
          <w:szCs w:val="18"/>
          <w:color w:val="auto"/>
        </w:rPr>
        <w:t>Jill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Carl L. Gordon, Ph.D., CFA</w:t>
      </w:r>
    </w:p>
    <w:p>
      <w:pPr>
        <w:ind w:left="120"/>
        <w:spacing w:after="0" w:line="235" w:lineRule="auto"/>
        <w:rPr>
          <w:sz w:val="20"/>
          <w:szCs w:val="20"/>
          <w:color w:val="auto"/>
        </w:rPr>
      </w:pPr>
      <w:r>
        <w:rPr>
          <w:rFonts w:ascii="Arial" w:cs="Arial" w:eastAsia="Arial" w:hAnsi="Arial"/>
          <w:sz w:val="18"/>
          <w:szCs w:val="18"/>
          <w:color w:val="auto"/>
        </w:rPr>
        <w:t>Lorence Kim,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Valerie Odegard, Ph.D.</w:t>
      </w:r>
    </w:p>
    <w:p>
      <w:pPr>
        <w:ind w:left="120"/>
        <w:spacing w:after="0" w:line="234" w:lineRule="auto"/>
        <w:rPr>
          <w:sz w:val="20"/>
          <w:szCs w:val="20"/>
          <w:color w:val="auto"/>
        </w:rPr>
      </w:pPr>
      <w:r>
        <w:rPr>
          <w:rFonts w:ascii="Arial" w:cs="Arial" w:eastAsia="Arial" w:hAnsi="Arial"/>
          <w:sz w:val="18"/>
          <w:szCs w:val="18"/>
          <w:color w:val="auto"/>
        </w:rPr>
        <w:t>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Timothy P. Walbert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executive officers and directors as a group (14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440" w:hanging="324"/>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following description summarizes the most important terms of our capital stock, as they will be in effect upon the closing of this offering. We expect to adopt our Certificate of Incorporation and Bylaws, which will be effective immediately prior to the closing of this offering, and this description summarizes the provisions that will be included in such documents. Because it is only a summary, it does not contain all of the information that may be important to you. For a complete description of the matters set forth in this “</w:t>
      </w:r>
      <w:r>
        <w:rPr>
          <w:rFonts w:ascii="Arial" w:cs="Arial" w:eastAsia="Arial" w:hAnsi="Arial"/>
          <w:sz w:val="18"/>
          <w:szCs w:val="18"/>
          <w:i w:val="1"/>
          <w:iCs w:val="1"/>
          <w:color w:val="auto"/>
        </w:rPr>
        <w:t>Description of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you should refer to our Certificate of Incorporation and Bylaws, which will be included as exhibits to the registration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this prospectus forms a part, and to the applicable provisions of Delaware law. Immediately following the closing of this offering, our authorized capital stock will consist of        shares of common stock, $0.0001 par value per share, and        shares of undesignated preferred stock, $0.0001 par value per share.</w:t>
      </w:r>
    </w:p>
    <w:p>
      <w:pPr>
        <w:spacing w:after="0" w:line="180"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As of September 30, 2024, after giving effect to the conversion of all outstanding shares of our convertible preferred stock that will occur immediately prior to the closing of this offering and the conversion of non-voting stock upon the closing of this offering, there were        shares of our common stock outstanding, held by        stockholders of record, and no shares of preferred stock outstanding. Upon consummation of this offering, our board of directors will be authorized, without stockholder approval except as required by the listing standards of Nasdaq Rules, to issue additional shares of our capital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02"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Certificate of Incorporation. Accordingly, holders of a majority of the voting shares are able to elect all of the directors. In addition, the affirmative vote of holders of 66-2/3% of the voting power of all of the then outstanding capital stock will be required to take certain actions, including removing directors for cause, amending certain provisions of our Certificate of Incorporation, including the provisions relating to amending our Bylaws, director and board matters and director liability.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02"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2"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All of the outstanding shares of our common stock are, and the shares of our common stock to be issued pursuant to this offering will be, fully paid and non-assessable.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of September 30, 2024, there were 95,458,042 shares of convertible preferred stock outstanding, consisting of 30,039,874 shares of Series A convertible preferred stock, 7,575,753 shares of Series A-1 convertible preferred stock, 7,799,055 shares of Series A-2 convertible preferred stock, 26,601,360 shares of Series B convertible preferred stock and 23,442,000 shares of Series C convertible preferred stock. All of our outstanding shares of convertible preferred stock will be converted into an aggregate of         shares of our common stock immediately prior to the closing of this offering and we will not have any shares of preferred stock outstanding. Immediately prior to the closing of this offering, our current amended and restated certificate of incorporation will be amended and restated to remove all references to such shares of convertible preferred stock.</w:t>
      </w:r>
    </w:p>
    <w:p>
      <w:pPr>
        <w:spacing w:after="0" w:line="18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Upon consummation of this offering, our board of directors will be authorized, subject to limitations prescribed by Delaware law, to issue preferred stock in one or more series,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or other corporate action and might adversely affect the market price of our common stock and the voting and other rights of the holders of our common stock. We have no current plan to issue any shares of preferred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of September 30, 2024, we had outstanding options to purchase an aggregate of 17,432,533 shares of our common stock, with a weighted-average exercise price of $ 2.53 under the 2021 Plan. Following completion of this offering,        shares of our common stock will initially be reserved for future issuance under the 2024 Plan, which will become effective on the date immediately preceding the date upon which the registration statement of which this prospectus forms a part is declared effective by the SEC, as well as any future automatic annual increases in the number of shares of our common stock reserved for issuance under the 2024 Plan and any shares underlying outstanding stock awards granted under the 2021 Plan, that expire or are repurchased, forfeited, cancelled or withheld. For additional information regarding terms of our equity incentive plans, see the section of this prospectus 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Equity Benefit Plans</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02" w:lineRule="exact"/>
        <w:rPr>
          <w:sz w:val="20"/>
          <w:szCs w:val="20"/>
          <w:color w:val="auto"/>
        </w:rPr>
      </w:pPr>
    </w:p>
    <w:p>
      <w:pPr>
        <w:ind w:left="120" w:right="460" w:firstLine="551"/>
        <w:spacing w:after="0" w:line="253" w:lineRule="auto"/>
        <w:rPr>
          <w:sz w:val="20"/>
          <w:szCs w:val="20"/>
          <w:color w:val="auto"/>
        </w:rPr>
      </w:pPr>
      <w:r>
        <w:rPr>
          <w:rFonts w:ascii="Arial" w:cs="Arial" w:eastAsia="Arial" w:hAnsi="Arial"/>
          <w:sz w:val="18"/>
          <w:szCs w:val="18"/>
          <w:color w:val="auto"/>
        </w:rPr>
        <w:t>We are party to the Second A&amp;R Rights Agreement, which, among other things, grants certain rights to the holders of our outstanding convertible preferred stock, including certain registration rights with respect to the registrable securities held by them, as described in additional detail below.</w:t>
      </w:r>
    </w:p>
    <w:p>
      <w:pPr>
        <w:spacing w:after="0" w:line="169"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As of the completion of this offering, after giving effect to the conversion of all outstanding shares of our convertible preferred stock into an aggregate of        shares of our common stock</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080"/>
          </w:cols>
          <w:pgMar w:left="320" w:top="455" w:right="4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immediately prior to the closing of this offering, there will be an aggregate of        shares of our common stock that are entitled to these demand, piggyback and Form S-3 registration rights pursuant to the Second A&amp;R Rights Agreement. We will pay the registration expenses, other than the underwriting discounts and selling commissions, of the shares registered pursuant to the demand, piggyback and Form S-3 registrations described below.</w:t>
      </w:r>
    </w:p>
    <w:p>
      <w:pPr>
        <w:spacing w:after="0" w:line="17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the holders may include. The demand, piggyback and Form S-3 registration rights described below will expire no later than five years after the completion of this offering, or with respect to any particular holder, at such time that such holder can sell its shares under Rule 144 under the Securities Act without limitation during any three-month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Demand Registration Rights</w:t>
      </w:r>
    </w:p>
    <w:p>
      <w:pPr>
        <w:spacing w:after="0" w:line="102"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Pursuant to the terms of the Second A&amp;R Rights Agreement, the parties thereto will be entitled to certain demand registration rights. At any time beginning after the earlier of (i) five years after the date of the Second A&amp;R Rights Agreement and (ii) 180 days after the completion of this offering, the holders of a majority of the registrable securities then outstanding may request that we register all or a portion of their shares by filing a registration statement on Form S-1. Such request for registration must cover at least 40% of the registrable securities then outstanding with an anticipated aggregate offering price of at least $10.0 million, net of applicable selling expenses. If at any time while we are eligible to use a registration statement on Form S-3, holders of at least 25% of the registrable securities then outstanding can make a request that we register their shares on Form S-3 if such holders hold registrable securities in an anticipated aggregate offering amount of at least $5.0 million, net of applicable selling expenses.</w:t>
      </w:r>
    </w:p>
    <w:p>
      <w:pPr>
        <w:spacing w:after="0" w:line="18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will not be required to effect a registration on Form S-1 (i) during the period beginning 60 days prior to our good faith estimate of the planned filing date of a registration initiated by us until 180 days after the effective date of such registration, (ii) after having effected two registrations on Form S-1 or (iii) if the holders propose to dispose shares that can be immediately registered on a registration statement on Form S-3. Similarly, we will not be required to effect a registration statement on Form S-3 (i) during the period beginning 30 days prior to our good faith estimate of the planned filing date of a registration initiated by us until 90 days after the effective date of such registration or (ii) after having effected two registrations on Form S-3 within a 12-month period immediately preceding the request.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Piggyback Registration Rights</w:t>
      </w:r>
    </w:p>
    <w:p>
      <w:pPr>
        <w:spacing w:after="0" w:line="102"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After this offering, in the event that we propose to register any of our securities under the Securities Act, either for our own account or for the account of other security holders, certain holders of registrable securities will be entitled to piggyback registration rights pursuant to the Second A&amp;R Rights Agreement allowing such holders to include their shares in such registration, subject to certain marketing and other limitations. As a result, whenever we propose to file a registration statement under the Securities Act, other than with respect to: (i) a demand registration pursuant to the Second A&amp;R Rights Agreement; (ii) the registration of securities relating to the sale or grant of securities to employees to a stock option, stock purchase, equity incentive or similar plan; (iii) the registration of securities relating to a SEC Rule 145 transaction; (iv) the registration of securities on any form that does not include substantially the same information as would be required on a Form S-1 or Form S-3; or (v) the registration of common stock that is issuable upon conversion of debt securities that are also being registered, then holders of these shares are entitled to notice of the registration and have the right to include their shares in the registration, subject to limitations that the underwriters may impose on the number of shares included in the offering.</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and Removal of Directors; Vacancies</w:t>
      </w:r>
    </w:p>
    <w:p>
      <w:pPr>
        <w:spacing w:after="0" w:line="10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The exact number of directors will be fixed from time to time by resolution of our board of directors. Directors will be elected by a plurality of the votes of the shares of our capital stock present in person or represented by proxy at the meeting and entitled to vote on the election of directors.</w:t>
      </w:r>
    </w:p>
    <w:p>
      <w:pPr>
        <w:spacing w:after="0" w:line="169" w:lineRule="exact"/>
        <w:rPr>
          <w:sz w:val="20"/>
          <w:szCs w:val="20"/>
          <w:color w:val="auto"/>
        </w:rPr>
      </w:pPr>
    </w:p>
    <w:p>
      <w:pPr>
        <w:ind w:left="120" w:right="560" w:firstLine="551"/>
        <w:spacing w:after="0" w:line="271" w:lineRule="auto"/>
        <w:rPr>
          <w:sz w:val="20"/>
          <w:szCs w:val="20"/>
          <w:color w:val="auto"/>
        </w:rPr>
      </w:pPr>
      <w:r>
        <w:rPr>
          <w:rFonts w:ascii="Arial" w:cs="Arial" w:eastAsia="Arial" w:hAnsi="Arial"/>
          <w:sz w:val="18"/>
          <w:szCs w:val="18"/>
          <w:color w:val="auto"/>
        </w:rPr>
        <w:t>No director may be removed except for cause, and directors may be removed for cause only by an affirmative vote of shares representing not less than 66-2/3% of the then-outstanding shares then entitled to vote at an election of directors.</w:t>
      </w:r>
    </w:p>
    <w:p>
      <w:pPr>
        <w:spacing w:after="0" w:line="154"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Any vacancy occurring on our board of directors and any newly created directorship may be filled only by a majority vote of the remaining directors then in office, even if less than a quorum.</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Staggered Board</w:t>
      </w:r>
    </w:p>
    <w:p>
      <w:pPr>
        <w:spacing w:after="0" w:line="10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Upon the closing of this offering, our board of directors will be divided into three classes serving staggered three-year terms. Class I, Class II and Class III directors will serve until our annual meetings of stockholders in 2026, 2027 and 2028,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typically be necessary for stockholders to effect a change in a majority of the members of our board of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Action by Written Consent</w:t>
      </w:r>
    </w:p>
    <w:p>
      <w:pPr>
        <w:spacing w:after="0" w:line="104"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Our Certificate of Incorporation and our Bylaws provide that holders of our common stock will not be able to act by written consent without a meeting.</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Meetings</w:t>
      </w:r>
    </w:p>
    <w:p>
      <w:pPr>
        <w:spacing w:after="0" w:line="10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Our Certificate of Incorporation and our Bylaws provide that special meetings of our stockholders may be called only by the Chair of our board of directors, our Chief Executive Officer or the board of directors pursuant to a resolution adopted by a majority of the directors. Our Certificate of Incorporation and our Bylaws specifically deny any power of any other person to call a special meeting.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10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The provisions of our Certificate of Incorporation under Articles V through IX may be amended only by the affirmative vote of holders of at least 66-2/3% of the voting power of our then-outstanding shares of capital stock and two-thirds of our board of directors. The affirmative vote of holders of at least a majority of the voting power of our outstanding shares of capital stock will generally be required to amend other provisions of our Certificate of Incorporation.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Bylaws</w:t>
      </w:r>
    </w:p>
    <w:p>
      <w:pPr>
        <w:spacing w:after="0" w:line="104"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The provisions of our Bylaws may be amended or repealed, and new bylaws may be adopted by (i) our board of directors, with the affirmative vote of a majority of directors present at any regular or special meeting of our board of directors called for that purpose, or</w:t>
      </w:r>
    </w:p>
    <w:p>
      <w:pPr>
        <w:ind w:left="120" w:right="360" w:hanging="4"/>
        <w:spacing w:after="0" w:line="250" w:lineRule="auto"/>
        <w:tabs>
          <w:tab w:leader="none" w:pos="3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stockholders, with the affirmative vote of holders of not less than 66-2/3% of the voting power of our then-outstanding shares of capital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impose some procedural requirements on stockholders who wish to:</w:t>
      </w:r>
    </w:p>
    <w:p>
      <w:pPr>
        <w:spacing w:after="0" w:line="117"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make nominations in the election of directors;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propose any repeal or change in our Bylaws;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12" w:lineRule="exact"/>
        <w:rPr>
          <w:sz w:val="20"/>
          <w:szCs w:val="20"/>
          <w:color w:val="auto"/>
        </w:rPr>
      </w:pPr>
    </w:p>
    <w:p>
      <w:pPr>
        <w:ind w:left="120" w:right="380" w:firstLine="551"/>
        <w:spacing w:after="0" w:line="253" w:lineRule="auto"/>
        <w:rPr>
          <w:sz w:val="20"/>
          <w:szCs w:val="20"/>
          <w:color w:val="auto"/>
        </w:rPr>
      </w:pPr>
      <w:r>
        <w:rPr>
          <w:rFonts w:ascii="Arial" w:cs="Arial" w:eastAsia="Arial" w:hAnsi="Arial"/>
          <w:sz w:val="18"/>
          <w:szCs w:val="18"/>
          <w:color w:val="auto"/>
        </w:rPr>
        <w:t>Under these procedural requirements, in order to bring a proposal before a meeting of stockholders, a stockholder must deliver timely notice of a proposal pertaining to a proper subject for presentation at the meeting to our corporate secretary and provide us additional information regarding the proponents of such proposal and the proposal itself, including:</w:t>
      </w:r>
    </w:p>
    <w:p>
      <w:pPr>
        <w:spacing w:after="0" w:line="74" w:lineRule="exact"/>
        <w:rPr>
          <w:sz w:val="20"/>
          <w:szCs w:val="20"/>
          <w:color w:val="auto"/>
        </w:rPr>
      </w:pPr>
    </w:p>
    <w:p>
      <w:pPr>
        <w:ind w:left="880" w:right="620" w:hanging="224"/>
        <w:spacing w:after="0" w:line="271"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description of the business or nomination to be brought before the meeting, the text of the proposal or business and the reasons for conducting such business at the meeting;</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17" w:lineRule="exact"/>
        <w:rPr>
          <w:rFonts w:ascii="Arial" w:cs="Arial" w:eastAsia="Arial" w:hAnsi="Arial"/>
          <w:sz w:val="18"/>
          <w:szCs w:val="18"/>
          <w:color w:val="auto"/>
        </w:rPr>
      </w:pPr>
    </w:p>
    <w:p>
      <w:pPr>
        <w:ind w:left="880" w:right="300" w:hanging="224"/>
        <w:spacing w:after="0" w:line="271"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the date or dates such shares were acquired and the investment intent of such acquisition;</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pledge by the stockholder with respect to such shares; and</w:t>
      </w:r>
    </w:p>
    <w:p>
      <w:pPr>
        <w:spacing w:after="0" w:line="117" w:lineRule="exact"/>
        <w:rPr>
          <w:rFonts w:ascii="Arial" w:cs="Arial" w:eastAsia="Arial" w:hAnsi="Arial"/>
          <w:sz w:val="18"/>
          <w:szCs w:val="18"/>
          <w:color w:val="auto"/>
        </w:rPr>
      </w:pPr>
    </w:p>
    <w:p>
      <w:pPr>
        <w:ind w:left="880" w:right="60" w:hanging="224"/>
        <w:spacing w:after="0" w:line="244"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any material interest of those persons in the proposal, the number of shares beneficially owned by those persons, the date or dates such shares were acquired and the investment intent of such acquisition, any pledge by those persons with respect to such shares, and a description of all arrangements and understandings, existing presently or existing during the prior twenty-four months, between or among the stockholder and/or those persons.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17" w:lineRule="exact"/>
        <w:rPr>
          <w:sz w:val="20"/>
          <w:szCs w:val="20"/>
          <w:color w:val="auto"/>
        </w:rPr>
      </w:pPr>
    </w:p>
    <w:p>
      <w:pPr>
        <w:ind w:left="880" w:hanging="224"/>
        <w:spacing w:after="0" w:line="242"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connection with an annual meeting of stockholders, not less than 90 nor more than 120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not later than the 120th day prior to the date of the annual meeting and not later than (i) the 90th day prior to such annual meeting, or (ii) if later, the 10th day following the day on which we first publicly announce the date of the annual meeting; or</w:t>
      </w:r>
    </w:p>
    <w:p>
      <w:pPr>
        <w:spacing w:after="0" w:line="84"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during the period not less than 90 nor more than 120 days prior to the date of the special meeting, or, if later, the 10th day following the day on which public disclosure of such special meeting was first made.</w:t>
      </w:r>
    </w:p>
    <w:p>
      <w:pPr>
        <w:spacing w:after="0" w:line="169" w:lineRule="exact"/>
        <w:rPr>
          <w:sz w:val="20"/>
          <w:szCs w:val="20"/>
          <w:color w:val="auto"/>
        </w:rPr>
      </w:pPr>
    </w:p>
    <w:p>
      <w:pPr>
        <w:jc w:val="both"/>
        <w:ind w:left="120" w:right="660" w:firstLine="551"/>
        <w:spacing w:after="0" w:line="253" w:lineRule="auto"/>
        <w:rPr>
          <w:sz w:val="20"/>
          <w:szCs w:val="20"/>
          <w:color w:val="auto"/>
        </w:rPr>
      </w:pPr>
      <w:r>
        <w:rPr>
          <w:rFonts w:ascii="Arial" w:cs="Arial" w:eastAsia="Arial" w:hAnsi="Arial"/>
          <w:sz w:val="18"/>
          <w:szCs w:val="18"/>
          <w:color w:val="auto"/>
        </w:rPr>
        <w:t>In order to submit a nomination for our board of directors,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104" w:lineRule="exact"/>
        <w:rPr>
          <w:sz w:val="20"/>
          <w:szCs w:val="20"/>
          <w:color w:val="auto"/>
        </w:rPr>
      </w:pPr>
    </w:p>
    <w:p>
      <w:pPr>
        <w:ind w:left="120" w:right="300" w:firstLine="551"/>
        <w:spacing w:after="0" w:line="259" w:lineRule="auto"/>
        <w:rPr>
          <w:sz w:val="20"/>
          <w:szCs w:val="20"/>
          <w:color w:val="auto"/>
        </w:rPr>
      </w:pPr>
      <w:r>
        <w:rPr>
          <w:rFonts w:ascii="Arial" w:cs="Arial" w:eastAsia="Arial" w:hAnsi="Arial"/>
          <w:sz w:val="17"/>
          <w:szCs w:val="17"/>
          <w:color w:val="auto"/>
        </w:rPr>
        <w:t>Our Certificate of Incorporation provides that no director or officer will be personally liable to us or our stockholders for monetary damages for breach of fiduciary duty as a director or officer, except as required by applicable law, as in effect from time to time.</w:t>
      </w:r>
    </w:p>
    <w:p>
      <w:pPr>
        <w:spacing w:after="0" w:line="1" w:lineRule="exact"/>
        <w:rPr>
          <w:sz w:val="20"/>
          <w:szCs w:val="20"/>
          <w:color w:val="auto"/>
        </w:rPr>
      </w:pPr>
    </w:p>
    <w:p>
      <w:pPr>
        <w:ind w:left="120" w:right="100"/>
        <w:spacing w:after="0" w:line="250" w:lineRule="auto"/>
        <w:rPr>
          <w:sz w:val="20"/>
          <w:szCs w:val="20"/>
          <w:color w:val="auto"/>
        </w:rPr>
      </w:pPr>
      <w:r>
        <w:rPr>
          <w:rFonts w:ascii="Arial" w:cs="Arial" w:eastAsia="Arial" w:hAnsi="Arial"/>
          <w:sz w:val="18"/>
          <w:szCs w:val="18"/>
          <w:color w:val="auto"/>
        </w:rPr>
        <w:t>Section 102(b)(7) of the General Corporation Law of the State of Delaware, or the DGCL, permits a corporation to provide in its certificate of incorporation that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director or officer of the corporation shall not be personally liable to the corporation or its stockholders for monetary damages for breach of fiduciary duty as a director or officer, except for liability for:</w:t>
      </w:r>
    </w:p>
    <w:p>
      <w:pPr>
        <w:spacing w:after="0" w:line="59" w:lineRule="exact"/>
        <w:rPr>
          <w:sz w:val="20"/>
          <w:szCs w:val="20"/>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corporation or its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a director, unlawful payments of dividends or unlawful stock repurchases or redemptions;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an officer, derivative claims brought on behalf of the corporation by a stockholder;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21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or officer for breach of fiduciary duty as a director or officer, including breaches resulting from grossly negligent behavior, except in the situations described above.</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Our Certificate of Incorporation also provides that, to the fullest extent permitted by law, we will indemnify any director or officer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Forum Selection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our name, actions against directors, officers and employees for breach of fiduciary duty, arising pursuant to any provision of the DGCL, Certificate of Incorporation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Certain provisions of Delaware law, along with our Certificate of Incorporation and our Bylaws, as will take effect immediately prior to the completion of this offering, may have the effect of delaying, deferring, or discouraging (i) acquiring control of our company by means of a proxy contest, tender offer or otherwise; or (ii) removing our incumbent officers and directors. These provisions, as well as our staggered board and ability to issue preferred stock, are expected to discourage coercive takeover practices and inadequate 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our common stock at prices higher than prevailing market prices.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Law</w:t>
      </w:r>
    </w:p>
    <w:p>
      <w:pPr>
        <w:spacing w:after="0" w:line="104"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We are governed by the provisions of Section 203 of the DGCL. In general, Section 203 prohibits a public Delaware corporation from engaging in a “business combination” with an “interested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0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Trust Company, N.A. The transfer agent and registrar’s address is          .</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have applied for the listing of our common stock on the Nasdaq under the symbol “ODTX.” We believe that upon the completion of this offering, we will meet the standards for listing on Nasdaq, and the closing of this offering is contingent upon such listing.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1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Upon the completion of this offering, based on the number of shares of our capital stock outstanding as of September 30, 2024,        shares of our common stock will be outstanding, after giving effect to the conversion of all outstanding shares of our convertible preferred stock into an aggregate of        shares of our common stock immediately prior to the closing of this offering and the conversion of our non-voting stock into an aggregate of        shares of our common stock upon the closing of this offering, and assuming no exercise of the underwriters’ option to purchase additional shares and no exercise of outstanding options or other securities. Of these outstanding shares, all of the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shares of our common stock that were outstanding and not sold in this offering will be, and shares subject to stock options will, upon issuance,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All of our officers and directors and holders of substantially all of our capital stock and securities exchangeable or exercisable for our capital stock have entered lock-up agreements with the underwriters under which they have agreed, subject to certain customary exceptions, not to sell any of our stock for 180 days following the date of this prospectus. As a result of these agreements and subject to the provisions of Rule 144 or Rule 701 under the Securities Act, shares of our common stock will be available for sale in the public market as follows:</w:t>
      </w:r>
    </w:p>
    <w:p>
      <w:pPr>
        <w:spacing w:after="0" w:line="86" w:lineRule="exact"/>
        <w:rPr>
          <w:sz w:val="20"/>
          <w:szCs w:val="20"/>
          <w:color w:val="auto"/>
        </w:rPr>
      </w:pPr>
    </w:p>
    <w:p>
      <w:pPr>
        <w:ind w:left="880" w:right="700" w:hanging="224"/>
        <w:spacing w:after="0" w:line="271"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common stock sold in this offering will be immediately available for sale in the public market; and</w:t>
      </w:r>
    </w:p>
    <w:p>
      <w:pPr>
        <w:spacing w:after="0" w:line="59" w:lineRule="exact"/>
        <w:rPr>
          <w:rFonts w:ascii="Arial" w:cs="Arial" w:eastAsia="Arial" w:hAnsi="Arial"/>
          <w:sz w:val="18"/>
          <w:szCs w:val="18"/>
          <w:color w:val="auto"/>
        </w:rPr>
      </w:pPr>
    </w:p>
    <w:p>
      <w:pPr>
        <w:ind w:left="880" w:right="140" w:hanging="224"/>
        <w:spacing w:after="0" w:line="253"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beginning 180 days after the date of this prospectus,        shares of our common stock will be eligible for sale in the public market from time to time thereafter, subject in some cases to the volume and other restrictions of Rule 144 under the Securities Act, as described below.</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0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transferring any of our common stock or any securities convertible into or exercisable or exchangeable for common stock for a period of not less than 180 days from the date of this prospectus without the prior written consent of Goldman Sachs &amp; Co. LLC, Jefferies LLC and TD Securities (USA) LLC, subject to certain exceptions. See the section of this prospectus titled “</w:t>
      </w:r>
      <w:r>
        <w:rPr>
          <w:rFonts w:ascii="Arial" w:cs="Arial" w:eastAsia="Arial" w:hAnsi="Arial"/>
          <w:sz w:val="18"/>
          <w:szCs w:val="18"/>
          <w:i w:val="1"/>
          <w:iCs w:val="1"/>
          <w:color w:val="auto"/>
        </w:rPr>
        <w:t>Underwriting</w:t>
      </w:r>
      <w:r>
        <w:rPr>
          <w:rFonts w:ascii="Arial" w:cs="Arial" w:eastAsia="Arial" w:hAnsi="Arial"/>
          <w:sz w:val="18"/>
          <w:szCs w:val="18"/>
          <w:color w:val="auto"/>
        </w:rPr>
        <w:t>” included elsewhere in this prospectus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general, under Rule 144 under the Securities Act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0"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In general, under Rule 144, as currently in effect, our affiliates or persons selling shares of our common stock on behalf of our affiliates are entitled to sell upon expiration of the market standoff agreements and lock-up agreements described above, within any three-month period, a number of shares that does not exceed the greater of:</w:t>
      </w:r>
    </w:p>
    <w:p>
      <w:pPr>
        <w:spacing w:after="0" w:line="74" w:lineRule="exact"/>
        <w:rPr>
          <w:sz w:val="20"/>
          <w:szCs w:val="20"/>
          <w:color w:val="auto"/>
        </w:rPr>
      </w:pPr>
    </w:p>
    <w:p>
      <w:pPr>
        <w:ind w:left="880" w:right="620" w:hanging="219"/>
        <w:spacing w:after="0" w:line="271" w:lineRule="auto"/>
        <w:tabs>
          <w:tab w:leader="none" w:pos="860" w:val="left"/>
        </w:tabs>
        <w:rPr>
          <w:sz w:val="20"/>
          <w:szCs w:val="20"/>
          <w:color w:val="auto"/>
        </w:rPr>
      </w:pPr>
      <w:r>
        <w:rPr>
          <w:rFonts w:ascii="Arial" w:cs="Arial" w:eastAsia="Arial" w:hAnsi="Arial"/>
          <w:sz w:val="18"/>
          <w:szCs w:val="18"/>
          <w:color w:val="auto"/>
        </w:rPr>
        <w:t>•</w:t>
        <w:tab/>
        <w:t>1% of the number of shares of our capital stock then outstanding, which will equal         shares immediately after this offering, assuming no exercise of the underwriters’ option to purchase additional shares; or</w:t>
      </w:r>
    </w:p>
    <w:p>
      <w:pPr>
        <w:spacing w:after="0" w:line="59" w:lineRule="exact"/>
        <w:rPr>
          <w:sz w:val="20"/>
          <w:szCs w:val="20"/>
          <w:color w:val="auto"/>
        </w:rPr>
      </w:pPr>
    </w:p>
    <w:p>
      <w:pPr>
        <w:ind w:left="880" w:right="60" w:hanging="224"/>
        <w:spacing w:after="0" w:line="271"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54"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Sales under Rule 144 by our affiliates or persons selling shares of our common stock on behalf of our affiliates are also subject to manner of sale provisions and notice requirements and to the availability of current public information about us.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0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Rule 701 under the Securities Act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on Form S-8</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intend to file one or more registration statements on Form S-8 under the Securities Act promptly after the closing of this offering to register shares of our common stock subject to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of this prospectus titled “</w:t>
      </w:r>
      <w:r>
        <w:rPr>
          <w:rFonts w:ascii="Arial" w:cs="Arial" w:eastAsia="Arial" w:hAnsi="Arial"/>
          <w:sz w:val="18"/>
          <w:szCs w:val="18"/>
          <w:i w:val="1"/>
          <w:iCs w:val="1"/>
          <w:color w:val="auto"/>
        </w:rPr>
        <w:t>Executive Compensation—Equity Benefit Plans</w:t>
      </w:r>
      <w:r>
        <w:rPr>
          <w:rFonts w:ascii="Arial" w:cs="Arial" w:eastAsia="Arial" w:hAnsi="Arial"/>
          <w:sz w:val="18"/>
          <w:szCs w:val="18"/>
          <w:color w:val="auto"/>
        </w:rPr>
        <w:t>” for a description of our equity compensation plans.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the closing of this offering, pursuant to our Second A&amp;R Rights Agreement, the holders of approximately        shares of our common stock, or their transferees, will be entitled to certain rights with respect to the registration of the offer and sale of their shares under the Securities Act, subject to the terms of the lock-up agreements described under the subsection titled “—</w:t>
      </w:r>
      <w:r>
        <w:rPr>
          <w:rFonts w:ascii="Arial" w:cs="Arial" w:eastAsia="Arial" w:hAnsi="Arial"/>
          <w:sz w:val="18"/>
          <w:szCs w:val="18"/>
          <w:i w:val="1"/>
          <w:iCs w:val="1"/>
          <w:color w:val="auto"/>
        </w:rPr>
        <w:t>Lock-Up Agreements</w:t>
      </w:r>
      <w:r>
        <w:rPr>
          <w:rFonts w:ascii="Arial" w:cs="Arial" w:eastAsia="Arial" w:hAnsi="Arial"/>
          <w:sz w:val="18"/>
          <w:szCs w:val="18"/>
          <w:color w:val="auto"/>
        </w:rPr>
        <w:t>” above. Registration of these shares under the Securities Act would result in the shares becoming freely tradable without restriction under the Securities Act immediately upon the effectiveness of the relevant registration statement. Any sales of securities by these stockholders could have a material adverse effect on the trading price of our common stock. See the section of this prospectus 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Stock—Registration Rights</w:t>
      </w:r>
      <w:r>
        <w:rPr>
          <w:rFonts w:ascii="Arial" w:cs="Arial" w:eastAsia="Arial" w:hAnsi="Arial"/>
          <w:sz w:val="18"/>
          <w:szCs w:val="18"/>
          <w:color w:val="auto"/>
        </w:rPr>
        <w:t>” for additional information.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020"/>
          </w:cols>
          <w:pgMar w:left="320" w:top="455" w:right="5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is a summary of the material U.S. federal income tax consequences to non-U.S. holders (as defined below) of the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the special tax accounting rules under Section 451(b) of the Internal Revenue Code of 1986, as amended, or the Code, any estate or gift tax consequences (other than those specifically set forth below) or any tax consequences arising under any state, local or foreign tax laws, or any other U.S. federal tax laws. This discussion is based on the Code, Treasury Regulations promulgated or proposed thereunder, judicial decisions and published rulings and administrative pronouncements of the Internal Revenue Service, or the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6"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holder in light of such holder’s particular circumstances. This discussion also does not consider any specific facts or circumstances that may be relevant to non-U.S. holders subject to special rules under U.S. federal income tax laws, including:</w:t>
      </w:r>
    </w:p>
    <w:p>
      <w:pPr>
        <w:spacing w:after="0" w:line="82" w:lineRule="exact"/>
        <w:rPr>
          <w:sz w:val="20"/>
          <w:szCs w:val="20"/>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or other pass-through entities (and investors therein);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tax-exempt organizations, governmental organizations and sovereign wealth funds;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880" w:right="860" w:hanging="224"/>
        <w:spacing w:after="0" w:line="271"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59" w:lineRule="exact"/>
        <w:rPr>
          <w:rFonts w:ascii="Arial" w:cs="Arial" w:eastAsia="Arial" w:hAnsi="Arial"/>
          <w:sz w:val="18"/>
          <w:szCs w:val="18"/>
          <w:color w:val="auto"/>
        </w:rPr>
      </w:pPr>
    </w:p>
    <w:p>
      <w:pPr>
        <w:ind w:left="880" w:right="1020" w:hanging="224"/>
        <w:spacing w:after="0" w:line="271"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who hold common stock that constitutes “qualified small business stock” under Section 1202 of the Code or “Section 1244 stock” under Section 1244 of the Code;</w:t>
      </w:r>
    </w:p>
    <w:p>
      <w:pPr>
        <w:spacing w:after="0" w:line="59" w:lineRule="exact"/>
        <w:rPr>
          <w:rFonts w:ascii="Arial" w:cs="Arial" w:eastAsia="Arial" w:hAnsi="Arial"/>
          <w:sz w:val="18"/>
          <w:szCs w:val="18"/>
          <w:color w:val="auto"/>
        </w:rPr>
      </w:pPr>
    </w:p>
    <w:p>
      <w:pPr>
        <w:ind w:left="880" w:right="880" w:hanging="224"/>
        <w:spacing w:after="0" w:line="271"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who acquired our common stock in a transaction subject to the gain rollover provisions of the Code (including Section 1045 of the Code);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persons that acquired our common stock pursuant to the exercise of warrants or conversion rights under convertible instruments;</w:t>
      </w:r>
    </w:p>
    <w:p>
      <w:pPr>
        <w:spacing w:after="0" w:line="128" w:lineRule="exact"/>
        <w:rPr>
          <w:rFonts w:ascii="Arial" w:cs="Arial" w:eastAsia="Arial" w:hAnsi="Arial"/>
          <w:sz w:val="17"/>
          <w:szCs w:val="17"/>
          <w:color w:val="auto"/>
        </w:rPr>
      </w:pPr>
    </w:p>
    <w:p>
      <w:pPr>
        <w:ind w:left="880" w:right="180" w:hanging="224"/>
        <w:spacing w:after="0" w:line="271"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59"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(whether or not for USRPHC, as defined below, purposes), more than 5% of our common stock;</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7" w:lineRule="exact"/>
        <w:rPr>
          <w:rFonts w:ascii="Arial" w:cs="Arial" w:eastAsia="Arial" w:hAnsi="Arial"/>
          <w:sz w:val="18"/>
          <w:szCs w:val="18"/>
          <w:color w:val="auto"/>
        </w:rPr>
      </w:pPr>
    </w:p>
    <w:p>
      <w:pPr>
        <w:ind w:left="880" w:right="300" w:hanging="224"/>
        <w:spacing w:after="0" w:line="271"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constructive sale, or other risk reduction strategy or integrated investment.</w:t>
      </w:r>
    </w:p>
    <w:p>
      <w:pPr>
        <w:spacing w:after="0" w:line="15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74"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04"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or other pass-through entity for U.S. federal income tax purposes. A U.S. person is any person that, for U.S. federal income tax purposes, is or is treated as any of the following:</w:t>
      </w:r>
    </w:p>
    <w:p>
      <w:pPr>
        <w:spacing w:after="0" w:line="74" w:lineRule="exact"/>
        <w:rPr>
          <w:sz w:val="20"/>
          <w:szCs w:val="20"/>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individual who is a citizen or resident (including a “green card” holder) of the United States;</w:t>
      </w:r>
    </w:p>
    <w:p>
      <w:pPr>
        <w:spacing w:after="0" w:line="117"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under the laws of the United States, any state thereof or the District of Columbia;</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880" w:right="260" w:hanging="224"/>
        <w:spacing w:after="0" w:line="253"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If you are an individual who is not a 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76"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04"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If we distribute cash or other property on our common stock, such distributions will constitute dividends for U.S. federal income tax purposes to the extent paid from our current or accumulated earnings and profits, as determined under U.S. federal income tax principles. Amounts distributed in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060"/>
          </w:cols>
          <w:pgMar w:left="320" w:top="455" w:right="5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excess of our current and accumulated earnings and profits will constitute a return of capital and will first be applied against and reduce a non-U.S. holder’s tax basis in our common stock, but not below zero. Any distribution in excess of the non-U.S. holder’s tax basis in our common stock will be treated as gain realized on the sale or other disposition of our common stock and will be treated as described in the section of this prospectus titled “—</w:t>
      </w:r>
      <w:r>
        <w:rPr>
          <w:rFonts w:ascii="Arial" w:cs="Arial" w:eastAsia="Arial" w:hAnsi="Arial"/>
          <w:sz w:val="18"/>
          <w:szCs w:val="18"/>
          <w:i w:val="1"/>
          <w:iCs w:val="1"/>
          <w:color w:val="auto"/>
        </w:rPr>
        <w:t>Gain on Disposition of Our Common Stock</w:t>
      </w:r>
      <w:r>
        <w:rPr>
          <w:rFonts w:ascii="Arial" w:cs="Arial" w:eastAsia="Arial" w:hAnsi="Arial"/>
          <w:sz w:val="18"/>
          <w:szCs w:val="18"/>
          <w:color w:val="auto"/>
        </w:rPr>
        <w:t>” below.</w:t>
      </w:r>
    </w:p>
    <w:p>
      <w:pPr>
        <w:spacing w:after="0" w:line="174"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the applicable withholding agent with a valid IRS Form W-8BEN or IRS Form W-8BEN-E (or other applicable successor form) certifying under penalties of perjury such non-U.S. holder’s qualification for the reduced rate.</w:t>
      </w:r>
    </w:p>
    <w:p>
      <w:pPr>
        <w:spacing w:after="0" w:line="176"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generally be exempt from U.S. federal withholding tax, provided that the non-U.S. holder furnishes a valid IRS Form W-8ECI (or applicable successor form) to the applicable withholding agent.</w:t>
      </w:r>
    </w:p>
    <w:p>
      <w:pPr>
        <w:spacing w:after="0" w:line="176"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(assuming a U.S. tax return is timely filed, otherwise gross)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6"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The certification requirements described above must be provided to the applicable withholding agent prior to the payment of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 Special certification and other requirements apply in the case of certain non-U.S. holders that hold shares of our common stock through intermediaries or are pass-through entities for U.S. federal income tax purposes.</w:t>
      </w:r>
    </w:p>
    <w:p>
      <w:pPr>
        <w:spacing w:after="0" w:line="17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Each non-U.S. holder is urged to consult its own tax advisor about the specific methods for satisfying these requirements. A claim for exemption or reduction in tax withholding will not be valid if the person receiving the applicable form has actual knowledge or reason to know that the statements on the form are false.</w:t>
      </w:r>
    </w:p>
    <w:p>
      <w:pPr>
        <w:spacing w:after="0" w:line="169" w:lineRule="exact"/>
        <w:rPr>
          <w:sz w:val="20"/>
          <w:szCs w:val="20"/>
          <w:color w:val="auto"/>
        </w:rPr>
      </w:pPr>
    </w:p>
    <w:p>
      <w:pPr>
        <w:jc w:val="both"/>
        <w:ind w:left="120" w:right="440" w:firstLine="551"/>
        <w:spacing w:after="0" w:line="253"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on any gain realized on the sale or other disposition of our common stock, unless:</w:t>
      </w:r>
    </w:p>
    <w:p>
      <w:pPr>
        <w:spacing w:after="0" w:line="99" w:lineRule="exact"/>
        <w:rPr>
          <w:sz w:val="20"/>
          <w:szCs w:val="20"/>
          <w:color w:val="auto"/>
        </w:rPr>
      </w:pPr>
    </w:p>
    <w:p>
      <w:pPr>
        <w:ind w:left="880" w:hanging="224"/>
        <w:spacing w:after="0" w:line="253"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74" w:lineRule="exact"/>
        <w:rPr>
          <w:rFonts w:ascii="Arial" w:cs="Arial" w:eastAsia="Arial" w:hAnsi="Arial"/>
          <w:sz w:val="18"/>
          <w:szCs w:val="18"/>
          <w:color w:val="auto"/>
        </w:rPr>
      </w:pPr>
    </w:p>
    <w:p>
      <w:pPr>
        <w:ind w:left="880" w:right="60" w:hanging="224"/>
        <w:spacing w:after="0" w:line="271"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59" w:lineRule="exact"/>
        <w:rPr>
          <w:rFonts w:ascii="Arial" w:cs="Arial" w:eastAsia="Arial" w:hAnsi="Arial"/>
          <w:sz w:val="18"/>
          <w:szCs w:val="18"/>
          <w:color w:val="auto"/>
        </w:rPr>
      </w:pPr>
    </w:p>
    <w:p>
      <w:pPr>
        <w:ind w:left="880" w:right="240" w:hanging="224"/>
        <w:spacing w:after="0" w:line="242"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(as defined in the Code) by reason of our status as a U.S. real property holding corporation, or USRPHC, for U.S. federal income tax purposes at any time within the shorter of the five-year period preceding the disposition or the non-U.S. holder’s holding period for our common stock, or the relevant period, and the non-U.S. holder (i) disposes of our shares of common stock during a calendar year when our shares of common stock are not regularly traded on an established securities market or (ii) owned (directly, indirectly, or constructively) more than 5% of our shares of common stock at any time during the relevant period.</w:t>
      </w:r>
    </w:p>
    <w:p>
      <w:pPr>
        <w:spacing w:after="0" w:line="179"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we are not currently and we do not anticipate becoming a USRPHC for U.S. federal income tax purposes, although there can be no assurance we will not in the future become a USRPHC.</w:t>
      </w:r>
    </w:p>
    <w:p>
      <w:pPr>
        <w:spacing w:after="0" w:line="174" w:lineRule="exact"/>
        <w:rPr>
          <w:sz w:val="20"/>
          <w:szCs w:val="20"/>
          <w:color w:val="auto"/>
        </w:rPr>
      </w:pPr>
    </w:p>
    <w:p>
      <w:pPr>
        <w:ind w:left="120" w:right="40" w:firstLine="551"/>
        <w:spacing w:after="0" w:line="254" w:lineRule="auto"/>
        <w:rPr>
          <w:sz w:val="20"/>
          <w:szCs w:val="20"/>
          <w:color w:val="auto"/>
        </w:rPr>
      </w:pPr>
      <w:r>
        <w:rPr>
          <w:rFonts w:ascii="Arial" w:cs="Arial" w:eastAsia="Arial" w:hAnsi="Arial"/>
          <w:sz w:val="17"/>
          <w:szCs w:val="17"/>
          <w:color w:val="auto"/>
        </w:rPr>
        <w:t>Gains described in the first bullet point above generally will be subject to U.S. federal income tax on a net (assuming a U.S. tax return is timely filed, otherwise gross)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to corporate non-U.S. holders.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 including the availability of and procedure for obtaining an exemption from backup withholding.</w:t>
      </w:r>
    </w:p>
    <w:p>
      <w:pPr>
        <w:spacing w:after="0" w:line="179" w:lineRule="exact"/>
        <w:rPr>
          <w:sz w:val="20"/>
          <w:szCs w:val="20"/>
          <w:color w:val="auto"/>
        </w:rPr>
      </w:pPr>
    </w:p>
    <w:p>
      <w:pPr>
        <w:ind w:left="120" w:right="400" w:firstLine="551"/>
        <w:spacing w:after="0" w:line="25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0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Foreign Account Tax Compliance Act, or FATCA, as reflected in Sections 1471 through 1474 of the Code, imposes a U.S. federal withholding tax of 30% on certain payments, including dividends paid in respect of our common stock and the gross proceeds of disposition on our common stock, made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(2) a “non-financial foreign entity” (as defined under FATCA) that does not furnish proper documentation (typically on IRS Form W-8BEN-E) evidencing either (i) an exemption from FATCA or (ii) adequate information regarding substantial United States beneficial owners of such entity (if any). An intergovernmental agreement between the United States and an applicable foreign country may modify these requirements. Under certain circumstances, a non-U.S. holder might be eligible for refunds or credits of such taxes. Withholding under FATCA generally applies to payments of dividends on our shares of common stock and to payments of gross proceeds from a sale or other disposition of our shares of common stock. Withholding agents may, however, rely on proposed Treasury Regulations that would no longer require FATCA withholding on payments of gross proceeds. A withholding agent such as a broker, and not us, will determine whether or not to implement gross proceeds FATCA withholding.</w:t>
      </w:r>
    </w:p>
    <w:p>
      <w:pPr>
        <w:spacing w:after="0" w:line="188"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Estate Tax</w:t>
      </w:r>
    </w:p>
    <w:p>
      <w:pPr>
        <w:spacing w:after="0" w:line="104"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acquisition, ownership and disposition of our common stock.</w:t>
      </w:r>
    </w:p>
    <w:p>
      <w:pPr>
        <w:spacing w:after="0" w:line="17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U.S. FEDERAL, STATE OR LOCAL OR NON-U.S. INCOME AND NON-INCOME TAX LAWS.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ind w:left="120"/>
        <w:spacing w:after="0"/>
        <w:rPr>
          <w:sz w:val="20"/>
          <w:szCs w:val="20"/>
          <w:color w:val="auto"/>
        </w:rPr>
      </w:pPr>
      <w:r>
        <w:rPr>
          <w:rFonts w:ascii="Arial" w:cs="Arial" w:eastAsia="Arial" w:hAnsi="Arial"/>
          <w:sz w:val="18"/>
          <w:szCs w:val="18"/>
          <w:color w:val="auto"/>
        </w:rPr>
        <w:t>Goldman Sachs &amp; Co. LLC, Jefferies LLC and TD Securities (USA) LLC are the representatives of the underwriters.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9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3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 xml:space="preserve">             </w:t>
            </w:r>
          </w:p>
        </w:tc>
      </w:tr>
      <w:tr>
        <w:trPr>
          <w:trHeight w:val="203"/>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Jefferies LLC</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TD Securities (USA) LLC</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Wedbush Securities Inc.</w:t>
            </w:r>
          </w:p>
        </w:tc>
        <w:tc>
          <w:tcPr>
            <w:tcW w:w="1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4"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The underwriters have an option to buy up to an additional        shares of our common stock from us to cover sales by the underwriters of a greater number of shares than the total number set forth in the table above. They may exercise that option for 30 days following the date of this prospectus. If any shares are purchased pursuant to this option, the underwriters will severally purchase shares in approximately the same proportion as set forth in the table above.</w:t>
      </w:r>
    </w:p>
    <w:p>
      <w:pPr>
        <w:spacing w:after="0" w:line="174"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an additional        shares of our common stock from us.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28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30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239"/>
        </w:trPr>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410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 </w:t>
            </w:r>
          </w:p>
        </w:tc>
      </w:tr>
    </w:tbl>
    <w:p>
      <w:pPr>
        <w:spacing w:after="0" w:line="161"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w:t>
      </w:r>
    </w:p>
    <w:p>
      <w:pPr>
        <w:spacing w:after="0" w:line="2"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color w:val="auto"/>
        </w:rPr>
        <w:t>The offering of the shares by the underwriters is subject to receipt and acceptance and subject to the underwriters’ right to reject any order in whole or in part.</w:t>
      </w:r>
    </w:p>
    <w:p>
      <w:pPr>
        <w:spacing w:after="0" w:line="17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such securities, collectively, Lock-Up Securities, during the period from the date of this prospectus continuing through the date 180 days after the date of this prospectus, except with the prior written consent of Goldman Sachs &amp; Co. LLC, Jefferies LLC and TD Securities (USA) LLC. See the section of this prospectus titled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 for a discussion of other transfer restrictions.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The restrictions described in the immediately preceding paragraph do not apply to our officers, directors and holders of substantially all of our capital stock and securities convertible into or exchangeable for our common stock with respect to:</w:t>
      </w:r>
    </w:p>
    <w:p>
      <w:pPr>
        <w:spacing w:after="0" w:line="15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such lock-up party or the immediate family of such lock-up party or, if such lock-up party is a trust, to a trustor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trust or other business entity that is an affiliate (as defined in Rule 405 under the Securities Act) of such lock-up party, (B) to any investment fund or other entity which fund or entity directly or indirectly is controlling, controlled by, managing or managed by or under common control with the lock-up party or affiliates of such lock-up party, or (C) as part of a distribution or transfer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from a current or former employee or other service provider upon death, disability or termination of services, in each case, of such employee or other service provider, (ix) if the lock-up party is not one of our officers or directors, in connection with a sale, transfer or disposal of, or entry into other transactions (including, without limitation, any swap, hedge or similar agreement or arrangement) relating to, such lock-up party’s shares of common stock acquired (A) from the underwriters in this offering or (B) in open market transactions on or after the closing date of this offering or (x) to us in connection with the vesting, settlement or exercise of restricted stock units, options, warrants or other rights to purchase or receive shares of common stock (including, in each case, by way of “net” or “cashless” exercise), including any transfer to us for the payment of the exercise price,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 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lock-up agreement containing the same restrictions set forth above, (C) in the case of clauses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(i), (ii),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thereof (1) the circumstances of such transfer or distribution and</w:t>
      </w:r>
    </w:p>
    <w:p>
      <w:pPr>
        <w:spacing w:after="0" w:line="12" w:lineRule="exact"/>
        <w:rPr>
          <w:sz w:val="20"/>
          <w:szCs w:val="20"/>
          <w:color w:val="auto"/>
        </w:rPr>
      </w:pPr>
    </w:p>
    <w:p>
      <w:pPr>
        <w:ind w:left="120" w:right="200" w:hanging="4"/>
        <w:spacing w:after="0" w:line="250" w:lineRule="auto"/>
        <w:tabs>
          <w:tab w:leader="none" w:pos="39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 transfer or distribution pursuant to clauses (i), (ii) or (vii) above, that the donee, devisee, transferee or distributee has agreed to be bound by a lock-up agreement containing the same restrictions set forth above.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lock-up period (except as would otherwise be permitted under the lock-up agreement)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or text thereof that none of the securities subject to such plan may be transferred, sold or otherwise disposed of pursuant to such plan until after the expiration of the lock-up period, (b) (i) transfer its Lock-Up Securities pursuant to a bona fide third-party tender offer, merger, consolidation or other similar transaction that is approved by our board of directors (or a duly authorized committee thereof) and made available to all holders of our capital stock involving a change of control of us, in one transaction or a series of related transactions, to a person or group of affiliated persons, after such transfer, such person or group of affiliated persons would hold at least a majority of our outstanding voting securities (or the outstanding voting securities of the surviving entity) and (ii) enter into any lock-up, voting or similar agreement pursuant to which the undersigned may agree to transfer, sell, tender or otherwise dispose of Lock-Up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or (c) convert outstanding shares of our convertible preferred stock and non-voting common stock into shares of common stock and exchange warrants to acquire preferred stock for warrants to acquire common stock; provided that any such shares received upon such conversion and exchange shall remain subject to the provisions of the lock-up agreement.</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on transfers or other dispositions by us described above do not apply to us with respect to            .</w:t>
      </w:r>
    </w:p>
    <w:p>
      <w:pPr>
        <w:spacing w:after="0" w:line="21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Capital Market under the symbol “ODTX.”</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adversely affect investors who purchase in the offering. Stabilizing transactions consist of various bids for or purchases of common stock made by the underwriters in the open market prior to the completion of the offering.</w:t>
      </w:r>
    </w:p>
    <w:p>
      <w:pPr>
        <w:spacing w:after="0" w:line="154"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delaying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Capital Market, in the over-the-counter market or otherwise.</w:t>
      </w:r>
    </w:p>
    <w:p>
      <w:pPr>
        <w:spacing w:after="0" w:line="179"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 We have agreed to reimburse the underwriters for certain of their expenses in an amount up to $    .</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Economic Area</w:t>
      </w:r>
    </w:p>
    <w:p>
      <w:pPr>
        <w:spacing w:after="0" w:line="102"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p>
    <w:p>
      <w:pPr>
        <w:spacing w:after="0" w:line="176" w:lineRule="exact"/>
        <w:rPr>
          <w:sz w:val="20"/>
          <w:szCs w:val="20"/>
          <w:color w:val="auto"/>
        </w:rPr>
      </w:pPr>
    </w:p>
    <w:p>
      <w:pPr>
        <w:ind w:left="5480" w:right="2060" w:hanging="4813"/>
        <w:spacing w:after="0" w:line="443" w:lineRule="auto"/>
        <w:tabs>
          <w:tab w:leader="none" w:pos="94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 266</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right="920" w:firstLine="7"/>
        <w:spacing w:after="0" w:line="271" w:lineRule="auto"/>
        <w:tabs>
          <w:tab w:leader="none" w:pos="9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45" w:lineRule="exact"/>
        <w:rPr>
          <w:rFonts w:ascii="Arial" w:cs="Arial" w:eastAsia="Arial" w:hAnsi="Arial"/>
          <w:sz w:val="18"/>
          <w:szCs w:val="18"/>
          <w:color w:val="auto"/>
        </w:rPr>
      </w:pPr>
    </w:p>
    <w:p>
      <w:pPr>
        <w:ind w:left="920" w:hanging="253"/>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5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For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Kingdom</w:t>
      </w:r>
    </w:p>
    <w:p>
      <w:pPr>
        <w:spacing w:after="0" w:line="102"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61" w:lineRule="exact"/>
        <w:rPr>
          <w:sz w:val="20"/>
          <w:szCs w:val="20"/>
          <w:color w:val="auto"/>
        </w:rPr>
      </w:pPr>
    </w:p>
    <w:p>
      <w:pPr>
        <w:ind w:left="940" w:hanging="273"/>
        <w:spacing w:after="0"/>
        <w:tabs>
          <w:tab w:leader="none" w:pos="9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03" w:lineRule="exact"/>
        <w:rPr>
          <w:rFonts w:ascii="Arial" w:cs="Arial" w:eastAsia="Arial" w:hAnsi="Arial"/>
          <w:sz w:val="18"/>
          <w:szCs w:val="18"/>
          <w:color w:val="auto"/>
        </w:rPr>
      </w:pPr>
    </w:p>
    <w:p>
      <w:pPr>
        <w:ind w:left="660" w:right="620" w:firstLine="7"/>
        <w:spacing w:after="0" w:line="271" w:lineRule="auto"/>
        <w:tabs>
          <w:tab w:leader="none" w:pos="9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45" w:lineRule="exact"/>
        <w:rPr>
          <w:rFonts w:ascii="Arial" w:cs="Arial" w:eastAsia="Arial" w:hAnsi="Arial"/>
          <w:sz w:val="18"/>
          <w:szCs w:val="18"/>
          <w:color w:val="auto"/>
        </w:rPr>
      </w:pPr>
    </w:p>
    <w:p>
      <w:pPr>
        <w:ind w:left="920" w:hanging="253"/>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or the FSMA;</w:t>
      </w:r>
    </w:p>
    <w:p>
      <w:pPr>
        <w:spacing w:after="0" w:line="21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w:t>
      </w:r>
    </w:p>
    <w:p>
      <w:pPr>
        <w:spacing w:after="0" w:line="10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6"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301" w:lineRule="auto"/>
        <w:rPr>
          <w:sz w:val="20"/>
          <w:szCs w:val="20"/>
          <w:color w:val="auto"/>
        </w:rPr>
      </w:pPr>
      <w:r>
        <w:rPr>
          <w:rFonts w:ascii="Arial" w:cs="Arial" w:eastAsia="Arial" w:hAnsi="Arial"/>
          <w:sz w:val="17"/>
          <w:szCs w:val="17"/>
          <w:color w:val="auto"/>
        </w:rPr>
        <w:t>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31"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Hong Kong</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3"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w:t>
      </w:r>
    </w:p>
    <w:p>
      <w:pPr>
        <w:spacing w:after="0" w:line="102"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w:t>
      </w:r>
    </w:p>
    <w:p>
      <w:pPr>
        <w:spacing w:after="0" w:line="2" w:lineRule="exact"/>
        <w:rPr>
          <w:sz w:val="20"/>
          <w:szCs w:val="20"/>
          <w:color w:val="auto"/>
        </w:rPr>
      </w:pPr>
    </w:p>
    <w:p>
      <w:pPr>
        <w:ind w:left="120" w:right="80" w:hanging="4"/>
        <w:spacing w:after="0" w:line="237" w:lineRule="auto"/>
        <w:tabs>
          <w:tab w:leader="none" w:pos="3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Japan</w:t>
      </w:r>
    </w:p>
    <w:p>
      <w:pPr>
        <w:spacing w:after="0" w:line="102"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0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Switzerland</w:t>
      </w:r>
    </w:p>
    <w:p>
      <w:pPr>
        <w:spacing w:after="0" w:line="102" w:lineRule="exact"/>
        <w:rPr>
          <w:sz w:val="20"/>
          <w:szCs w:val="20"/>
          <w:color w:val="auto"/>
        </w:rPr>
      </w:pPr>
    </w:p>
    <w:p>
      <w:pPr>
        <w:ind w:left="120" w:firstLine="551"/>
        <w:spacing w:after="0" w:line="259" w:lineRule="auto"/>
        <w:rPr>
          <w:sz w:val="20"/>
          <w:szCs w:val="20"/>
          <w:color w:val="auto"/>
        </w:rPr>
      </w:pPr>
      <w:r>
        <w:rPr>
          <w:rFonts w:ascii="Arial" w:cs="Arial" w:eastAsia="Arial" w:hAnsi="Arial"/>
          <w:sz w:val="17"/>
          <w:szCs w:val="17"/>
          <w:color w:val="auto"/>
        </w:rPr>
        <w:t>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or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w:t>
      </w:r>
    </w:p>
    <w:p>
      <w:pPr>
        <w:spacing w:after="0" w:line="16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Brazil</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offer and sale of the securities have not been and will not be registered with the Brazilian Securities Commission, or CVM, and, therefore, will not be carried out by any means that would constitute a public offering in Brazil under CVM Resolution No 160, dated July 13,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The validity of the shares of common stock offered hereby and selected other legal matters in connection with the offering will be passed upon for us by Covington &amp; Burling LLP, Boston, Massachusetts. Cooley LLP, Boston, Massachusetts, will serve as counsel to the underwriters in connection with this offering.</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jc w:val="both"/>
        <w:ind w:left="120" w:firstLine="551"/>
        <w:spacing w:after="0" w:line="275" w:lineRule="auto"/>
        <w:rPr>
          <w:sz w:val="20"/>
          <w:szCs w:val="20"/>
          <w:color w:val="auto"/>
        </w:rPr>
      </w:pPr>
      <w:r>
        <w:rPr>
          <w:rFonts w:ascii="Arial" w:cs="Arial" w:eastAsia="Arial" w:hAnsi="Arial"/>
          <w:sz w:val="17"/>
          <w:szCs w:val="17"/>
          <w:color w:val="auto"/>
        </w:rPr>
        <w:t>The financial statements of Odyssey Therapeutics, Inc. as of December 31, 2023 and 2022, and for the years then ended,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 website that contains reports, proxy statements and other information about issuers, like us, that file electronically with the SEC. The address of that website is www.sec.gov.</w:t>
      </w:r>
    </w:p>
    <w:p>
      <w:pPr>
        <w:spacing w:after="0" w:line="180"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at the website of the SEC referred to above. We also maintain a website at https://odysseytx.com; upon closing of this offering, you may access these materials free of charge as soon as reasonably practicable after they are electronically filed with, or furnished to, the SEC. The information on or that can be accessed through our website is not a part of this prospectus and the inclusion of our website address in this prospectus is an inactive textual reference only.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Odyssey Therapeutics, Inc.</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 as of and for the Years Ended December 31, 2023 and 2022</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0" w:type="dxa"/>
            <w:vAlign w:val="bottom"/>
            <w:gridSpan w:val="6"/>
            <w:vMerge w:val="restart"/>
          </w:tcPr>
          <w:p>
            <w:pPr>
              <w:spacing w:after="0"/>
              <w:rPr>
                <w:sz w:val="20"/>
                <w:szCs w:val="20"/>
                <w:color w:val="auto"/>
              </w:rPr>
            </w:pPr>
            <w:r>
              <w:rPr>
                <w:rFonts w:ascii="Arial" w:cs="Arial" w:eastAsia="Arial" w:hAnsi="Arial"/>
                <w:sz w:val="18"/>
                <w:szCs w:val="18"/>
                <w:color w:val="0000EE"/>
                <w:w w:val="99"/>
              </w:rPr>
              <w:t>Report of Independent Registered Public Accounting Firm</w:t>
            </w:r>
          </w:p>
        </w:tc>
        <w:tc>
          <w:tcPr>
            <w:tcW w:w="5700" w:type="dxa"/>
            <w:vAlign w:val="bottom"/>
            <w:gridSpan w:val="10"/>
            <w:vMerge w:val="restart"/>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9"/>
        </w:trPr>
        <w:tc>
          <w:tcPr>
            <w:tcW w:w="4600" w:type="dxa"/>
            <w:vAlign w:val="bottom"/>
            <w:tcBorders>
              <w:bottom w:val="single" w:sz="8" w:color="0000EE"/>
            </w:tcBorders>
            <w:gridSpan w:val="6"/>
            <w:vMerge w:val="continue"/>
          </w:tcPr>
          <w:p>
            <w:pPr>
              <w:spacing w:after="0"/>
              <w:rPr>
                <w:sz w:val="16"/>
                <w:szCs w:val="16"/>
                <w:color w:val="auto"/>
              </w:rPr>
            </w:pPr>
          </w:p>
        </w:tc>
        <w:tc>
          <w:tcPr>
            <w:tcW w:w="5700" w:type="dxa"/>
            <w:vAlign w:val="bottom"/>
            <w:gridSpan w:val="10"/>
            <w:vMerge w:val="continue"/>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10300" w:type="dxa"/>
            <w:vAlign w:val="bottom"/>
            <w:gridSpan w:val="16"/>
          </w:tcPr>
          <w:p>
            <w:pPr>
              <w:spacing w:after="0" w:line="182" w:lineRule="exact"/>
              <w:rPr>
                <w:sz w:val="20"/>
                <w:szCs w:val="20"/>
                <w:color w:val="auto"/>
              </w:rPr>
            </w:pPr>
            <w:r>
              <w:rPr>
                <w:rFonts w:ascii="Arial" w:cs="Arial" w:eastAsia="Arial" w:hAnsi="Arial"/>
                <w:sz w:val="18"/>
                <w:szCs w:val="18"/>
                <w:color w:val="0000EE"/>
              </w:rPr>
              <w:t>Consolidated Balance Sheets as of December 31, 2023 and 2022</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2"/>
        </w:trPr>
        <w:tc>
          <w:tcPr>
            <w:tcW w:w="52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Consolidated Statements of Operations and Comprehensive Loss</w:t>
            </w:r>
          </w:p>
        </w:tc>
        <w:tc>
          <w:tcPr>
            <w:tcW w:w="5080" w:type="dxa"/>
            <w:vAlign w:val="bottom"/>
            <w:gridSpan w:val="9"/>
          </w:tcPr>
          <w:p>
            <w:pPr>
              <w:ind w:left="60"/>
              <w:spacing w:after="0" w:line="182" w:lineRule="exact"/>
              <w:rPr>
                <w:sz w:val="20"/>
                <w:szCs w:val="20"/>
                <w:color w:val="auto"/>
              </w:rPr>
            </w:pPr>
            <w:r>
              <w:rPr>
                <w:rFonts w:ascii="Arial" w:cs="Arial" w:eastAsia="Arial" w:hAnsi="Arial"/>
                <w:sz w:val="18"/>
                <w:szCs w:val="18"/>
                <w:color w:val="0000EE"/>
              </w:rPr>
              <w:t>for the years ended December 31, 2023 and 2022</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926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Consolidated Statements of Convertible Preferred Stock and Stockholders’ Deficit for the years ended December 31,</w:t>
            </w:r>
          </w:p>
        </w:tc>
        <w:tc>
          <w:tcPr>
            <w:tcW w:w="1040" w:type="dxa"/>
            <w:vAlign w:val="bottom"/>
            <w:gridSpan w:val="4"/>
          </w:tcPr>
          <w:p>
            <w:pPr>
              <w:ind w:left="60"/>
              <w:spacing w:after="0" w:line="182" w:lineRule="exact"/>
              <w:rPr>
                <w:sz w:val="20"/>
                <w:szCs w:val="20"/>
                <w:color w:val="auto"/>
              </w:rPr>
            </w:pPr>
            <w:r>
              <w:rPr>
                <w:rFonts w:ascii="Arial" w:cs="Arial" w:eastAsia="Arial" w:hAnsi="Arial"/>
                <w:sz w:val="18"/>
                <w:szCs w:val="18"/>
                <w:color w:val="0000EE"/>
              </w:rPr>
              <w:t>2023 and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2"/>
          </w:tcPr>
          <w:p>
            <w:pPr>
              <w:ind w:left="180"/>
              <w:spacing w:after="0" w:line="182" w:lineRule="exact"/>
              <w:rPr>
                <w:sz w:val="20"/>
                <w:szCs w:val="20"/>
                <w:color w:val="auto"/>
              </w:rPr>
            </w:pPr>
            <w:r>
              <w:rPr>
                <w:rFonts w:ascii="Arial" w:cs="Arial" w:eastAsia="Arial" w:hAnsi="Arial"/>
                <w:sz w:val="18"/>
                <w:szCs w:val="18"/>
                <w:color w:val="0000EE"/>
                <w:w w:val="94"/>
              </w:rPr>
              <w:t>2022</w:t>
            </w:r>
          </w:p>
        </w:tc>
        <w:tc>
          <w:tcPr>
            <w:tcW w:w="340" w:type="dxa"/>
            <w:vAlign w:val="bottom"/>
            <w:tcBorders>
              <w:top w:val="single" w:sz="8" w:color="0000EE"/>
            </w:tcBorders>
          </w:tcPr>
          <w:p>
            <w:pPr>
              <w:spacing w:after="0"/>
              <w:rPr>
                <w:sz w:val="15"/>
                <w:szCs w:val="15"/>
                <w:color w:val="auto"/>
              </w:rPr>
            </w:pPr>
          </w:p>
        </w:tc>
        <w:tc>
          <w:tcPr>
            <w:tcW w:w="168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9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F-8</w:t>
            </w:r>
          </w:p>
        </w:tc>
        <w:tc>
          <w:tcPr>
            <w:tcW w:w="0" w:type="dxa"/>
            <w:vAlign w:val="bottom"/>
          </w:tcPr>
          <w:p>
            <w:pPr>
              <w:spacing w:after="0" w:line="20" w:lineRule="exact"/>
              <w:rPr>
                <w:sz w:val="1"/>
                <w:szCs w:val="1"/>
                <w:color w:val="auto"/>
              </w:rPr>
            </w:pPr>
          </w:p>
        </w:tc>
      </w:tr>
      <w:tr>
        <w:trPr>
          <w:trHeight w:val="183"/>
        </w:trPr>
        <w:tc>
          <w:tcPr>
            <w:tcW w:w="180" w:type="dxa"/>
            <w:vAlign w:val="bottom"/>
            <w:vMerge w:val="continue"/>
          </w:tcPr>
          <w:p>
            <w:pPr>
              <w:spacing w:after="0"/>
              <w:rPr>
                <w:sz w:val="15"/>
                <w:szCs w:val="15"/>
                <w:color w:val="auto"/>
              </w:rPr>
            </w:pPr>
          </w:p>
        </w:tc>
        <w:tc>
          <w:tcPr>
            <w:tcW w:w="10120" w:type="dxa"/>
            <w:vAlign w:val="bottom"/>
            <w:gridSpan w:val="15"/>
          </w:tcPr>
          <w:p>
            <w:pPr>
              <w:spacing w:after="0" w:line="182" w:lineRule="exact"/>
              <w:rPr>
                <w:sz w:val="20"/>
                <w:szCs w:val="20"/>
                <w:color w:val="auto"/>
              </w:rPr>
            </w:pPr>
            <w:r>
              <w:rPr>
                <w:rFonts w:ascii="Arial" w:cs="Arial" w:eastAsia="Arial" w:hAnsi="Arial"/>
                <w:sz w:val="18"/>
                <w:szCs w:val="18"/>
                <w:color w:val="0000EE"/>
              </w:rPr>
              <w:t>Consolidated Statements of Cash Flows for the years ended December 31, 2023 and 2022</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Notes to Consolidated Financial Statements</w:t>
            </w:r>
          </w:p>
        </w:tc>
        <w:tc>
          <w:tcPr>
            <w:tcW w:w="3780" w:type="dxa"/>
            <w:vAlign w:val="bottom"/>
            <w:tcBorders>
              <w:top w:val="single" w:sz="8" w:color="0000EE"/>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451"/>
        </w:trPr>
        <w:tc>
          <w:tcPr>
            <w:tcW w:w="10300" w:type="dxa"/>
            <w:vAlign w:val="bottom"/>
            <w:gridSpan w:val="16"/>
          </w:tcPr>
          <w:p>
            <w:pPr>
              <w:spacing w:after="0"/>
              <w:rPr>
                <w:sz w:val="20"/>
                <w:szCs w:val="20"/>
                <w:color w:val="auto"/>
              </w:rPr>
            </w:pPr>
            <w:r>
              <w:rPr>
                <w:rFonts w:ascii="Arial" w:cs="Arial" w:eastAsia="Arial" w:hAnsi="Arial"/>
                <w:sz w:val="18"/>
                <w:szCs w:val="18"/>
                <w:b w:val="1"/>
                <w:bCs w:val="1"/>
                <w:color w:val="auto"/>
              </w:rPr>
              <w:t>Unaudited Condensed Financial Statements as of and for the Nine Months Ended September 30, 2024 and 2023</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0300" w:type="dxa"/>
            <w:vAlign w:val="bottom"/>
            <w:gridSpan w:val="16"/>
          </w:tcPr>
          <w:p>
            <w:pPr>
              <w:spacing w:after="0"/>
              <w:rPr>
                <w:sz w:val="20"/>
                <w:szCs w:val="20"/>
                <w:color w:val="auto"/>
              </w:rPr>
            </w:pPr>
            <w:r>
              <w:rPr>
                <w:rFonts w:ascii="Arial" w:cs="Arial" w:eastAsia="Arial" w:hAnsi="Arial"/>
                <w:sz w:val="18"/>
                <w:szCs w:val="18"/>
                <w:color w:val="0000EE"/>
              </w:rPr>
              <w:t>Condensed Consolidated Balance Sheets as of September 30, 2024 and December 31, 2023</w:t>
            </w:r>
          </w:p>
        </w:tc>
        <w:tc>
          <w:tcPr>
            <w:tcW w:w="64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300" w:type="dxa"/>
            <w:vAlign w:val="bottom"/>
            <w:gridSpan w:val="16"/>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Loss for the nine months ended September 30, 2024</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984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and 2023</w:t>
            </w:r>
          </w:p>
        </w:tc>
        <w:tc>
          <w:tcPr>
            <w:tcW w:w="280" w:type="dxa"/>
            <w:vAlign w:val="bottom"/>
            <w:gridSpan w:val="2"/>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4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78"/>
              </w:rPr>
              <w:t>Condensed</w:t>
            </w:r>
          </w:p>
        </w:tc>
        <w:tc>
          <w:tcPr>
            <w:tcW w:w="9380" w:type="dxa"/>
            <w:vAlign w:val="bottom"/>
            <w:gridSpan w:val="13"/>
          </w:tcPr>
          <w:p>
            <w:pPr>
              <w:ind w:left="40"/>
              <w:spacing w:after="0" w:line="182" w:lineRule="exact"/>
              <w:rPr>
                <w:sz w:val="20"/>
                <w:szCs w:val="20"/>
                <w:color w:val="auto"/>
              </w:rPr>
            </w:pPr>
            <w:r>
              <w:rPr>
                <w:rFonts w:ascii="Arial" w:cs="Arial" w:eastAsia="Arial" w:hAnsi="Arial"/>
                <w:sz w:val="18"/>
                <w:szCs w:val="18"/>
                <w:color w:val="0000EE"/>
              </w:rPr>
              <w:t>Consolidated Statements of Convertible Preferred Stock and Stockholders’ Deficit for the nine months ended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94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September 30, 2024 and 2023</w:t>
            </w:r>
          </w:p>
        </w:tc>
        <w:tc>
          <w:tcPr>
            <w:tcW w:w="700" w:type="dxa"/>
            <w:vAlign w:val="bottom"/>
            <w:gridSpan w:val="3"/>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F-44</w:t>
            </w:r>
          </w:p>
        </w:tc>
        <w:tc>
          <w:tcPr>
            <w:tcW w:w="0" w:type="dxa"/>
            <w:vAlign w:val="bottom"/>
          </w:tcPr>
          <w:p>
            <w:pPr>
              <w:spacing w:after="0" w:line="20" w:lineRule="exact"/>
              <w:rPr>
                <w:sz w:val="1"/>
                <w:szCs w:val="1"/>
                <w:color w:val="auto"/>
              </w:rPr>
            </w:pPr>
          </w:p>
        </w:tc>
      </w:tr>
      <w:tr>
        <w:trPr>
          <w:trHeight w:val="182"/>
        </w:trPr>
        <w:tc>
          <w:tcPr>
            <w:tcW w:w="180" w:type="dxa"/>
            <w:vAlign w:val="bottom"/>
            <w:vMerge w:val="continue"/>
          </w:tcPr>
          <w:p>
            <w:pPr>
              <w:spacing w:after="0"/>
              <w:rPr>
                <w:sz w:val="15"/>
                <w:szCs w:val="15"/>
                <w:color w:val="auto"/>
              </w:rPr>
            </w:pPr>
          </w:p>
        </w:tc>
        <w:tc>
          <w:tcPr>
            <w:tcW w:w="10120" w:type="dxa"/>
            <w:vAlign w:val="bottom"/>
            <w:gridSpan w:val="15"/>
          </w:tcPr>
          <w:p>
            <w:pPr>
              <w:spacing w:after="0" w:line="182" w:lineRule="exact"/>
              <w:rPr>
                <w:sz w:val="20"/>
                <w:szCs w:val="20"/>
                <w:color w:val="auto"/>
              </w:rPr>
            </w:pPr>
            <w:r>
              <w:rPr>
                <w:rFonts w:ascii="Arial" w:cs="Arial" w:eastAsia="Arial" w:hAnsi="Arial"/>
                <w:sz w:val="18"/>
                <w:szCs w:val="18"/>
                <w:color w:val="0000EE"/>
              </w:rPr>
              <w:t>Condensed Consolidated Statements of Cash Flows for the nine months ended September 30, 2024 and 2023</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Notes to Unaudited Condensed Consolidated Financial Statements</w:t>
            </w:r>
          </w:p>
        </w:tc>
        <w:tc>
          <w:tcPr>
            <w:tcW w:w="1520" w:type="dxa"/>
            <w:vAlign w:val="bottom"/>
            <w:gridSpan w:val="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376"/>
        </w:trPr>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960" w:type="dxa"/>
            <w:vAlign w:val="bottom"/>
            <w:gridSpan w:val="8"/>
          </w:tcPr>
          <w:p>
            <w:pPr>
              <w:ind w:left="20"/>
              <w:spacing w:after="0"/>
              <w:rPr>
                <w:sz w:val="20"/>
                <w:szCs w:val="20"/>
                <w:color w:val="auto"/>
              </w:rPr>
            </w:pPr>
            <w:r>
              <w:rPr>
                <w:rFonts w:ascii="Arial" w:cs="Arial" w:eastAsia="Arial" w:hAnsi="Arial"/>
                <w:sz w:val="18"/>
                <w:szCs w:val="18"/>
                <w:color w:val="auto"/>
              </w:rPr>
              <w:t>F-1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Odyssey Therapeutics, Inc.</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stockholders and the Board of Directors of Odyssey Therapeutics, Inc.</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have audited the accompanying consolidated balance sheets of Odyssey Therapeutics, Inc. and its subsidiaries (the “Company”) as of December 31, 2023 and 2022, the related consolidated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4, 2024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5"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0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52,545</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241,043</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134,452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10"/>
        </w:trPr>
        <w:tc>
          <w:tcPr>
            <w:tcW w:w="90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15,976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30,757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34,899</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13,554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12,879</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Intangible asset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286,521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317,150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7,729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Lease termination liability</w:t>
            </w:r>
          </w:p>
        </w:tc>
        <w:tc>
          <w:tcPr>
            <w:tcW w:w="140" w:type="dxa"/>
            <w:vAlign w:val="bottom"/>
          </w:tcPr>
          <w:p>
            <w:pPr>
              <w:spacing w:after="0"/>
              <w:rPr>
                <w:sz w:val="17"/>
                <w:szCs w:val="17"/>
                <w:color w:val="auto"/>
              </w:rPr>
            </w:pPr>
          </w:p>
        </w:tc>
        <w:tc>
          <w:tcPr>
            <w:tcW w:w="8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liabilities, current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3"/>
        </w:trPr>
        <w:tc>
          <w:tcPr>
            <w:tcW w:w="9020" w:type="dxa"/>
            <w:vAlign w:val="bottom"/>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22,087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22,797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 payable, non-current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w w:val="96"/>
              </w:rPr>
              <w:t>— 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Contingent consideration and warrant liability</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 non-current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30,523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34,378</w:t>
            </w:r>
          </w:p>
        </w:tc>
        <w:tc>
          <w:tcPr>
            <w:tcW w:w="0" w:type="dxa"/>
            <w:vAlign w:val="bottom"/>
          </w:tcPr>
          <w:p>
            <w:pPr>
              <w:spacing w:after="0"/>
              <w:rPr>
                <w:sz w:val="1"/>
                <w:szCs w:val="1"/>
                <w:color w:val="auto"/>
              </w:rPr>
            </w:pPr>
          </w:p>
        </w:tc>
      </w:tr>
      <w:tr>
        <w:trPr>
          <w:trHeight w:val="217"/>
        </w:trPr>
        <w:tc>
          <w:tcPr>
            <w:tcW w:w="90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15)</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020" w:type="dxa"/>
            <w:vAlign w:val="bottom"/>
          </w:tcPr>
          <w:p>
            <w:pPr>
              <w:spacing w:after="0" w:line="183" w:lineRule="exact"/>
              <w:rPr>
                <w:sz w:val="20"/>
                <w:szCs w:val="20"/>
                <w:color w:val="auto"/>
              </w:rPr>
            </w:pPr>
            <w:r>
              <w:rPr>
                <w:rFonts w:ascii="Arial" w:cs="Arial" w:eastAsia="Arial" w:hAnsi="Arial"/>
                <w:sz w:val="18"/>
                <w:szCs w:val="18"/>
                <w:color w:val="auto"/>
              </w:rPr>
              <w:t>Series A convertible preferred stock, net of issuance costs, $0.0001 par value: 45,430,930 shares and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45,479,674 shares authorized as of December 31, 2023 and 2022, respectively, and 45,414,682 shares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020" w:type="dxa"/>
            <w:vAlign w:val="bottom"/>
          </w:tcPr>
          <w:p>
            <w:pPr>
              <w:ind w:left="180"/>
              <w:spacing w:after="0"/>
              <w:rPr>
                <w:sz w:val="20"/>
                <w:szCs w:val="20"/>
                <w:color w:val="auto"/>
              </w:rPr>
            </w:pPr>
            <w:r>
              <w:rPr>
                <w:rFonts w:ascii="Arial" w:cs="Arial" w:eastAsia="Arial" w:hAnsi="Arial"/>
                <w:sz w:val="18"/>
                <w:szCs w:val="18"/>
                <w:color w:val="auto"/>
              </w:rPr>
              <w:t>issued and outstanding (liquidation preference $224,193 as of December 31, 2023 and 2022)</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223,869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223,869</w:t>
            </w:r>
          </w:p>
        </w:tc>
        <w:tc>
          <w:tcPr>
            <w:tcW w:w="0" w:type="dxa"/>
            <w:vAlign w:val="bottom"/>
          </w:tcPr>
          <w:p>
            <w:pPr>
              <w:spacing w:after="0"/>
              <w:rPr>
                <w:sz w:val="1"/>
                <w:szCs w:val="1"/>
                <w:color w:val="auto"/>
              </w:rPr>
            </w:pPr>
          </w:p>
        </w:tc>
      </w:tr>
      <w:tr>
        <w:trPr>
          <w:trHeight w:val="184"/>
        </w:trPr>
        <w:tc>
          <w:tcPr>
            <w:tcW w:w="90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Series B convertible preferred stock, net of issuance costs, $0.0001 par value: 26,601,360 shares and</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27,693,852 shares authorized as of December 31, 2023 and 2022, respectively, and 26,601,360 shares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(liquidation preference $168,010 as of December 31, 2023 and 2022)</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167,765</w:t>
            </w:r>
          </w:p>
        </w:tc>
        <w:tc>
          <w:tcPr>
            <w:tcW w:w="0" w:type="dxa"/>
            <w:vAlign w:val="bottom"/>
          </w:tcPr>
          <w:p>
            <w:pPr>
              <w:spacing w:after="0"/>
              <w:rPr>
                <w:sz w:val="1"/>
                <w:szCs w:val="1"/>
                <w:color w:val="auto"/>
              </w:rPr>
            </w:pPr>
          </w:p>
        </w:tc>
      </w:tr>
      <w:tr>
        <w:trPr>
          <w:trHeight w:val="184"/>
        </w:trPr>
        <w:tc>
          <w:tcPr>
            <w:tcW w:w="9020" w:type="dxa"/>
            <w:vAlign w:val="bottom"/>
          </w:tcPr>
          <w:p>
            <w:pPr>
              <w:spacing w:after="0" w:line="183" w:lineRule="exact"/>
              <w:rPr>
                <w:sz w:val="20"/>
                <w:szCs w:val="20"/>
                <w:color w:val="auto"/>
              </w:rPr>
            </w:pPr>
            <w:r>
              <w:rPr>
                <w:rFonts w:ascii="Arial" w:cs="Arial" w:eastAsia="Arial" w:hAnsi="Arial"/>
                <w:sz w:val="18"/>
                <w:szCs w:val="18"/>
                <w:color w:val="auto"/>
              </w:rPr>
              <w:t>Series C convertible preferred stock, net of issuance costs, $0.0001 par value: 20,200,000 shares and no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shares authorized as of December 31, 2023 and 2022, respectively, and 19,426,000 shares and no shares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issued and outstanding as of December 31, 2023 and 2022, respectively (liquidation preference $97,130</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020" w:type="dxa"/>
            <w:vAlign w:val="bottom"/>
          </w:tcPr>
          <w:p>
            <w:pPr>
              <w:ind w:left="180"/>
              <w:spacing w:after="0"/>
              <w:rPr>
                <w:sz w:val="20"/>
                <w:szCs w:val="20"/>
                <w:color w:val="auto"/>
              </w:rPr>
            </w:pPr>
            <w:r>
              <w:rPr>
                <w:rFonts w:ascii="Arial" w:cs="Arial" w:eastAsia="Arial" w:hAnsi="Arial"/>
                <w:sz w:val="18"/>
                <w:szCs w:val="18"/>
                <w:color w:val="auto"/>
              </w:rPr>
              <w:t>and $0 as of December 31, 2023 and 2022, respectively)</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96,571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020" w:type="dxa"/>
            <w:vAlign w:val="bottom"/>
          </w:tcPr>
          <w:p>
            <w:pPr>
              <w:ind w:left="360"/>
              <w:spacing w:after="0" w:line="183" w:lineRule="exact"/>
              <w:rPr>
                <w:sz w:val="20"/>
                <w:szCs w:val="20"/>
                <w:color w:val="auto"/>
              </w:rPr>
            </w:pPr>
            <w:r>
              <w:rPr>
                <w:rFonts w:ascii="Arial" w:cs="Arial" w:eastAsia="Arial" w:hAnsi="Arial"/>
                <w:sz w:val="18"/>
                <w:szCs w:val="18"/>
                <w:color w:val="auto"/>
              </w:rPr>
              <w:t>Common stock, $0.0001 par value: 124,570,000 shares and 100,450,000 shares authorized as of</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540"/>
              <w:spacing w:after="0" w:line="202" w:lineRule="exact"/>
              <w:rPr>
                <w:sz w:val="20"/>
                <w:szCs w:val="20"/>
                <w:color w:val="auto"/>
              </w:rPr>
            </w:pPr>
            <w:r>
              <w:rPr>
                <w:rFonts w:ascii="Arial" w:cs="Arial" w:eastAsia="Arial" w:hAnsi="Arial"/>
                <w:sz w:val="18"/>
                <w:szCs w:val="18"/>
                <w:color w:val="auto"/>
              </w:rPr>
              <w:t>December 31, 2023 and 2022, respectively; 7,124,496 shares and 5,477,613 shares issued and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540"/>
              <w:spacing w:after="0"/>
              <w:rPr>
                <w:sz w:val="20"/>
                <w:szCs w:val="20"/>
                <w:color w:val="auto"/>
              </w:rPr>
            </w:pPr>
            <w:r>
              <w:rPr>
                <w:rFonts w:ascii="Arial" w:cs="Arial" w:eastAsia="Arial" w:hAnsi="Arial"/>
                <w:sz w:val="18"/>
                <w:szCs w:val="18"/>
                <w:color w:val="auto"/>
              </w:rPr>
              <w:t>outstanding as of December 31, 2023 and 2022, respectively</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51"/>
        </w:trPr>
        <w:tc>
          <w:tcPr>
            <w:tcW w:w="9020" w:type="dxa"/>
            <w:vAlign w:val="bottom"/>
          </w:tcPr>
          <w:p>
            <w:pPr>
              <w:ind w:left="536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2220" w:type="dxa"/>
            <w:vAlign w:val="bottom"/>
            <w:gridSpan w:val="4"/>
          </w:tcPr>
          <w:p>
            <w:pPr>
              <w:jc w:val="right"/>
              <w:ind w:right="621"/>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27,240</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15,733</w:t>
            </w:r>
          </w:p>
        </w:tc>
        <w:tc>
          <w:tcPr>
            <w:tcW w:w="120" w:type="dxa"/>
            <w:vAlign w:val="bottom"/>
            <w:shd w:val="clear" w:color="auto" w:fill="CCEEFF"/>
          </w:tcPr>
          <w:p>
            <w:pPr>
              <w:spacing w:after="0"/>
              <w:rPr>
                <w:sz w:val="17"/>
                <w:szCs w:val="17"/>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260" w:type="dxa"/>
            <w:vAlign w:val="bottom"/>
            <w:gridSpan w:val="2"/>
          </w:tcPr>
          <w:p>
            <w:pPr>
              <w:jc w:val="right"/>
              <w:ind w:right="301"/>
              <w:spacing w:after="0" w:line="202" w:lineRule="exact"/>
              <w:rPr>
                <w:sz w:val="20"/>
                <w:szCs w:val="20"/>
                <w:color w:val="auto"/>
              </w:rPr>
            </w:pPr>
            <w:r>
              <w:rPr>
                <w:rFonts w:ascii="Arial" w:cs="Arial" w:eastAsia="Arial" w:hAnsi="Arial"/>
                <w:sz w:val="18"/>
                <w:szCs w:val="18"/>
                <w:color w:val="auto"/>
              </w:rPr>
              <w:t>(289,091)</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(158,171)</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26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color w:val="auto"/>
              </w:rPr>
              <w:t>(858)</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(2,183)</w:t>
            </w:r>
          </w:p>
        </w:tc>
      </w:tr>
      <w:tr>
        <w:trPr>
          <w:trHeight w:val="217"/>
        </w:trPr>
        <w:tc>
          <w:tcPr>
            <w:tcW w:w="88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(262,708</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126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w w:val="99"/>
              </w:rPr>
              <w:t>$ 286,521</w:t>
            </w:r>
          </w:p>
        </w:tc>
        <w:tc>
          <w:tcPr>
            <w:tcW w:w="9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$ 317,150</w:t>
            </w:r>
          </w:p>
        </w:tc>
      </w:tr>
      <w:tr>
        <w:trPr>
          <w:trHeight w:val="20"/>
        </w:trPr>
        <w:tc>
          <w:tcPr>
            <w:tcW w:w="8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321"/>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112,279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101,755</w:t>
            </w:r>
          </w:p>
        </w:tc>
      </w:tr>
      <w:tr>
        <w:trPr>
          <w:trHeight w:val="203"/>
        </w:trPr>
        <w:tc>
          <w:tcPr>
            <w:tcW w:w="860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06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22,197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21,021</w:t>
            </w: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5,128</w:t>
            </w: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127,904</w:t>
            </w: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(133,736)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(127,904)</w:t>
            </w: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8,792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3,924</w:t>
            </w:r>
          </w:p>
        </w:tc>
      </w:tr>
      <w:tr>
        <w:trPr>
          <w:trHeight w:val="203"/>
        </w:trPr>
        <w:tc>
          <w:tcPr>
            <w:tcW w:w="860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6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(335)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(291)</w:t>
            </w: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(125,491)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(124,318)</w:t>
            </w:r>
          </w:p>
        </w:tc>
      </w:tr>
      <w:tr>
        <w:trPr>
          <w:trHeight w:val="217"/>
        </w:trPr>
        <w:tc>
          <w:tcPr>
            <w:tcW w:w="860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(125,938)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(124,665)</w:t>
            </w: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(2,128)</w:t>
            </w:r>
          </w:p>
        </w:tc>
      </w:tr>
      <w:tr>
        <w:trPr>
          <w:trHeight w:val="203"/>
        </w:trPr>
        <w:tc>
          <w:tcPr>
            <w:tcW w:w="8600" w:type="dxa"/>
            <w:vAlign w:val="bottom"/>
          </w:tcPr>
          <w:p>
            <w:pPr>
              <w:ind w:left="360"/>
              <w:spacing w:after="0" w:line="202" w:lineRule="exact"/>
              <w:rPr>
                <w:sz w:val="20"/>
                <w:szCs w:val="20"/>
                <w:color w:val="auto"/>
              </w:rPr>
            </w:pPr>
            <w:r>
              <w:rPr>
                <w:rFonts w:ascii="Arial" w:cs="Arial" w:eastAsia="Arial" w:hAnsi="Arial"/>
                <w:sz w:val="18"/>
                <w:szCs w:val="18"/>
                <w:color w:val="auto"/>
              </w:rPr>
              <w:t>Unrealized gain on marketable securities, net of tax</w:t>
            </w:r>
          </w:p>
        </w:tc>
        <w:tc>
          <w:tcPr>
            <w:tcW w:w="120" w:type="dxa"/>
            <w:vAlign w:val="bottom"/>
          </w:tcPr>
          <w:p>
            <w:pPr>
              <w:spacing w:after="0"/>
              <w:rPr>
                <w:sz w:val="17"/>
                <w:szCs w:val="17"/>
                <w:color w:val="auto"/>
              </w:rPr>
            </w:pPr>
          </w:p>
        </w:tc>
        <w:tc>
          <w:tcPr>
            <w:tcW w:w="106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305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— </w:t>
            </w: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1,325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(2,128)</w:t>
            </w:r>
          </w:p>
        </w:tc>
      </w:tr>
      <w:tr>
        <w:trPr>
          <w:trHeight w:val="217"/>
        </w:trPr>
        <w:tc>
          <w:tcPr>
            <w:tcW w:w="860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(124,613</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2"/>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 (see Note 18)</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(130,920)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(124,665)</w:t>
            </w:r>
          </w:p>
        </w:tc>
      </w:tr>
      <w:tr>
        <w:trPr>
          <w:trHeight w:val="217"/>
        </w:trPr>
        <w:tc>
          <w:tcPr>
            <w:tcW w:w="86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stock outstanding, basic and diluted</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w w:val="97"/>
              </w:rPr>
              <w:t>6,296,641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4,351,269</w:t>
            </w:r>
          </w:p>
        </w:tc>
      </w:tr>
      <w:tr>
        <w:trPr>
          <w:trHeight w:val="20"/>
        </w:trPr>
        <w:tc>
          <w:tcPr>
            <w:tcW w:w="8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Series A convertible</w:t>
            </w:r>
          </w:p>
        </w:tc>
        <w:tc>
          <w:tcPr>
            <w:tcW w:w="1580" w:type="dxa"/>
            <w:vAlign w:val="bottom"/>
            <w:gridSpan w:val="6"/>
            <w:vMerge w:val="restart"/>
          </w:tcPr>
          <w:p>
            <w:pPr>
              <w:ind w:left="140"/>
              <w:spacing w:after="0"/>
              <w:rPr>
                <w:sz w:val="20"/>
                <w:szCs w:val="20"/>
                <w:color w:val="auto"/>
              </w:rPr>
            </w:pPr>
            <w:r>
              <w:rPr>
                <w:rFonts w:ascii="Arial" w:cs="Arial" w:eastAsia="Arial" w:hAnsi="Arial"/>
                <w:sz w:val="13"/>
                <w:szCs w:val="13"/>
                <w:b w:val="1"/>
                <w:bCs w:val="1"/>
                <w:color w:val="auto"/>
              </w:rPr>
              <w:t>Series B convertible</w:t>
            </w:r>
          </w:p>
        </w:tc>
        <w:tc>
          <w:tcPr>
            <w:tcW w:w="1440" w:type="dxa"/>
            <w:vAlign w:val="bottom"/>
            <w:tcBorders>
              <w:right w:val="single" w:sz="8" w:color="auto"/>
            </w:tcBorders>
            <w:gridSpan w:val="4"/>
            <w:vMerge w:val="restart"/>
          </w:tcPr>
          <w:p>
            <w:pPr>
              <w:jc w:val="right"/>
              <w:ind w:right="88"/>
              <w:spacing w:after="0"/>
              <w:rPr>
                <w:sz w:val="20"/>
                <w:szCs w:val="20"/>
                <w:color w:val="auto"/>
              </w:rPr>
            </w:pPr>
            <w:r>
              <w:rPr>
                <w:rFonts w:ascii="Arial" w:cs="Arial" w:eastAsia="Arial" w:hAnsi="Arial"/>
                <w:sz w:val="13"/>
                <w:szCs w:val="13"/>
                <w:b w:val="1"/>
                <w:bCs w:val="1"/>
                <w:color w:val="auto"/>
              </w:rPr>
              <w:t>Series C convertible</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1580" w:type="dxa"/>
            <w:vAlign w:val="bottom"/>
            <w:gridSpan w:val="6"/>
            <w:vMerge w:val="continue"/>
          </w:tcPr>
          <w:p>
            <w:pPr>
              <w:spacing w:after="0"/>
              <w:rPr>
                <w:sz w:val="5"/>
                <w:szCs w:val="5"/>
                <w:color w:val="auto"/>
              </w:rPr>
            </w:pPr>
          </w:p>
        </w:tc>
        <w:tc>
          <w:tcPr>
            <w:tcW w:w="1440" w:type="dxa"/>
            <w:vAlign w:val="bottom"/>
            <w:tcBorders>
              <w:right w:val="single" w:sz="8" w:color="auto"/>
            </w:tcBorders>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5"/>
                <w:szCs w:val="5"/>
                <w:color w:val="auto"/>
              </w:rPr>
            </w:pPr>
          </w:p>
        </w:tc>
        <w:tc>
          <w:tcPr>
            <w:tcW w:w="780" w:type="dxa"/>
            <w:vAlign w:val="bottom"/>
            <w:gridSpan w:val="2"/>
            <w:vMerge w:val="restart"/>
          </w:tcPr>
          <w:p>
            <w:pPr>
              <w:jc w:val="right"/>
              <w:ind w:right="3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gridSpan w:val="4"/>
            <w:vMerge w:val="restart"/>
          </w:tcPr>
          <w:p>
            <w:pPr>
              <w:jc w:val="right"/>
              <w:ind w:right="209"/>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vMerge w:val="restart"/>
          </w:tcPr>
          <w:p>
            <w:pPr>
              <w:spacing w:after="0"/>
              <w:rPr>
                <w:sz w:val="5"/>
                <w:szCs w:val="5"/>
                <w:color w:val="auto"/>
              </w:rPr>
            </w:pPr>
          </w:p>
        </w:tc>
        <w:tc>
          <w:tcPr>
            <w:tcW w:w="148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vMerge w:val="restart"/>
          </w:tcPr>
          <w:p>
            <w:pPr>
              <w:spacing w:after="0"/>
              <w:rPr>
                <w:sz w:val="5"/>
                <w:szCs w:val="5"/>
                <w:color w:val="auto"/>
              </w:rPr>
            </w:pPr>
          </w:p>
        </w:tc>
        <w:tc>
          <w:tcPr>
            <w:tcW w:w="1440" w:type="dxa"/>
            <w:vAlign w:val="bottom"/>
            <w:tcBorders>
              <w:right w:val="single" w:sz="8" w:color="auto"/>
            </w:tcBorders>
            <w:gridSpan w:val="4"/>
            <w:vMerge w:val="restart"/>
          </w:tcPr>
          <w:p>
            <w:pPr>
              <w:jc w:val="right"/>
              <w:ind w:right="228"/>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5"/>
                <w:szCs w:val="5"/>
                <w:color w:val="auto"/>
              </w:rPr>
            </w:pPr>
          </w:p>
        </w:tc>
        <w:tc>
          <w:tcPr>
            <w:tcW w:w="128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Common Stock</w:t>
            </w:r>
          </w:p>
        </w:tc>
        <w:tc>
          <w:tcPr>
            <w:tcW w:w="4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8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80" w:type="dxa"/>
            <w:vAlign w:val="bottom"/>
            <w:tcBorders>
              <w:bottom w:val="single" w:sz="8" w:color="auto"/>
            </w:tcBorders>
            <w:gridSpan w:val="5"/>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40" w:type="dxa"/>
            <w:vAlign w:val="bottom"/>
            <w:tcBorders>
              <w:bottom w:val="single" w:sz="8" w:color="auto"/>
              <w:right w:val="single" w:sz="8" w:color="auto"/>
            </w:tcBorders>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Borders>
              <w:bottom w:val="single" w:sz="8" w:color="auto"/>
            </w:tcBorders>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08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30"/>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auto"/>
                <w:w w:val="92"/>
              </w:rPr>
              <w:t>Shares</w:t>
            </w:r>
          </w:p>
        </w:tc>
        <w:tc>
          <w:tcPr>
            <w:tcW w:w="940" w:type="dxa"/>
            <w:vAlign w:val="bottom"/>
            <w:vMerge w:val="restart"/>
          </w:tcPr>
          <w:p>
            <w:pPr>
              <w:spacing w:after="0"/>
              <w:rPr>
                <w:sz w:val="2"/>
                <w:szCs w:val="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2"/>
                <w:szCs w:val="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2"/>
                <w:szCs w:val="2"/>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60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2"/>
                <w:szCs w:val="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20" w:type="dxa"/>
            <w:vAlign w:val="bottom"/>
            <w:tcBorders>
              <w:bottom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800" w:type="dxa"/>
            <w:vAlign w:val="bottom"/>
            <w:gridSpan w:val="2"/>
          </w:tcPr>
          <w:p>
            <w:pPr>
              <w:jc w:val="right"/>
              <w:ind w:right="360"/>
              <w:spacing w:after="0" w:line="139" w:lineRule="exact"/>
              <w:rPr>
                <w:sz w:val="20"/>
                <w:szCs w:val="20"/>
                <w:color w:val="auto"/>
              </w:rPr>
            </w:pPr>
            <w:r>
              <w:rPr>
                <w:rFonts w:ascii="Arial" w:cs="Arial" w:eastAsia="Arial" w:hAnsi="Arial"/>
                <w:sz w:val="13"/>
                <w:szCs w:val="13"/>
                <w:b w:val="1"/>
                <w:bCs w:val="1"/>
                <w:color w:val="auto"/>
              </w:rPr>
              <w:t>deficit</w:t>
            </w:r>
          </w:p>
        </w:tc>
        <w:tc>
          <w:tcPr>
            <w:tcW w:w="1080" w:type="dxa"/>
            <w:vAlign w:val="bottom"/>
            <w:gridSpan w:val="3"/>
          </w:tcPr>
          <w:p>
            <w:pPr>
              <w:jc w:val="center"/>
              <w:ind w:right="160"/>
              <w:spacing w:after="0" w:line="139" w:lineRule="exact"/>
              <w:rPr>
                <w:sz w:val="20"/>
                <w:szCs w:val="20"/>
                <w:color w:val="auto"/>
              </w:rPr>
            </w:pPr>
            <w:r>
              <w:rPr>
                <w:rFonts w:ascii="Arial" w:cs="Arial" w:eastAsia="Arial" w:hAnsi="Arial"/>
                <w:sz w:val="13"/>
                <w:szCs w:val="13"/>
                <w:b w:val="1"/>
                <w:bCs w:val="1"/>
                <w:color w:val="auto"/>
                <w:w w:val="95"/>
              </w:rPr>
              <w:t>income/(loss)</w:t>
            </w:r>
          </w:p>
        </w:tc>
        <w:tc>
          <w:tcPr>
            <w:tcW w:w="140" w:type="dxa"/>
            <w:vAlign w:val="bottom"/>
          </w:tcPr>
          <w:p>
            <w:pPr>
              <w:spacing w:after="0"/>
              <w:rPr>
                <w:sz w:val="13"/>
                <w:szCs w:val="13"/>
                <w:color w:val="auto"/>
              </w:rPr>
            </w:pPr>
          </w:p>
        </w:tc>
        <w:tc>
          <w:tcPr>
            <w:tcW w:w="780" w:type="dxa"/>
            <w:vAlign w:val="bottom"/>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6"/>
        </w:trPr>
        <w:tc>
          <w:tcPr>
            <w:tcW w:w="1360" w:type="dxa"/>
            <w:vAlign w:val="bottom"/>
            <w:tcBorders>
              <w:top w:val="single" w:sz="8" w:color="CCEEFF"/>
            </w:tcBorders>
            <w:gridSpan w:val="2"/>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Balance as of</w:t>
            </w: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43,789,879</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$213,869</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2,738,796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9,901</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(33,506)</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(23,659)</w:t>
            </w: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line="153" w:lineRule="exact"/>
              <w:rPr>
                <w:sz w:val="20"/>
                <w:szCs w:val="20"/>
                <w:color w:val="auto"/>
              </w:rPr>
            </w:pPr>
            <w:r>
              <w:rPr>
                <w:rFonts w:ascii="Arial" w:cs="Arial" w:eastAsia="Arial" w:hAnsi="Arial"/>
                <w:sz w:val="14"/>
                <w:szCs w:val="14"/>
                <w:color w:val="auto"/>
              </w:rPr>
              <w:t>Issuances of Series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A convertible</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preferred stock</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1,624,803</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10,000</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3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Issuances of Series</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 convertible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of issuance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costs of $245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26,601,360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167,765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line="153" w:lineRule="exact"/>
              <w:rPr>
                <w:sz w:val="20"/>
                <w:szCs w:val="20"/>
                <w:color w:val="auto"/>
              </w:rPr>
            </w:pPr>
            <w:r>
              <w:rPr>
                <w:rFonts w:ascii="Arial" w:cs="Arial" w:eastAsia="Arial" w:hAnsi="Arial"/>
                <w:sz w:val="14"/>
                <w:szCs w:val="14"/>
                <w:color w:val="auto"/>
              </w:rPr>
              <w:t>Issuance of</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common stock for</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IFM acquisition</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81,240</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239</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53"/>
        </w:trPr>
        <w:tc>
          <w:tcPr>
            <w:tcW w:w="13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Exercises of</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29,500</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line="153" w:lineRule="exact"/>
              <w:rPr>
                <w:sz w:val="20"/>
                <w:szCs w:val="20"/>
                <w:color w:val="auto"/>
              </w:rPr>
            </w:pPr>
            <w:r>
              <w:rPr>
                <w:rFonts w:ascii="Arial" w:cs="Arial" w:eastAsia="Arial" w:hAnsi="Arial"/>
                <w:sz w:val="14"/>
                <w:szCs w:val="14"/>
                <w:color w:val="auto"/>
              </w:rPr>
              <w:t>Vesting of restricted</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common stock</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2,628,077</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757</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53"/>
        </w:trPr>
        <w:tc>
          <w:tcPr>
            <w:tcW w:w="13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Stock-based</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compensation</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4,760</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4,760</w:t>
            </w: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line="153" w:lineRule="exact"/>
              <w:rPr>
                <w:sz w:val="20"/>
                <w:szCs w:val="20"/>
                <w:color w:val="auto"/>
              </w:rPr>
            </w:pPr>
            <w:r>
              <w:rPr>
                <w:rFonts w:ascii="Arial" w:cs="Arial" w:eastAsia="Arial" w:hAnsi="Arial"/>
                <w:sz w:val="14"/>
                <w:szCs w:val="14"/>
                <w:color w:val="auto"/>
              </w:rPr>
              <w:t>Foreign currency</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translation</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adjustment, net of</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tax</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(2,128)</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221"/>
        </w:trPr>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(124,665)</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(124,665)</w:t>
            </w:r>
          </w:p>
        </w:tc>
        <w:tc>
          <w:tcPr>
            <w:tcW w:w="0" w:type="dxa"/>
            <w:vAlign w:val="bottom"/>
          </w:tcPr>
          <w:p>
            <w:pPr>
              <w:spacing w:after="0"/>
              <w:rPr>
                <w:sz w:val="1"/>
                <w:szCs w:val="1"/>
                <w:color w:val="auto"/>
              </w:rPr>
            </w:pPr>
          </w:p>
        </w:tc>
      </w:tr>
      <w:tr>
        <w:trPr>
          <w:trHeight w:val="146"/>
        </w:trPr>
        <w:tc>
          <w:tcPr>
            <w:tcW w:w="136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Balance as of</w:t>
            </w: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45,414,682</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$223,869</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26,601,360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spacing w:after="0"/>
              <w:rPr>
                <w:sz w:val="20"/>
                <w:szCs w:val="20"/>
                <w:color w:val="auto"/>
              </w:rPr>
            </w:pPr>
            <w:r>
              <w:rPr>
                <w:rFonts w:ascii="Arial" w:cs="Arial" w:eastAsia="Arial" w:hAnsi="Arial"/>
                <w:sz w:val="14"/>
                <w:szCs w:val="14"/>
                <w:color w:val="auto"/>
              </w:rPr>
              <w:t>167,765</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5,477,613</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1</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15,733</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(158,171)</w:t>
            </w: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(2,183)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(144,620)</w:t>
            </w:r>
          </w:p>
        </w:tc>
        <w:tc>
          <w:tcPr>
            <w:tcW w:w="0" w:type="dxa"/>
            <w:vAlign w:val="bottom"/>
          </w:tcPr>
          <w:p>
            <w:pPr>
              <w:spacing w:after="0"/>
              <w:rPr>
                <w:sz w:val="1"/>
                <w:szCs w:val="1"/>
                <w:color w:val="auto"/>
              </w:rPr>
            </w:pPr>
          </w:p>
        </w:tc>
      </w:tr>
      <w:tr>
        <w:trPr>
          <w:trHeight w:val="153"/>
        </w:trPr>
        <w:tc>
          <w:tcPr>
            <w:tcW w:w="13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Issuances of Series</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 convertible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of issuance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costs of $559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19,426,000</w:t>
            </w: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7"/>
              </w:rPr>
              <w:t>96,571</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line="153" w:lineRule="exact"/>
              <w:rPr>
                <w:sz w:val="20"/>
                <w:szCs w:val="20"/>
                <w:color w:val="auto"/>
              </w:rPr>
            </w:pPr>
            <w:r>
              <w:rPr>
                <w:rFonts w:ascii="Arial" w:cs="Arial" w:eastAsia="Arial" w:hAnsi="Arial"/>
                <w:sz w:val="14"/>
                <w:szCs w:val="14"/>
                <w:color w:val="auto"/>
              </w:rPr>
              <w:t>Exercises of</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common stock</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96,562</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264</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53"/>
        </w:trPr>
        <w:tc>
          <w:tcPr>
            <w:tcW w:w="13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Vesting of restricted</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1,425,321</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737</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line="153" w:lineRule="exact"/>
              <w:rPr>
                <w:sz w:val="20"/>
                <w:szCs w:val="20"/>
                <w:color w:val="auto"/>
              </w:rPr>
            </w:pPr>
            <w:r>
              <w:rPr>
                <w:rFonts w:ascii="Arial" w:cs="Arial" w:eastAsia="Arial" w:hAnsi="Arial"/>
                <w:sz w:val="14"/>
                <w:szCs w:val="14"/>
                <w:color w:val="auto"/>
              </w:rPr>
              <w:t>Issuance of</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common stock</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296</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53"/>
        </w:trPr>
        <w:tc>
          <w:tcPr>
            <w:tcW w:w="13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Stock-based</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compensation</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5,228</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Series A convertible</w:t>
            </w:r>
          </w:p>
        </w:tc>
        <w:tc>
          <w:tcPr>
            <w:tcW w:w="1580" w:type="dxa"/>
            <w:vAlign w:val="bottom"/>
            <w:gridSpan w:val="5"/>
            <w:vMerge w:val="restart"/>
          </w:tcPr>
          <w:p>
            <w:pPr>
              <w:ind w:left="140"/>
              <w:spacing w:after="0"/>
              <w:rPr>
                <w:sz w:val="20"/>
                <w:szCs w:val="20"/>
                <w:color w:val="auto"/>
              </w:rPr>
            </w:pPr>
            <w:r>
              <w:rPr>
                <w:rFonts w:ascii="Arial" w:cs="Arial" w:eastAsia="Arial" w:hAnsi="Arial"/>
                <w:sz w:val="13"/>
                <w:szCs w:val="13"/>
                <w:b w:val="1"/>
                <w:bCs w:val="1"/>
                <w:color w:val="auto"/>
              </w:rPr>
              <w:t>Series B convertible</w:t>
            </w:r>
          </w:p>
        </w:tc>
        <w:tc>
          <w:tcPr>
            <w:tcW w:w="1440" w:type="dxa"/>
            <w:vAlign w:val="bottom"/>
            <w:tcBorders>
              <w:right w:val="single" w:sz="8" w:color="auto"/>
            </w:tcBorders>
            <w:gridSpan w:val="3"/>
            <w:vMerge w:val="restart"/>
          </w:tcPr>
          <w:p>
            <w:pPr>
              <w:jc w:val="right"/>
              <w:ind w:right="90"/>
              <w:spacing w:after="0"/>
              <w:rPr>
                <w:sz w:val="20"/>
                <w:szCs w:val="20"/>
                <w:color w:val="auto"/>
              </w:rPr>
            </w:pPr>
            <w:r>
              <w:rPr>
                <w:rFonts w:ascii="Arial" w:cs="Arial" w:eastAsia="Arial" w:hAnsi="Arial"/>
                <w:sz w:val="13"/>
                <w:szCs w:val="13"/>
                <w:b w:val="1"/>
                <w:bCs w:val="1"/>
                <w:color w:val="auto"/>
              </w:rPr>
              <w:t>Series C convertible</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1440" w:type="dxa"/>
            <w:vAlign w:val="bottom"/>
            <w:tcBorders>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Additional</w:t>
            </w: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other</w:t>
            </w:r>
          </w:p>
        </w:tc>
        <w:tc>
          <w:tcPr>
            <w:tcW w:w="9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vMerge w:val="restart"/>
          </w:tcPr>
          <w:p>
            <w:pPr>
              <w:spacing w:after="0"/>
              <w:rPr>
                <w:sz w:val="5"/>
                <w:szCs w:val="5"/>
                <w:color w:val="auto"/>
              </w:rPr>
            </w:pPr>
          </w:p>
        </w:tc>
        <w:tc>
          <w:tcPr>
            <w:tcW w:w="148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vMerge w:val="restart"/>
          </w:tcPr>
          <w:p>
            <w:pPr>
              <w:spacing w:after="0"/>
              <w:rPr>
                <w:sz w:val="5"/>
                <w:szCs w:val="5"/>
                <w:color w:val="auto"/>
              </w:rPr>
            </w:pPr>
          </w:p>
        </w:tc>
        <w:tc>
          <w:tcPr>
            <w:tcW w:w="1440" w:type="dxa"/>
            <w:vAlign w:val="bottom"/>
            <w:tcBorders>
              <w:right w:val="single" w:sz="8" w:color="auto"/>
            </w:tcBorders>
            <w:gridSpan w:val="3"/>
            <w:vMerge w:val="restart"/>
          </w:tcPr>
          <w:p>
            <w:pPr>
              <w:jc w:val="right"/>
              <w:ind w:right="230"/>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5"/>
                <w:szCs w:val="5"/>
                <w:color w:val="auto"/>
              </w:rPr>
            </w:pPr>
          </w:p>
        </w:tc>
        <w:tc>
          <w:tcPr>
            <w:tcW w:w="128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Common Stock</w:t>
            </w:r>
          </w:p>
        </w:tc>
        <w:tc>
          <w:tcPr>
            <w:tcW w:w="4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8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8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40" w:type="dxa"/>
            <w:vAlign w:val="bottom"/>
            <w:tcBorders>
              <w:bottom w:val="single" w:sz="8" w:color="auto"/>
              <w:right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Borders>
              <w:bottom w:val="single" w:sz="8" w:color="auto"/>
            </w:tcBorders>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paid-in</w:t>
            </w:r>
          </w:p>
        </w:tc>
        <w:tc>
          <w:tcPr>
            <w:tcW w:w="960" w:type="dxa"/>
            <w:vAlign w:val="bottom"/>
            <w:gridSpan w:val="2"/>
            <w:vMerge w:val="restart"/>
          </w:tcPr>
          <w:p>
            <w:pPr>
              <w:jc w:val="right"/>
              <w:ind w:right="1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08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30"/>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auto"/>
                <w:w w:val="92"/>
              </w:rPr>
              <w:t>Shares</w:t>
            </w:r>
          </w:p>
        </w:tc>
        <w:tc>
          <w:tcPr>
            <w:tcW w:w="940" w:type="dxa"/>
            <w:vAlign w:val="bottom"/>
            <w:vMerge w:val="restart"/>
          </w:tcPr>
          <w:p>
            <w:pPr>
              <w:spacing w:after="0"/>
              <w:rPr>
                <w:sz w:val="2"/>
                <w:szCs w:val="2"/>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2"/>
                <w:szCs w:val="2"/>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Amount</w:t>
            </w: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2"/>
                <w:szCs w:val="2"/>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Amount</w:t>
            </w: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6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2"/>
                <w:szCs w:val="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20" w:type="dxa"/>
            <w:vAlign w:val="bottom"/>
            <w:tcBorders>
              <w:bottom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7"/>
              </w:rPr>
              <w:t>capital</w:t>
            </w:r>
          </w:p>
        </w:tc>
        <w:tc>
          <w:tcPr>
            <w:tcW w:w="960" w:type="dxa"/>
            <w:vAlign w:val="bottom"/>
            <w:gridSpan w:val="2"/>
          </w:tcPr>
          <w:p>
            <w:pPr>
              <w:jc w:val="right"/>
              <w:ind w:right="360"/>
              <w:spacing w:after="0" w:line="139" w:lineRule="exact"/>
              <w:rPr>
                <w:sz w:val="20"/>
                <w:szCs w:val="20"/>
                <w:color w:val="auto"/>
              </w:rPr>
            </w:pPr>
            <w:r>
              <w:rPr>
                <w:rFonts w:ascii="Arial" w:cs="Arial" w:eastAsia="Arial" w:hAnsi="Arial"/>
                <w:sz w:val="13"/>
                <w:szCs w:val="13"/>
                <w:b w:val="1"/>
                <w:bCs w:val="1"/>
                <w:color w:val="auto"/>
              </w:rPr>
              <w:t>deficit</w:t>
            </w:r>
          </w:p>
        </w:tc>
        <w:tc>
          <w:tcPr>
            <w:tcW w:w="1080" w:type="dxa"/>
            <w:vAlign w:val="bottom"/>
            <w:gridSpan w:val="3"/>
          </w:tcPr>
          <w:p>
            <w:pPr>
              <w:jc w:val="center"/>
              <w:ind w:right="160"/>
              <w:spacing w:after="0" w:line="139" w:lineRule="exact"/>
              <w:rPr>
                <w:sz w:val="20"/>
                <w:szCs w:val="20"/>
                <w:color w:val="auto"/>
              </w:rPr>
            </w:pPr>
            <w:r>
              <w:rPr>
                <w:rFonts w:ascii="Arial" w:cs="Arial" w:eastAsia="Arial" w:hAnsi="Arial"/>
                <w:sz w:val="13"/>
                <w:szCs w:val="13"/>
                <w:b w:val="1"/>
                <w:bCs w:val="1"/>
                <w:color w:val="auto"/>
                <w:w w:val="95"/>
              </w:rPr>
              <w:t>income/(loss)</w:t>
            </w:r>
          </w:p>
        </w:tc>
        <w:tc>
          <w:tcPr>
            <w:tcW w:w="9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26"/>
        </w:trPr>
        <w:tc>
          <w:tcPr>
            <w:tcW w:w="1360" w:type="dxa"/>
            <w:vAlign w:val="bottom"/>
            <w:tcBorders>
              <w:top w:val="single" w:sz="8" w:color="CCEEFF"/>
            </w:tcBorders>
            <w:gridSpan w:val="2"/>
            <w:shd w:val="clear" w:color="auto" w:fill="CCEEFF"/>
          </w:tcPr>
          <w:p>
            <w:pPr>
              <w:spacing w:after="0" w:line="127" w:lineRule="exact"/>
              <w:rPr>
                <w:sz w:val="20"/>
                <w:szCs w:val="20"/>
                <w:color w:val="auto"/>
              </w:rPr>
            </w:pPr>
            <w:r>
              <w:rPr>
                <w:rFonts w:ascii="Arial" w:cs="Arial" w:eastAsia="Arial" w:hAnsi="Arial"/>
                <w:sz w:val="14"/>
                <w:szCs w:val="14"/>
                <w:color w:val="auto"/>
              </w:rPr>
              <w:t>Deemed dividend</w:t>
            </w: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upon convertible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down round</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adjustment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6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4,982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(4,982)</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line="153" w:lineRule="exact"/>
              <w:rPr>
                <w:sz w:val="20"/>
                <w:szCs w:val="20"/>
                <w:color w:val="auto"/>
              </w:rPr>
            </w:pPr>
            <w:r>
              <w:rPr>
                <w:rFonts w:ascii="Arial" w:cs="Arial" w:eastAsia="Arial" w:hAnsi="Arial"/>
                <w:sz w:val="14"/>
                <w:szCs w:val="14"/>
                <w:color w:val="auto"/>
              </w:rPr>
              <w:t>Foreign currency</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translation</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adjustment, net of</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tcPr>
          <w:p>
            <w:pPr>
              <w:ind w:left="140"/>
              <w:spacing w:after="0"/>
              <w:rPr>
                <w:sz w:val="20"/>
                <w:szCs w:val="20"/>
                <w:color w:val="auto"/>
              </w:rPr>
            </w:pPr>
            <w:r>
              <w:rPr>
                <w:rFonts w:ascii="Arial" w:cs="Arial" w:eastAsia="Arial" w:hAnsi="Arial"/>
                <w:sz w:val="14"/>
                <w:szCs w:val="14"/>
                <w:color w:val="auto"/>
              </w:rPr>
              <w:t>tax</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1,020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53"/>
        </w:trPr>
        <w:tc>
          <w:tcPr>
            <w:tcW w:w="13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Other</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comprehensive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unrealized gain</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on marketable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net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6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90"/>
        </w:trPr>
        <w:tc>
          <w:tcPr>
            <w:tcW w:w="13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(125,938)</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(125,938)</w:t>
            </w:r>
          </w:p>
        </w:tc>
        <w:tc>
          <w:tcPr>
            <w:tcW w:w="0" w:type="dxa"/>
            <w:vAlign w:val="bottom"/>
          </w:tcPr>
          <w:p>
            <w:pPr>
              <w:spacing w:after="0"/>
              <w:rPr>
                <w:sz w:val="1"/>
                <w:szCs w:val="1"/>
                <w:color w:val="auto"/>
              </w:rPr>
            </w:pPr>
          </w:p>
        </w:tc>
      </w:tr>
      <w:tr>
        <w:trPr>
          <w:trHeight w:val="26"/>
        </w:trPr>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3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Balance as of</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2023</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45,414,682</w:t>
            </w:r>
          </w:p>
        </w:tc>
        <w:tc>
          <w:tcPr>
            <w:tcW w:w="74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223,869</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26,601,360</w:t>
            </w:r>
          </w:p>
        </w:tc>
        <w:tc>
          <w:tcPr>
            <w:tcW w:w="76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167,765</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19,426,000</w:t>
            </w:r>
          </w:p>
        </w:tc>
        <w:tc>
          <w:tcPr>
            <w:tcW w:w="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96,571</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7,124,496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27,240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(289,091)</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(262,708)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8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72"/>
              </w:rPr>
              <w:t> </w:t>
            </w:r>
          </w:p>
        </w:tc>
        <w:tc>
          <w:tcPr>
            <w:tcW w:w="94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 xml:space="preserve">  2023    </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72"/>
              </w:rPr>
              <w:t> </w:t>
            </w:r>
          </w:p>
        </w:tc>
        <w:tc>
          <w:tcPr>
            <w:tcW w:w="740" w:type="dxa"/>
            <w:vAlign w:val="bottom"/>
            <w:tcBorders>
              <w:top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 xml:space="preserve">  2022 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(125,938)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(124,665)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Loss from disposal of property and equipment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Accretion of discount on marketable securities</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6,261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Non-cash rent expense</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Acquisition of in-process research and development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Loss on lease termination</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fair value of contingent consideration and warrant liability</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termination liability</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(112,728)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(99,842)</w:t>
            </w:r>
          </w:p>
        </w:tc>
        <w:tc>
          <w:tcPr>
            <w:tcW w:w="0" w:type="dxa"/>
            <w:vAlign w:val="bottom"/>
          </w:tcPr>
          <w:p>
            <w:pPr>
              <w:spacing w:after="0"/>
              <w:rPr>
                <w:sz w:val="1"/>
                <w:szCs w:val="1"/>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Maturities of marketable securities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78,124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(238,112)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(5,056)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(165,020)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the issuance of convertible preferred stock, net of issuance costs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96,571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177,765</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of)/proceeds from loan payable, net of issuance costs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(4,759)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7"/>
        </w:trPr>
        <w:tc>
          <w:tcPr>
            <w:tcW w:w="880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8800" w:type="dxa"/>
            <w:vAlign w:val="bottom"/>
          </w:tcPr>
          <w:p>
            <w:pPr>
              <w:ind w:left="1080"/>
              <w:spacing w:after="0"/>
              <w:rPr>
                <w:sz w:val="20"/>
                <w:szCs w:val="20"/>
                <w:color w:val="auto"/>
              </w:rPr>
            </w:pPr>
            <w:r>
              <w:rPr>
                <w:rFonts w:ascii="Arial" w:cs="Arial" w:eastAsia="Arial" w:hAnsi="Arial"/>
                <w:sz w:val="18"/>
                <w:szCs w:val="18"/>
                <w:color w:val="auto"/>
              </w:rPr>
              <w:t>(Decrease)/increase in cash, cash equivalents and restricted cash</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(185,667)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241,671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171,846</w:t>
            </w:r>
          </w:p>
        </w:tc>
        <w:tc>
          <w:tcPr>
            <w:tcW w:w="0" w:type="dxa"/>
            <w:vAlign w:val="bottom"/>
          </w:tcPr>
          <w:p>
            <w:pPr>
              <w:spacing w:after="0"/>
              <w:rPr>
                <w:sz w:val="1"/>
                <w:szCs w:val="1"/>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52,545</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241,043</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Restricted cash, included in other non-current assets, end of period</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3,459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cash equivalents and restricted cash, end of period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56,004</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241,671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360"/>
              <w:spacing w:after="0"/>
              <w:rPr>
                <w:sz w:val="20"/>
                <w:szCs w:val="20"/>
                <w:color w:val="auto"/>
              </w:rPr>
            </w:pPr>
            <w:r>
              <w:rPr>
                <w:rFonts w:ascii="Arial" w:cs="Arial" w:eastAsia="Arial" w:hAnsi="Arial"/>
                <w:sz w:val="18"/>
                <w:szCs w:val="18"/>
                <w:color w:val="auto"/>
              </w:rPr>
              <w:t>F-8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80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1"/>
              </w:rPr>
              <w:t> </w:t>
            </w:r>
          </w:p>
        </w:tc>
        <w:tc>
          <w:tcPr>
            <w:tcW w:w="1280" w:type="dxa"/>
            <w:vAlign w:val="bottom"/>
            <w:tcBorders>
              <w:top w:val="single" w:sz="8" w:color="auto"/>
            </w:tcBorders>
            <w:gridSpan w:val="3"/>
          </w:tcPr>
          <w:p>
            <w:pPr>
              <w:jc w:val="right"/>
              <w:ind w:right="680"/>
              <w:spacing w:after="0" w:line="155" w:lineRule="exact"/>
              <w:rPr>
                <w:sz w:val="20"/>
                <w:szCs w:val="20"/>
                <w:color w:val="auto"/>
              </w:rPr>
            </w:pPr>
            <w:r>
              <w:rPr>
                <w:rFonts w:ascii="Arial" w:cs="Arial" w:eastAsia="Arial" w:hAnsi="Arial"/>
                <w:sz w:val="14"/>
                <w:szCs w:val="14"/>
                <w:b w:val="1"/>
                <w:bCs w:val="1"/>
                <w:color w:val="auto"/>
              </w:rPr>
              <w:t xml:space="preserve">  2023    </w:t>
            </w: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1"/>
              </w:rPr>
              <w:t> </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2022    </w:t>
            </w:r>
          </w:p>
        </w:tc>
        <w:tc>
          <w:tcPr>
            <w:tcW w:w="60" w:type="dxa"/>
            <w:vAlign w:val="bottom"/>
          </w:tcPr>
          <w:p>
            <w:pPr>
              <w:spacing w:after="0"/>
              <w:rPr>
                <w:sz w:val="13"/>
                <w:szCs w:val="13"/>
                <w:color w:val="auto"/>
              </w:rPr>
            </w:pPr>
          </w:p>
        </w:tc>
      </w:tr>
      <w:tr>
        <w:trPr>
          <w:trHeight w:val="183"/>
        </w:trPr>
        <w:tc>
          <w:tcPr>
            <w:tcW w:w="8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9"/>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Cash paid for income taxes</w:t>
            </w:r>
          </w:p>
        </w:tc>
        <w:tc>
          <w:tcPr>
            <w:tcW w:w="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156</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291</w:t>
            </w:r>
          </w:p>
        </w:tc>
      </w:tr>
      <w:tr>
        <w:trPr>
          <w:trHeight w:val="210"/>
        </w:trPr>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and investing activities: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Purchases of property and equipment in accounts payable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242</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2,689</w:t>
            </w:r>
          </w:p>
        </w:tc>
      </w:tr>
      <w:tr>
        <w:trPr>
          <w:trHeight w:val="217"/>
        </w:trPr>
        <w:tc>
          <w:tcPr>
            <w:tcW w:w="8800" w:type="dxa"/>
            <w:vAlign w:val="bottom"/>
          </w:tcPr>
          <w:p>
            <w:pPr>
              <w:ind w:left="360"/>
              <w:spacing w:after="0"/>
              <w:rPr>
                <w:sz w:val="20"/>
                <w:szCs w:val="20"/>
                <w:color w:val="auto"/>
              </w:rPr>
            </w:pPr>
            <w:r>
              <w:rPr>
                <w:rFonts w:ascii="Arial" w:cs="Arial" w:eastAsia="Arial" w:hAnsi="Arial"/>
                <w:sz w:val="18"/>
                <w:szCs w:val="18"/>
                <w:color w:val="auto"/>
              </w:rPr>
              <w:t>Right-of-use assets obtained in exchange for lease liabilities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49,113</w:t>
            </w:r>
          </w:p>
        </w:tc>
        <w:tc>
          <w:tcPr>
            <w:tcW w:w="60" w:type="dxa"/>
            <w:vAlign w:val="bottom"/>
          </w:tcPr>
          <w:p>
            <w:pPr>
              <w:spacing w:after="0"/>
              <w:rPr>
                <w:sz w:val="18"/>
                <w:szCs w:val="18"/>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Remeasurement of right-of-use assets and lease liabilities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Warrant liability established upon issuance of convertible preferred stock</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w:t>
            </w:r>
          </w:p>
        </w:tc>
      </w:tr>
      <w:tr>
        <w:trPr>
          <w:trHeight w:val="210"/>
        </w:trPr>
        <w:tc>
          <w:tcPr>
            <w:tcW w:w="8800" w:type="dxa"/>
            <w:vAlign w:val="bottom"/>
          </w:tcPr>
          <w:p>
            <w:pPr>
              <w:ind w:left="360"/>
              <w:spacing w:after="0"/>
              <w:rPr>
                <w:sz w:val="20"/>
                <w:szCs w:val="20"/>
                <w:color w:val="auto"/>
              </w:rPr>
            </w:pPr>
            <w:r>
              <w:rPr>
                <w:rFonts w:ascii="Arial" w:cs="Arial" w:eastAsia="Arial" w:hAnsi="Arial"/>
                <w:sz w:val="18"/>
                <w:szCs w:val="18"/>
                <w:color w:val="auto"/>
              </w:rPr>
              <w:t>Warrant liability forfeited upon extinguishment of note payable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7160" w:hanging="4"/>
        <w:spacing w:after="0" w:line="360" w:lineRule="auto"/>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Liquidity </w:t>
      </w:r>
      <w:r>
        <w:rPr>
          <w:rFonts w:ascii="Arial" w:cs="Arial" w:eastAsia="Arial" w:hAnsi="Arial"/>
          <w:sz w:val="18"/>
          <w:szCs w:val="18"/>
          <w:b w:val="1"/>
          <w:bCs w:val="1"/>
          <w:i w:val="1"/>
          <w:iCs w:val="1"/>
          <w:color w:val="auto"/>
        </w:rPr>
        <w:t>Business</w:t>
      </w:r>
    </w:p>
    <w:p>
      <w:pPr>
        <w:jc w:val="both"/>
        <w:ind w:left="120" w:right="200" w:firstLine="551"/>
        <w:spacing w:after="0" w:line="253" w:lineRule="auto"/>
        <w:rPr>
          <w:sz w:val="20"/>
          <w:szCs w:val="20"/>
          <w:color w:val="auto"/>
        </w:rPr>
      </w:pPr>
      <w:r>
        <w:rPr>
          <w:rFonts w:ascii="Arial" w:cs="Arial" w:eastAsia="Arial" w:hAnsi="Arial"/>
          <w:sz w:val="18"/>
          <w:szCs w:val="18"/>
          <w:color w:val="auto"/>
        </w:rPr>
        <w:t>Odyssey Therapeutics, Inc. (the “Company”) is a clinical-stage biopharmaceutical company seeking to transform the standard of care for patients suffering from autoimmune and inflammatory diseases. To accomplish this, the Company is developing medicines that are designed to precisely target disease pathology with an initial emphasis on the innate immune system.</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completion of preclinical studies and clinical trials, obtaining regulatory approval for product candidates, development by competitors of new technological innovations, dependence on key personnel, protection of proprietary technology, compliance with government regulations and ability to secure additional capital to fund operations. Product candidates currently under development by the Company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and reporting capabilities. Even if product development efforts are successful, it is uncertain when, if ever, the Company will realize significant revenue from product sales.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02"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Since its inception, the Company has devoted substantially all of its resources to business planning, research and development activities, recruiting management and technical staff, raising capital, producing materials for preclinical studies and clinical trials, developing and establishing the Company’s intellectual property portfolio, entering into collaboration agreements, acquiring companies or assets to further the Company’s development programs and building infrastructure to support such activities. The Company has financed its operations primarily through the sale of shares of convertible preferred stock and the proceeds from research collaborations and license agreements.</w:t>
      </w:r>
    </w:p>
    <w:p>
      <w:pPr>
        <w:spacing w:after="0" w:line="179" w:lineRule="exact"/>
        <w:rPr>
          <w:sz w:val="20"/>
          <w:szCs w:val="20"/>
          <w:color w:val="auto"/>
        </w:rPr>
      </w:pPr>
    </w:p>
    <w:p>
      <w:pPr>
        <w:ind w:left="120" w:right="560" w:firstLine="551"/>
        <w:spacing w:after="0" w:line="271" w:lineRule="auto"/>
        <w:rPr>
          <w:sz w:val="20"/>
          <w:szCs w:val="20"/>
          <w:color w:val="auto"/>
        </w:rPr>
      </w:pPr>
      <w:r>
        <w:rPr>
          <w:rFonts w:ascii="Arial" w:cs="Arial" w:eastAsia="Arial" w:hAnsi="Arial"/>
          <w:sz w:val="18"/>
          <w:szCs w:val="18"/>
          <w:color w:val="auto"/>
        </w:rPr>
        <w:t>The Company has incurred losses each year since inception and expects that operating losses and negative cash flows will continue for the foreseeable future as the Company continues to develop its product candidates.</w:t>
      </w:r>
    </w:p>
    <w:p>
      <w:pPr>
        <w:spacing w:after="0" w:line="15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The consolidated financial statements have been prepared assuming that the Company will continue as a going concern. The Company had cash, cash equivalents, and marketable securities of $216.1 million as of December 31, 2023, and expects that its existing cash, cash equivalents, and marketable securities will enable it to fund its expected operating expenses and capital expenditure requirements for at least twelve months from the date these financial statements are available to be issued.</w:t>
      </w:r>
    </w:p>
    <w:p>
      <w:pPr>
        <w:spacing w:after="0" w:line="322" w:lineRule="exact"/>
        <w:rPr>
          <w:sz w:val="20"/>
          <w:szCs w:val="20"/>
          <w:color w:val="auto"/>
        </w:rPr>
      </w:pPr>
    </w:p>
    <w:p>
      <w:pPr>
        <w:ind w:left="120" w:right="4340" w:hanging="4"/>
        <w:spacing w:after="0" w:line="360" w:lineRule="auto"/>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 and Consolidation</w:t>
      </w:r>
    </w:p>
    <w:p>
      <w:pPr>
        <w:ind w:left="120" w:right="40" w:firstLine="551"/>
        <w:spacing w:after="0" w:line="24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 These consolidated financial statements include the accounts of Odyssey Therapeutics, Inc. and its wholly owned subsidiaries. All intercompany transactions and balances have been eliminated in consolidation.</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5" w:right="5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related disclosures of contingent liabilities as of the date of the consolidated financial statements as well as the reported amounts of expenses during the reporting period. Actual results could differ from those estimates. Estimates are based on several factors including the facts and circumstances available at the time the estimates are made, historical experience, risk of loss, general economic conditions and trends, and the assessment of the probable future outcome. The estimates reflected in the Company’s consolidated financial statements include, but are not limited to, certain judgments regarding the fair value of the Company’s common stock, accrued expenses, research and development expenses, contingent liabilities, goodwill, intangible asset valuation and warrant liabilities. Estimates and assumptions are reviewed periodically and the effects of changes, if any, are reflected in the consolidated statements of operations and comprehensive loss in the period that they are determined.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2"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financial statements of the Company’s foreign subsidiaries are measured using the local currencies as the functional currencies. Assets and liabilities are translated from their functional currencies to their U.S. dollar equivalents at balance sheet date exchange rates and revenue and expenses are translated from functional currencies to U.S. dollar equivalents at average exchange rates in effect during the year. Any gain or loss from these translations are included in accumulated other comprehensive income. Foreign currency transaction gains and losses and transaction gains or losses arising are included in other expense, net in the consolidated statements of operations and comprehensive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Company considered the Company’s organizational structure and the information regularly reviewed and evaluated by the Company’s chief operating decision maker (“CODM”) when deciding how to allocate resources and assess performance. The Company has determined that its CODM is its Chief Executive Officer (“CEO”). The CODM reviews the financial information on a consolidated basis for purposes of evaluating financial performance and allocating resources. Based on this factor, the Company determined that it operates and manages its business as a single operating segment.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identifies fair value as the exchange price, or exit price, representing the amount that would be received to sell an asset or paid to transfer a liability in an orderly transaction between market participants, or in the absence of a principal market, the most advantageous market for the investment or liability. As a basis for considering market participant assumptions in fair value measurements, ASC 820 establishes a three-tier fair value hierarchy that gives the highest priority to unadjusted quoted prices in active markets for identical assets or liabilities (Level 1) and the lowest priority to unobservable inputs (Level 3). The three levels of the fair value hierarchy are as follows:</w:t>
      </w:r>
    </w:p>
    <w:p>
      <w:pPr>
        <w:spacing w:after="0" w:line="84" w:lineRule="exact"/>
        <w:rPr>
          <w:sz w:val="20"/>
          <w:szCs w:val="20"/>
          <w:color w:val="auto"/>
        </w:rPr>
      </w:pPr>
    </w:p>
    <w:p>
      <w:pPr>
        <w:ind w:left="880" w:hanging="224"/>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59"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 Financial assets and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liabilities are classified in their entirety based on the lowest level of input that is significant to the fair value measurement.</w:t>
      </w:r>
    </w:p>
    <w:p>
      <w:pPr>
        <w:spacing w:after="0" w:line="21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Company considers all highly liquid investments that are readily convertible into cash with original maturities of three months or less at the date of purchase to be cash equivalents. The Company maintains its cash in bank deposit accounts which, at times, may exceed the federal insurance limit. The Company invests excess cash primarily in overnight cash sweeps, money market funds, U.S. treasury bills and U.S. treasury notes, which are highly liquid and have strong credit ratings. These investments are subject to minimal credit and market risks.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The Company’s investment strategy is focused on capital preservation. The Company invests in instruments that meet the credit quality standards outlined in the Company’s investment policy. Short-term marketable securities consist of investments in debt securities with original maturities greater than three months and remaining maturities of less than one year from the balance sheet date. The Company classifies all of its marketable securities as available-for-sale. Accordingly, these investments are recorded at fair value. Fair value is determined based on quoted market prices. Accretion of discounts and amortization of premiums are recorded within interest income on the consolidated statements of operations and comprehensive loss. Realized gains and losses are recorded within other expense, net on the consolidated statements of operations and comprehensive loss. Unrealized gains and losses are included in other comprehensive income (loss) on the consolidated statements of operations and comprehensive loss.</w:t>
      </w:r>
    </w:p>
    <w:p>
      <w:pPr>
        <w:spacing w:after="0" w:line="180"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 xml:space="preserve">The Company assesses its available-for-sale debt securities under the available-for-sale debt security impairment model in ASC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a component of other income (expense), net, which is limited to the difference between the fair value and the amortized cost of the security. To date, the Company has not recorded any credit losses on its available-for-sale debt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2"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The Company classifies all cash of which use is limited by contractual provisions as restricted cash. Restricted cash of $3.5 million and $0.6 million is recorded in other non-current assets in the consolidated balance sheets as of December 31, 2023 and 2022, respectively, and includes amounts held as a security deposit for letters of credit issued by banks in favor of the Company in connection with leased facilities and credit card collateral.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Property and equipment, net is stated at cost, less accumulated depreciation and amortization and consist of laboratory equipment, furniture and office equipment, computer equipment and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leasehold improvements. The Company capitalizes property and equipment that is acquired for research and development activities and that has an alternate future use. Expenditures for maintenance and repairs are recorded to expense as incurred. Leasehold improvements are depreciated over the lesser of their useful life or the term of the lease. Depreciation is calculated over the estimated useful lives of the assets using the straight-line method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6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960" w:type="dxa"/>
            <w:vAlign w:val="bottom"/>
          </w:tcPr>
          <w:p>
            <w:pPr>
              <w:jc w:val="center"/>
              <w:ind w:left="2090"/>
              <w:spacing w:after="0"/>
              <w:rPr>
                <w:sz w:val="20"/>
                <w:szCs w:val="20"/>
                <w:color w:val="auto"/>
              </w:rPr>
            </w:pPr>
            <w:r>
              <w:rPr>
                <w:rFonts w:ascii="Arial" w:cs="Arial" w:eastAsia="Arial" w:hAnsi="Arial"/>
                <w:sz w:val="18"/>
                <w:szCs w:val="18"/>
                <w:color w:val="auto"/>
                <w:w w:val="98"/>
              </w:rPr>
              <w:t>3 years</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4960" w:type="dxa"/>
            <w:vAlign w:val="bottom"/>
          </w:tcPr>
          <w:p>
            <w:pPr>
              <w:jc w:val="center"/>
              <w:ind w:left="2090"/>
              <w:spacing w:after="0" w:line="202" w:lineRule="exact"/>
              <w:rPr>
                <w:sz w:val="20"/>
                <w:szCs w:val="20"/>
                <w:color w:val="auto"/>
              </w:rPr>
            </w:pPr>
            <w:r>
              <w:rPr>
                <w:rFonts w:ascii="Arial" w:cs="Arial" w:eastAsia="Arial" w:hAnsi="Arial"/>
                <w:sz w:val="18"/>
                <w:szCs w:val="18"/>
                <w:color w:val="auto"/>
                <w:w w:val="98"/>
              </w:rPr>
              <w:t>5 years</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Laboratory equipment</w:t>
            </w:r>
          </w:p>
        </w:tc>
        <w:tc>
          <w:tcPr>
            <w:tcW w:w="4960" w:type="dxa"/>
            <w:vAlign w:val="bottom"/>
          </w:tcPr>
          <w:p>
            <w:pPr>
              <w:jc w:val="center"/>
              <w:ind w:left="2090"/>
              <w:spacing w:after="0" w:line="202" w:lineRule="exact"/>
              <w:rPr>
                <w:sz w:val="20"/>
                <w:szCs w:val="20"/>
                <w:color w:val="auto"/>
              </w:rPr>
            </w:pPr>
            <w:r>
              <w:rPr>
                <w:rFonts w:ascii="Arial" w:cs="Arial" w:eastAsia="Arial" w:hAnsi="Arial"/>
                <w:sz w:val="18"/>
                <w:szCs w:val="18"/>
                <w:color w:val="auto"/>
                <w:w w:val="98"/>
              </w:rPr>
              <w:t>5 years</w:t>
            </w:r>
          </w:p>
        </w:tc>
      </w:t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960" w:type="dxa"/>
            <w:vAlign w:val="bottom"/>
          </w:tcPr>
          <w:p>
            <w:pPr>
              <w:jc w:val="center"/>
              <w:ind w:left="2090"/>
              <w:spacing w:after="0"/>
              <w:rPr>
                <w:sz w:val="20"/>
                <w:szCs w:val="20"/>
                <w:color w:val="auto"/>
              </w:rPr>
            </w:pPr>
            <w:r>
              <w:rPr>
                <w:rFonts w:ascii="Arial" w:cs="Arial" w:eastAsia="Arial" w:hAnsi="Arial"/>
                <w:sz w:val="18"/>
                <w:szCs w:val="18"/>
                <w:color w:val="auto"/>
              </w:rPr>
              <w:t>Shorter of useful life or life of lease</w:t>
            </w:r>
          </w:p>
        </w:tc>
      </w:tr>
    </w:tbl>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ind w:left="120" w:right="60" w:firstLine="551"/>
        <w:spacing w:after="0" w:line="254" w:lineRule="auto"/>
        <w:rPr>
          <w:sz w:val="20"/>
          <w:szCs w:val="20"/>
          <w:color w:val="auto"/>
        </w:rPr>
      </w:pPr>
      <w:r>
        <w:rPr>
          <w:rFonts w:ascii="Arial" w:cs="Arial" w:eastAsia="Arial" w:hAnsi="Arial"/>
          <w:sz w:val="17"/>
          <w:szCs w:val="17"/>
          <w:color w:val="auto"/>
        </w:rPr>
        <w:t xml:space="preserve">The Company recognizes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 (i) identify the contract(s) with a customer; (ii) identify the promises and performance obligations in the contract;</w:t>
      </w:r>
    </w:p>
    <w:p>
      <w:pPr>
        <w:ind w:left="120" w:right="20" w:hanging="4"/>
        <w:spacing w:after="0" w:line="236" w:lineRule="auto"/>
        <w:tabs>
          <w:tab w:leader="none" w:pos="4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it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As part of the assessment, the Company must develop assumptions that require judgment to determine the standalone selling price for each performance obligation identified in the contract. The Company uses key assumptions to determine the standalone selling price, which may include reimbursement rates for personnel costs, development timelines and probabilities of regulatory success. The Company does not assess whether a contract has a significant financing component if the expectation at contract inception is that the period between payment by the customer and the transfer of promised goods or services to the customer will be one year or less.</w:t>
      </w:r>
    </w:p>
    <w:p>
      <w:pPr>
        <w:spacing w:after="0" w:line="18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Arrangements that include upfront payments may require deferral of revenue recognition to a future period until obligations under these arrangements are fulfilled. Event-based milestone payments represent variable consideration and the Company uses the “most likely amount” method to estimate this variable consideration. If there is a high degree of uncertainty associated with the variable consideration, it is constrained until the uncertainty is resolved. Revenue will be recognized from sales-based royalty payments when or as the sales occur. The Company will re-evaluate the transaction price in each reporting period as uncertain events are resolved and other changes in circumstances occur.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2"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The Company reviews its property and equipment and intangible assets whenever events or changes in circumstances indicate that the carrying value of certain assets might not be recoverable and recognizes an impairment loss when it is probable that an asset’s realizable value is less than the carrying value. No impairment charges were recognized for the years ended December 31, 2023 and 2022.</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Acquisitions</w:t>
      </w:r>
    </w:p>
    <w:p>
      <w:pPr>
        <w:spacing w:after="0" w:line="102"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 xml:space="preserve">The Company evaluates each of its acquisitions under the accounting framework in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to determine whether the transaction is a business combination or an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asset acquisition. In determining whether an acquisition should be accounted for as a business combination or an asset acquisition, the Company first performs a screen test. The acquisition is not deemed to be a business combination and is instead accounted for as an asset acquisition if substantially all of the fair value of the gross assets acquired is concentrated in a single identifiable asset or a group of similar identifiable assets. If the transaction is not deemed to be an asset acquisition, the Company then further evaluates whether the acquisition includes, at a minimum, an input and a substantive process that together significantly contributes to the ability to create outputs. If so, the Company concludes that the acquisition is a business combination.</w:t>
      </w:r>
    </w:p>
    <w:p>
      <w:pPr>
        <w:spacing w:after="0" w:line="179" w:lineRule="exact"/>
        <w:rPr>
          <w:sz w:val="20"/>
          <w:szCs w:val="20"/>
          <w:color w:val="auto"/>
        </w:rPr>
      </w:pPr>
    </w:p>
    <w:p>
      <w:pPr>
        <w:ind w:left="120" w:right="440" w:firstLine="551"/>
        <w:spacing w:after="0" w:line="242" w:lineRule="auto"/>
        <w:rPr>
          <w:sz w:val="20"/>
          <w:szCs w:val="20"/>
          <w:color w:val="auto"/>
        </w:rPr>
      </w:pPr>
      <w:r>
        <w:rPr>
          <w:rFonts w:ascii="Arial" w:cs="Arial" w:eastAsia="Arial" w:hAnsi="Arial"/>
          <w:sz w:val="18"/>
          <w:szCs w:val="18"/>
          <w:color w:val="auto"/>
        </w:rPr>
        <w:t>The Company accounts for business combinations using the acquisition method of accounting.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which is not amortized for accounting purposes but is subject to testing for impairment at least annually. Determining the fair value of assets acquired and liabilities assumed in a business combination requires management to use significant judgment and estimates.</w:t>
      </w:r>
    </w:p>
    <w:p>
      <w:pPr>
        <w:spacing w:after="0" w:line="17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For asset acquisitions, the transactions are accounted for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no goodwill is recognized. Rather, the Company recognizes the identifiable assets acquired (excluding goodwill) and the liabilities assumed and recognizes a gain or loss for the difference between (a) the sum of the fair values of consideration paid (including any contingent consideration) and (b) the fair value of the identifiable assets and liabilities. Acquired in-process research and development (“IPR&amp;D”) with no alternative future use is charged to research and development expense on the acquisition date.</w:t>
      </w:r>
    </w:p>
    <w:p>
      <w:pPr>
        <w:spacing w:after="0" w:line="176"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Acquisition-related expenses incurred by the Company in such transactions are not included as a component of consideration transferred but are accounted for as an expense in the period in which the costs are incurred.</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Goodwill is not amortized but is instead tested for impairment at least annually and whenever events or circumstances indicate that it is more likely-than-not that goodwill may be impaired. The Company has elected to perform the annual test for goodwill impairment in the fourth quarter of each year. No impairment charges were recognized for the years ended December 31, 2023 and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w:t>
      </w:r>
    </w:p>
    <w:p>
      <w:pPr>
        <w:spacing w:after="0" w:line="102"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The Company’s intangible asset is comprised of purchased developed technology. The intangible asset is carried at cost, net of accumulated amortization. Amortization is recorded on a straight-line basis over the intangible asset’s useful life, which is five years. No impairment charges were recognized for the years ended December 31, 2023 and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Contingent consideration payable is measured and recorded at fair value on the acquisition date as part of the allocation of the purchase consideration. The fair value of contingent obligations to make additional payments is determined based on assumptions regarding the achievement of development and regulatory milestones, and the occurrence of other qualifying events, with changes in fair value reflected in the consolidated statement of operations and comprehensive loss as a component of operating expenses. The determination of fair value requires management to use subjective judgments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5"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as to the probability and timing of a qualifying event, and development and regulatory milestones. The determination of the fair value of contingent considerations obligation is particularly sensitive to judgments relative to the probability of achieving the specified development and regulatory milestones, and the occurrence of a qualifying event.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The Company accounts for stock-based compensation under the provisions of ASC Topic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The Company periodically grants stock options and restricted stock awards to employees and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is measured at estimated fair value on the grant date, and is included as compensation expense over the requisite service period, which is the vesting period during which an employee provides service in exchange for the award, on a straight-line basis. Compensation expense for awards to non-employees is recognized in the same manner as if the Company had paid cash in exchange for the goods or services, which is generally over the vesting period of the award. Forfeitures are accounted for as they occur. The Company classifies stock-based compensation expense in the consolidated statements of operations and comprehensive loss in the same manner in which the award recipients’ payroll costs are classified or in which the award recipients’ service payments are classified.</w:t>
      </w:r>
    </w:p>
    <w:p>
      <w:pPr>
        <w:spacing w:after="0" w:line="180"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is measured on the date of grant at the estimated fair value of the common stock.</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 xml:space="preserve">Because there has not historically been a public market for the Company’s common stock, the estimated fair value of common stock was determined by the Company’s Board of Directors as of the date of each option grant, with inputs from management, considering third-party valuations of its common stock as well as the Company’s Board of Directors’ assessment of additional objective and subjective factors that it believed were relevant. These third-party valuations were performed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 Held 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w:t>
      </w:r>
    </w:p>
    <w:p>
      <w:pPr>
        <w:spacing w:after="0" w:line="179"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Company estimates its expected stock price volatility based on the historical volatility of publicly traded peer companies. The expected term of the Company’s stock options has been determined utilizing the “simplified” method. The risk-free interest rate is determined by reference to the U.S. Treasury yield curve in effect at the time of grant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facts and circumstances present in the arrangement including the use of an identified asset(s) and the Company’s control over the use of that identified asset.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has elected to not recognize on its consolidated balance sheet leases with a lease term of one year or less. Leases with a term greater than one year are recognized on the consolidated balance sheet as right-of-use assets and current and noncurrent operating lease liabilities, as applicable.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The Company evaluates the classification of its leases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p>
    <w:p>
      <w:pPr>
        <w:spacing w:after="0" w:line="17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Operating lease liabilities and their corresponding operating lease right-of-use assets are initially recorded based on the present value of lease payments over the expected remaining lease term. Since the Company does not have insight into the relevant information that would be required to arrive at the rate implicit in the lease, the Company utilizes an estimated incremental borrowing rate to determine the discount rate. The incremental borrowing rate is a hypothetical rate based on the Company’s understanding of what its credit rating would be, adjusted to reflect a collateralized borrowing.</w:t>
      </w:r>
    </w:p>
    <w:p>
      <w:pPr>
        <w:spacing w:after="0" w:line="176"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Certain adjustments to the right-of-use assets may be required for items such as lease incentives received. The Company typically only includes the initial noncancellable period in its assessment of a lease term. Options to extend a lease are not included in its assessment unless there is reasonable certainty that the Company will exercise its option to renew. The Company monitors its plans to renew its material leases based on current economic factors and as circumstances may change.</w:t>
      </w:r>
    </w:p>
    <w:p>
      <w:pPr>
        <w:spacing w:after="0" w:line="174" w:lineRule="exact"/>
        <w:rPr>
          <w:sz w:val="20"/>
          <w:szCs w:val="20"/>
          <w:color w:val="auto"/>
        </w:rPr>
      </w:pPr>
    </w:p>
    <w:p>
      <w:pPr>
        <w:jc w:val="both"/>
        <w:ind w:left="120" w:right="340" w:firstLine="551"/>
        <w:spacing w:after="0" w:line="247" w:lineRule="auto"/>
        <w:rPr>
          <w:sz w:val="20"/>
          <w:szCs w:val="20"/>
          <w:color w:val="auto"/>
        </w:rPr>
      </w:pPr>
      <w:r>
        <w:rPr>
          <w:rFonts w:ascii="Arial" w:cs="Arial" w:eastAsia="Arial" w:hAnsi="Arial"/>
          <w:sz w:val="18"/>
          <w:szCs w:val="18"/>
          <w:color w:val="auto"/>
        </w:rPr>
        <w:t xml:space="preserve">The Company has elected the practical expedient in ASC 842, </w:t>
      </w:r>
      <w:r>
        <w:rPr>
          <w:rFonts w:ascii="Arial" w:cs="Arial" w:eastAsia="Arial" w:hAnsi="Arial"/>
          <w:sz w:val="18"/>
          <w:szCs w:val="18"/>
          <w:i w:val="1"/>
          <w:iCs w:val="1"/>
          <w:color w:val="auto"/>
        </w:rPr>
        <w:t>Leases</w:t>
      </w:r>
      <w:r>
        <w:rPr>
          <w:rFonts w:ascii="Arial" w:cs="Arial" w:eastAsia="Arial" w:hAnsi="Arial"/>
          <w:sz w:val="18"/>
          <w:szCs w:val="18"/>
          <w:color w:val="auto"/>
        </w:rPr>
        <w:t>, to not separate lease and non-lease components (e.g., common area maintenance) and is applying this expedient to leases of all underlying asset classes. Lease cost for operating leases is recognized on a straight-line basis over the lease term as an operating expense. Variable lease costs are expensed as incurred as an operating expense.</w:t>
      </w:r>
    </w:p>
    <w:p>
      <w:pPr>
        <w:spacing w:after="0" w:line="174"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carrying value of the Company’s right-of-use assets is substantially concentrated in the leasing of office and laboratory space, and equipment.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Freestanding warrants related to shares that are redeemable outside of the control of the Company are classified as liabilities on the Company’s consolidated balance sheets. The warrants are initially recorded at fair value on the date of issuance and are subsequently remeasured to fair value at each balance sheet date. Changes in the fair value of these warrants are recognized as a component of other income (expense), net in the Company’s consolidated statements of operations and comprehensive loss. The Company will continue to adjust the liability for changes in fair value until the earlier of the exercise or expiration of the warrants, or if and when the warrants meet the criteria for equity classification. The Company classifies the liabilities as other noncurrent liabilities in the accompanying audited consolidated balance sheets as the settlement of the warrants is not expected within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The Company has classified its convertible preferred stock as temporary equity in the accompanying consolidated balance sheets due to terms that allow for redemption of the shares in cash upon certain changes in control events or deemed liquidation events that are outside of the Company’s control. The Company did not accrete the carrying values of the convertible preferred stock to the redemption values since a change in control event was not considered probable of occurring as of December 31, 2023. Subsequent adjustments of the carrying values to the ultimate redemption values will be made only when it becomes probable that such a change in control event is probable of occurring.</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5"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color w:val="auto"/>
        </w:rPr>
        <w:t>Expenditures relating to research and development are expensed as incurred. Non-refundable advance payments for goods and services that will be used in future research and development activities are expensed when the activity has been performed or when the goods have been received.</w:t>
      </w:r>
    </w:p>
    <w:p>
      <w:pPr>
        <w:spacing w:after="0" w:line="169"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Company is required to estimate its accrued research and development expenses as of each balance sheet date. In accruing service fees, the Company estimates the time period over which services will be performed and the level of effort to be expended in each period. The financial terms of these contracts are subject to negotiation, which vary by contract and may result in payments that do not match the periods over which materials or services are provided. The Company accrues the costs incurred under the agreements based on an estimate of actual work completed in accordance with the agreements. In circumstances where amounts have been paid in excess of costs incurred, the Company records the excess as a prepaid expense and recognizes as expense as the goods are received or the related services are rendered.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 valuation allowance against deferred tax assets is recorded if, based on the weight of the available evidence, it is more likely than not that some or all the deferred tax assets will not be realized.</w:t>
      </w:r>
    </w:p>
    <w:p>
      <w:pPr>
        <w:spacing w:after="0" w:line="176"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The Company recognizes interest and penalties related to income tax, if any, within income tax expense.</w:t>
      </w:r>
    </w:p>
    <w:p>
      <w:pPr>
        <w:spacing w:after="0" w:line="176" w:lineRule="exact"/>
        <w:rPr>
          <w:sz w:val="20"/>
          <w:szCs w:val="20"/>
          <w:color w:val="auto"/>
        </w:rPr>
      </w:pPr>
    </w:p>
    <w:p>
      <w:pPr>
        <w:ind w:left="120" w:right="360" w:firstLine="551"/>
        <w:spacing w:after="0" w:line="247" w:lineRule="auto"/>
        <w:rPr>
          <w:sz w:val="20"/>
          <w:szCs w:val="20"/>
          <w:color w:val="auto"/>
        </w:rPr>
      </w:pPr>
      <w:r>
        <w:rPr>
          <w:rFonts w:ascii="Arial" w:cs="Arial" w:eastAsia="Arial" w:hAnsi="Arial"/>
          <w:sz w:val="18"/>
          <w:szCs w:val="18"/>
          <w:color w:val="auto"/>
        </w:rPr>
        <w:t>Provisions of the U.S. Tax Cuts and Jobs Act (“U.S. Tax Act”) became effective for the Company upon inception. The Global Intangible Low-Taxed Income (“GILTI”) provision requires that the Company be subject to U.S. taxation on a portion of its foreign subsidiary earnings that exceed an allowable return. The Company has elected to treat any GILTI inclusion as a period expense in the year incurred.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convertible preferred stock which are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6"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Basic net loss per share attributable to common stockholders is computed by dividing net loss attributable to common stockholders by the weighted-average number of shares of common stock outstanding during the period. Diluted net loss attributable to common stockholders is computed by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adjusting net loss attributable to common stockholders to reallocate undistributed earnings based on the potential impact of diluted securities. Diluted net loss per share attributable to common stockholders is computed by dividing the diluted net loss attributable to common stockholders by the weighted-average number of shares of common stock outstanding for the period, including potential dilutive common stock.</w:t>
      </w:r>
    </w:p>
    <w:p>
      <w:pPr>
        <w:spacing w:after="0" w:line="174" w:lineRule="exact"/>
        <w:rPr>
          <w:sz w:val="20"/>
          <w:szCs w:val="20"/>
          <w:color w:val="auto"/>
        </w:rPr>
      </w:pPr>
    </w:p>
    <w:p>
      <w:pPr>
        <w:jc w:val="both"/>
        <w:ind w:left="120" w:right="720" w:firstLine="551"/>
        <w:spacing w:after="0" w:line="253" w:lineRule="auto"/>
        <w:rPr>
          <w:sz w:val="20"/>
          <w:szCs w:val="20"/>
          <w:color w:val="auto"/>
        </w:rPr>
      </w:pPr>
      <w:r>
        <w:rPr>
          <w:rFonts w:ascii="Arial" w:cs="Arial" w:eastAsia="Arial" w:hAnsi="Arial"/>
          <w:sz w:val="18"/>
          <w:szCs w:val="18"/>
          <w:color w:val="auto"/>
        </w:rPr>
        <w:t>Dividends on convertible preferred stock increase net loss to arrive at loss available to common stockholders, which is the numerator in the calculation of basic net loss and diluted net loss. Such dividends include deemed dividends such as adjustments triggered by down round features.</w:t>
      </w:r>
    </w:p>
    <w:p>
      <w:pPr>
        <w:spacing w:after="0" w:line="16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reported a net loss attributable to common stockholders, such losses are not allocated to such participating securities. In periods in which the Company reported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 The Company reported a net loss attributable to common stockholders for the years ended December 31, 2023, and 2022.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2" w:lineRule="exact"/>
        <w:rPr>
          <w:sz w:val="20"/>
          <w:szCs w:val="20"/>
          <w:color w:val="auto"/>
        </w:rPr>
      </w:pPr>
    </w:p>
    <w:p>
      <w:pPr>
        <w:ind w:left="120" w:right="400" w:firstLine="551"/>
        <w:spacing w:after="0" w:line="253" w:lineRule="auto"/>
        <w:rPr>
          <w:sz w:val="20"/>
          <w:szCs w:val="20"/>
          <w:color w:val="auto"/>
        </w:rPr>
      </w:pPr>
      <w:r>
        <w:rPr>
          <w:rFonts w:ascii="Arial" w:cs="Arial" w:eastAsia="Arial" w:hAnsi="Arial"/>
          <w:sz w:val="18"/>
          <w:szCs w:val="18"/>
          <w:color w:val="auto"/>
        </w:rPr>
        <w:t>Financial instruments that potentially expose the Company to concentrations of credit risk primarily consist of cash, cash equivalents and marketable securities. The Company invests its cash and cash equivalents in overnight insured cash sweeps, money market funds, U.S. treasury bills and U.S. treasury notes.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Company is an emerging growth company (“EGC”), as defined in the Jumpstart Our Business Startups Act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the Company adopts such pronouncements as of the specified effective date. Unless otherwise discussed below, the Company does not believe that the adoption of recently issued standards has had or may have a material impact on the Company’s consolidated financial statements or disclosures.</w:t>
      </w:r>
    </w:p>
    <w:p>
      <w:pPr>
        <w:spacing w:after="0" w:line="17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 xml:space="preserve">In November 2023, the FASB issued Accounting Standard Update, or ASU, 2023-07, </w:t>
      </w:r>
      <w:r>
        <w:rPr>
          <w:rFonts w:ascii="Arial" w:cs="Arial" w:eastAsia="Arial" w:hAnsi="Arial"/>
          <w:sz w:val="18"/>
          <w:szCs w:val="18"/>
          <w:i w:val="1"/>
          <w:iCs w:val="1"/>
          <w:color w:val="auto"/>
        </w:rPr>
        <w:t>Segment Reporting (Topic 280):</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is intended to improve reportable segment disclosure requirements,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additional disclosures about significant segment expenses. The standard is effective for fiscal years beginning after December 15, 2023 and interim periods within fiscal years beginning after December 15, 2024, with early adoption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permitted. The amendments should be applied retrospectively to all prior periods presented in the financial statements. The Company is currently evaluating the impact ASU 2023-07 may have on its consolidated financial statements.</w:t>
      </w:r>
    </w:p>
    <w:p>
      <w:pPr>
        <w:spacing w:after="0" w:line="154"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This amended guidance applies to all entities and broadly aims to enhance the transparency and decision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is currently analyzing the impact that ASU No. 2023-09 will have on the consolidated financial statements.</w:t>
      </w:r>
    </w:p>
    <w:p>
      <w:pPr>
        <w:spacing w:after="0" w:line="327"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w:t>
      </w:r>
    </w:p>
    <w:p>
      <w:pPr>
        <w:spacing w:after="0" w:line="104"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Company’s goodwill and intangible asset relate to the purchase of Rahko Limited (“Rahko”) in 2021, which was accounted for as a business combination.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the effect of foreign currency translation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Goodwill</w:t>
            </w:r>
          </w:p>
        </w:tc>
      </w:tr>
      <w:tr>
        <w:trPr>
          <w:trHeight w:val="196"/>
        </w:trPr>
        <w:tc>
          <w:tcPr>
            <w:tcW w:w="10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balance as of January 1, 2022</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$14,385</w:t>
            </w:r>
          </w:p>
        </w:tc>
        <w:tc>
          <w:tcPr>
            <w:tcW w:w="120" w:type="dxa"/>
            <w:vAlign w:val="bottom"/>
            <w:tcBorders>
              <w:top w:val="single" w:sz="8" w:color="CCEEFF"/>
            </w:tcBorders>
            <w:shd w:val="clear" w:color="auto" w:fill="CCEEFF"/>
          </w:tcPr>
          <w:p>
            <w:pPr>
              <w:spacing w:after="0"/>
              <w:rPr>
                <w:sz w:val="17"/>
                <w:szCs w:val="17"/>
                <w:color w:val="auto"/>
              </w:rPr>
            </w:pPr>
          </w:p>
        </w:tc>
      </w:tr>
      <w:tr>
        <w:trPr>
          <w:trHeight w:val="277"/>
        </w:trPr>
        <w:tc>
          <w:tcPr>
            <w:tcW w:w="1022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balance as of December 31, 2022</w:t>
            </w:r>
          </w:p>
        </w:tc>
        <w:tc>
          <w:tcPr>
            <w:tcW w:w="6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12,879</w:t>
            </w:r>
          </w:p>
        </w:tc>
        <w:tc>
          <w:tcPr>
            <w:tcW w:w="120" w:type="dxa"/>
            <w:vAlign w:val="bottom"/>
            <w:shd w:val="clear" w:color="auto" w:fill="CCEEFF"/>
          </w:tcPr>
          <w:p>
            <w:pPr>
              <w:spacing w:after="0"/>
              <w:rPr>
                <w:sz w:val="17"/>
                <w:szCs w:val="17"/>
                <w:color w:val="auto"/>
              </w:rPr>
            </w:pPr>
          </w:p>
        </w:tc>
      </w:tr>
      <w:tr>
        <w:trPr>
          <w:trHeight w:val="217"/>
        </w:trPr>
        <w:tc>
          <w:tcPr>
            <w:tcW w:w="1022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balance as of December 31, 2023</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13,554</w:t>
            </w:r>
          </w:p>
        </w:tc>
      </w:tr>
      <w:tr>
        <w:trPr>
          <w:trHeight w:val="20"/>
        </w:trPr>
        <w:tc>
          <w:tcPr>
            <w:tcW w:w="10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w:t>
      </w:r>
    </w:p>
    <w:p>
      <w:pPr>
        <w:spacing w:after="0" w:line="102" w:lineRule="exact"/>
        <w:rPr>
          <w:sz w:val="20"/>
          <w:szCs w:val="20"/>
          <w:color w:val="auto"/>
        </w:rPr>
      </w:pPr>
    </w:p>
    <w:p>
      <w:pPr>
        <w:jc w:val="both"/>
        <w:ind w:left="120" w:right="80" w:firstLine="551"/>
        <w:spacing w:after="0" w:line="271" w:lineRule="auto"/>
        <w:rPr>
          <w:sz w:val="20"/>
          <w:szCs w:val="20"/>
          <w:color w:val="auto"/>
        </w:rPr>
      </w:pPr>
      <w:r>
        <w:rPr>
          <w:rFonts w:ascii="Arial" w:cs="Arial" w:eastAsia="Arial" w:hAnsi="Arial"/>
          <w:sz w:val="18"/>
          <w:szCs w:val="18"/>
          <w:color w:val="auto"/>
        </w:rPr>
        <w:t>The Company’s intangible asset is comprised solely of developed technology and is being amortized using the straight-line method which reflects the pattern in which the economic benefits of the asset are consumed, over its estimated useful life of five years.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intangible asset, current and future amortization, and the effect of foreign currency translation: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71"/>
              </w:rPr>
              <w:t> </w:t>
            </w: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 xml:space="preserve">  2023    </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center"/>
              <w:ind w:right="2"/>
              <w:spacing w:after="0"/>
              <w:rPr>
                <w:sz w:val="20"/>
                <w:szCs w:val="20"/>
                <w:color w:val="auto"/>
              </w:rPr>
            </w:pPr>
            <w:r>
              <w:rPr>
                <w:rFonts w:ascii="Arial" w:cs="Arial" w:eastAsia="Arial" w:hAnsi="Arial"/>
                <w:sz w:val="5"/>
                <w:szCs w:val="5"/>
                <w:b w:val="1"/>
                <w:bCs w:val="1"/>
                <w:color w:val="auto"/>
                <w:w w:val="79"/>
              </w:rPr>
              <w:t> </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2022 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 balance as of January 1,</w:t>
            </w:r>
          </w:p>
        </w:tc>
        <w:tc>
          <w:tcPr>
            <w:tcW w:w="4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1,572</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4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balance as of December 31,</w:t>
            </w:r>
          </w:p>
        </w:tc>
        <w:tc>
          <w:tcPr>
            <w:tcW w:w="4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1,655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4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net</w:t>
            </w:r>
          </w:p>
        </w:tc>
        <w:tc>
          <w:tcPr>
            <w:tcW w:w="4360" w:type="dxa"/>
            <w:vAlign w:val="bottom"/>
            <w:gridSpan w:val="2"/>
            <w:shd w:val="clear" w:color="auto" w:fill="CCEEFF"/>
          </w:tcPr>
          <w:p>
            <w:pPr>
              <w:ind w:left="42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910</w:t>
            </w:r>
          </w:p>
        </w:tc>
        <w:tc>
          <w:tcPr>
            <w:tcW w:w="42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Future amortization:</w:t>
            </w:r>
          </w:p>
        </w:tc>
        <w:tc>
          <w:tcPr>
            <w:tcW w:w="4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360" w:type="dxa"/>
            <w:vAlign w:val="bottom"/>
            <w:gridSpan w:val="2"/>
            <w:shd w:val="clear" w:color="auto" w:fill="CCEEFF"/>
          </w:tcPr>
          <w:p>
            <w:pPr>
              <w:ind w:left="42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Total future amortization</w:t>
            </w:r>
          </w:p>
        </w:tc>
        <w:tc>
          <w:tcPr>
            <w:tcW w:w="4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40" w:type="dxa"/>
            <w:vAlign w:val="bottom"/>
          </w:tcPr>
          <w:p>
            <w:pPr>
              <w:spacing w:after="0"/>
              <w:rPr>
                <w:sz w:val="24"/>
                <w:szCs w:val="24"/>
                <w:color w:val="auto"/>
              </w:rPr>
            </w:pPr>
          </w:p>
        </w:tc>
        <w:tc>
          <w:tcPr>
            <w:tcW w:w="4360" w:type="dxa"/>
            <w:vAlign w:val="bottom"/>
            <w:gridSpan w:val="2"/>
          </w:tcPr>
          <w:p>
            <w:pPr>
              <w:ind w:left="880"/>
              <w:spacing w:after="0"/>
              <w:rPr>
                <w:sz w:val="20"/>
                <w:szCs w:val="20"/>
                <w:color w:val="auto"/>
              </w:rPr>
            </w:pPr>
            <w:r>
              <w:rPr>
                <w:rFonts w:ascii="Arial" w:cs="Arial" w:eastAsia="Arial" w:hAnsi="Arial"/>
                <w:sz w:val="18"/>
                <w:szCs w:val="18"/>
                <w:color w:val="auto"/>
              </w:rPr>
              <w:t>F-19</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Pfizer MTA</w:t>
      </w:r>
    </w:p>
    <w:p>
      <w:pPr>
        <w:spacing w:after="0" w:line="104"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In December 2022, the Company entered into a material transfer and evaluation agreement (the “Pfizer MTA”) with Pfizer, Inc. (“Pfizer”) in which the Company granted to Pfizer a nonexclusive license to access the Company’s intellectual property. Under the Pfizer MTA, the Company and Pfizer will jointly conduct research to identify novel hits using the Company’s natural product platform to initiate a preclinical drug discovery program against an oncogenic transcription factor.</w:t>
      </w:r>
    </w:p>
    <w:p>
      <w:pPr>
        <w:spacing w:after="0" w:line="17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Company determined that the Pfizer MTA represents a contract with a customer and consists of one combined performance obligation for the nonexclusive license and the promise to provide research and development services (“R&amp;D services”) to Pfizer, as the license and promise are not capable of being distinct in the context of the contract. The Pfizer MTA is for an initial period of two and one-half years or upon completion of the research if completed or terminated earlier. In addition, the Pfizer MTA contains two options that require the Company to provide further R&amp;D services to Pfizer (the “First Pfizer Option” and “Second Pfizer Option”, collectively the “Pfizer Options”). The Company evaluated the options to continue the R&amp;D services and concluded that these options did not represent material rights, as they were deemed to be for additional R&amp;D services that are at their standalone selling price.</w:t>
      </w:r>
    </w:p>
    <w:p>
      <w:pPr>
        <w:spacing w:after="0" w:line="185"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color w:val="auto"/>
        </w:rPr>
        <w:t>In 2023, Pfizer paid the Company a nonrefundable upfront payment of $ 1.0 million in exchange for the nonexclusive license as well as R&amp;D services performed by the Company over the initial period. In addition, the Company is eligible to receive contingent payments of up to $985 thousand following the completion of additional R&amp;D services under the Pfizer MTA.</w:t>
      </w:r>
    </w:p>
    <w:p>
      <w:pPr>
        <w:spacing w:after="0" w:line="169"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The Company determined the transaction price at inception to be the upfront payment of $1.0 million, as the variable consideration for additional R&amp;D services was subject to constraint at contract inception. At each reporting period, the Company will reevaluate the variable consideration subject to constraint and, if necessary, will adjust its estimate of the overall transaction price.</w:t>
      </w:r>
    </w:p>
    <w:p>
      <w:pPr>
        <w:spacing w:after="0" w:line="169"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In December 2023, the First Pfizer Option was exercised and the Company subsequently invoiced $0.4 million under the terms of the Pfizer MTA. As such, the Company updated the estimated transaction price to be $1.4 million as the uncertainty related to the First Pfizer Option was resolved, and will recognize the associated revenue over the remaining performance period according to its measure of progress. The adjustment to revenue upon updating the estimated transaction price was de minimis.</w:t>
      </w:r>
    </w:p>
    <w:p>
      <w:pPr>
        <w:spacing w:after="0" w:line="17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Revenue from the Pfizer MTA is recognized over the estimated performance of the R&amp;D services using the time-elapsed input method which the Company believes best depicts the transfer of control to Pfizer. The Company recognized $1.0 million of collaboration revenue during the year ended December 31, 2023, which is included in collaboration revenue on the consolidated statement of operations and comprehensive loss. The Company recognized deferred revenue for the nonrefundable upfront fee in 2022, and no revenue was recognized as services being performed under the agreement did not commence until 2023. As of December 31, 2023, the Company expects to recognize the deferred revenue payment over the remaining estimated research and development period of approximately 6 months.</w:t>
      </w:r>
    </w:p>
    <w:p>
      <w:pPr>
        <w:spacing w:after="0" w:line="185" w:lineRule="exact"/>
        <w:rPr>
          <w:sz w:val="20"/>
          <w:szCs w:val="20"/>
          <w:color w:val="auto"/>
        </w:rPr>
      </w:pPr>
    </w:p>
    <w:p>
      <w:pPr>
        <w:ind w:left="120" w:right="600" w:firstLine="551"/>
        <w:spacing w:after="0" w:line="271" w:lineRule="auto"/>
        <w:rPr>
          <w:sz w:val="20"/>
          <w:szCs w:val="20"/>
          <w:color w:val="auto"/>
        </w:rPr>
      </w:pPr>
      <w:r>
        <w:rPr>
          <w:rFonts w:ascii="Arial" w:cs="Arial" w:eastAsia="Arial" w:hAnsi="Arial"/>
          <w:sz w:val="18"/>
          <w:szCs w:val="18"/>
          <w:color w:val="auto"/>
        </w:rPr>
        <w:t>Deferred revenue is recorded within accrued expenses on the consolidated balance sheets (see Note 8). The following table summarizes the changes in deferred revenue: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34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1"/>
              </w:rPr>
              <w:t> </w:t>
            </w:r>
          </w:p>
        </w:tc>
        <w:tc>
          <w:tcPr>
            <w:tcW w:w="1280" w:type="dxa"/>
            <w:vAlign w:val="bottom"/>
            <w:tcBorders>
              <w:top w:val="single" w:sz="8" w:color="auto"/>
            </w:tcBorders>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 xml:space="preserve">  2023    </w:t>
            </w: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5"/>
                <w:szCs w:val="5"/>
                <w:b w:val="1"/>
                <w:bCs w:val="1"/>
                <w:color w:val="auto"/>
                <w:w w:val="79"/>
              </w:rPr>
              <w:t> </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2022    </w:t>
            </w:r>
          </w:p>
        </w:tc>
        <w:tc>
          <w:tcPr>
            <w:tcW w:w="60" w:type="dxa"/>
            <w:vAlign w:val="bottom"/>
          </w:tcPr>
          <w:p>
            <w:pPr>
              <w:spacing w:after="0"/>
              <w:rPr>
                <w:sz w:val="13"/>
                <w:szCs w:val="13"/>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5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443</w:t>
            </w:r>
          </w:p>
        </w:tc>
        <w:tc>
          <w:tcPr>
            <w:tcW w:w="1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5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(1,037)</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Ending balance</w:t>
            </w:r>
          </w:p>
        </w:tc>
        <w:tc>
          <w:tcPr>
            <w:tcW w:w="5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3400" w:type="dxa"/>
            <w:vAlign w:val="bottom"/>
          </w:tcPr>
          <w:p>
            <w:pPr>
              <w:spacing w:after="0"/>
              <w:rPr>
                <w:sz w:val="24"/>
                <w:szCs w:val="24"/>
                <w:color w:val="auto"/>
              </w:rPr>
            </w:pPr>
          </w:p>
        </w:tc>
        <w:tc>
          <w:tcPr>
            <w:tcW w:w="5460" w:type="dxa"/>
            <w:vAlign w:val="bottom"/>
            <w:gridSpan w:val="2"/>
          </w:tcPr>
          <w:p>
            <w:pPr>
              <w:ind w:left="1920"/>
              <w:spacing w:after="0"/>
              <w:rPr>
                <w:sz w:val="20"/>
                <w:szCs w:val="20"/>
                <w:color w:val="auto"/>
              </w:rPr>
            </w:pPr>
            <w:r>
              <w:rPr>
                <w:rFonts w:ascii="Arial" w:cs="Arial" w:eastAsia="Arial" w:hAnsi="Arial"/>
                <w:sz w:val="18"/>
                <w:szCs w:val="18"/>
                <w:color w:val="auto"/>
              </w:rPr>
              <w:t>F-20</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 in accounts receivable: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72"/>
              </w:rPr>
              <w:t> </w:t>
            </w:r>
          </w:p>
        </w:tc>
        <w:tc>
          <w:tcPr>
            <w:tcW w:w="1280" w:type="dxa"/>
            <w:vAlign w:val="bottom"/>
            <w:tcBorders>
              <w:top w:val="single" w:sz="8" w:color="auto"/>
            </w:tcBorders>
            <w:gridSpan w:val="3"/>
          </w:tcPr>
          <w:p>
            <w:pPr>
              <w:jc w:val="right"/>
              <w:ind w:right="680"/>
              <w:spacing w:after="0" w:line="155" w:lineRule="exact"/>
              <w:rPr>
                <w:sz w:val="20"/>
                <w:szCs w:val="20"/>
                <w:color w:val="auto"/>
              </w:rPr>
            </w:pPr>
            <w:r>
              <w:rPr>
                <w:rFonts w:ascii="Arial" w:cs="Arial" w:eastAsia="Arial" w:hAnsi="Arial"/>
                <w:sz w:val="14"/>
                <w:szCs w:val="14"/>
                <w:b w:val="1"/>
                <w:bCs w:val="1"/>
                <w:color w:val="auto"/>
              </w:rPr>
              <w:t xml:space="preserve">  2023    </w:t>
            </w: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5"/>
                <w:szCs w:val="5"/>
                <w:b w:val="1"/>
                <w:bCs w:val="1"/>
                <w:color w:val="auto"/>
                <w:w w:val="79"/>
              </w:rPr>
              <w:t> </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2022    </w:t>
            </w:r>
          </w:p>
        </w:tc>
        <w:tc>
          <w:tcPr>
            <w:tcW w:w="60" w:type="dxa"/>
            <w:vAlign w:val="bottom"/>
          </w:tcPr>
          <w:p>
            <w:pPr>
              <w:spacing w:after="0"/>
              <w:rPr>
                <w:sz w:val="13"/>
                <w:szCs w:val="13"/>
                <w:color w:val="auto"/>
              </w:rPr>
            </w:pP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10"/>
        </w:trPr>
        <w:tc>
          <w:tcPr>
            <w:tcW w:w="87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the following revenues as a result of changes in the deferred revenue balance: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580" w:type="dxa"/>
            <w:vAlign w:val="bottom"/>
          </w:tcPr>
          <w:p>
            <w:pPr>
              <w:spacing w:after="0"/>
              <w:rPr>
                <w:sz w:val="13"/>
                <w:szCs w:val="13"/>
                <w:color w:val="auto"/>
              </w:rPr>
            </w:pPr>
          </w:p>
        </w:tc>
        <w:tc>
          <w:tcPr>
            <w:tcW w:w="1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71"/>
              </w:rPr>
              <w:t> </w:t>
            </w:r>
          </w:p>
        </w:tc>
        <w:tc>
          <w:tcPr>
            <w:tcW w:w="14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 xml:space="preserve">  2023    </w:t>
            </w: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5"/>
                <w:szCs w:val="5"/>
                <w:b w:val="1"/>
                <w:bCs w:val="1"/>
                <w:color w:val="auto"/>
                <w:w w:val="79"/>
              </w:rPr>
              <w:t> </w:t>
            </w:r>
          </w:p>
        </w:tc>
        <w:tc>
          <w:tcPr>
            <w:tcW w:w="6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xml:space="preserve">  2022    </w:t>
            </w:r>
          </w:p>
        </w:tc>
        <w:tc>
          <w:tcPr>
            <w:tcW w:w="60" w:type="dxa"/>
            <w:vAlign w:val="bottom"/>
          </w:tcPr>
          <w:p>
            <w:pPr>
              <w:spacing w:after="0"/>
              <w:rPr>
                <w:sz w:val="13"/>
                <w:szCs w:val="13"/>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Amounts included in deferred revenue as of the beginning of the period</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93"/>
              </w:rPr>
              <w:t>1,000</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346"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The following table sets forth by level, within the fair value hierarchy, the financial assets and liabilities carried at fair value on a recurring basis: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in active markets for</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identical assets</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28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3"/>
        </w:trPr>
        <w:tc>
          <w:tcPr>
            <w:tcW w:w="4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36,145</w:t>
            </w:r>
          </w:p>
        </w:tc>
        <w:tc>
          <w:tcPr>
            <w:tcW w:w="4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36,145</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36,145</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36,145</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U.S. treasury bills and U.S. treasury notes</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168,534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ind w:left="1000"/>
              <w:spacing w:after="0" w:line="196" w:lineRule="exact"/>
              <w:rPr>
                <w:sz w:val="20"/>
                <w:szCs w:val="20"/>
                <w:color w:val="auto"/>
              </w:rPr>
            </w:pPr>
            <w:r>
              <w:rPr>
                <w:rFonts w:ascii="Arial" w:cs="Arial" w:eastAsia="Arial" w:hAnsi="Arial"/>
                <w:sz w:val="18"/>
                <w:szCs w:val="18"/>
                <w:color w:val="auto"/>
                <w:w w:val="88"/>
              </w:rPr>
              <w:t>— </w:t>
            </w:r>
          </w:p>
        </w:tc>
        <w:tc>
          <w:tcPr>
            <w:tcW w:w="5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w w:val="98"/>
              </w:rPr>
              <w:t>168,534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w w:val="96"/>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168,534</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168,534</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Financial (Derivative) Liabilities:</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8,381</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— </w:t>
            </w:r>
          </w:p>
        </w:tc>
        <w:tc>
          <w:tcPr>
            <w:tcW w:w="220" w:type="dxa"/>
            <w:vAlign w:val="bottom"/>
          </w:tcPr>
          <w:p>
            <w:pPr>
              <w:spacing w:after="0"/>
              <w:rPr>
                <w:sz w:val="17"/>
                <w:szCs w:val="17"/>
                <w:color w:val="auto"/>
              </w:rPr>
            </w:pPr>
          </w:p>
        </w:tc>
        <w:tc>
          <w:tcPr>
            <w:tcW w:w="130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8,414</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active markets for</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identical assets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54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760" w:type="dxa"/>
            <w:vAlign w:val="bottom"/>
          </w:tcPr>
          <w:p>
            <w:pPr>
              <w:jc w:val="center"/>
              <w:ind w:left="59"/>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3"/>
        </w:trPr>
        <w:tc>
          <w:tcPr>
            <w:tcW w:w="3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237,444</w:t>
            </w: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237,444</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ind w:left="80"/>
              <w:spacing w:after="0" w:line="202" w:lineRule="exact"/>
              <w:rPr>
                <w:sz w:val="20"/>
                <w:szCs w:val="20"/>
                <w:color w:val="auto"/>
              </w:rPr>
            </w:pPr>
            <w:r>
              <w:rPr>
                <w:rFonts w:ascii="Arial" w:cs="Arial" w:eastAsia="Arial" w:hAnsi="Arial"/>
                <w:sz w:val="18"/>
                <w:szCs w:val="18"/>
                <w:color w:val="auto"/>
              </w:rPr>
              <w:t xml:space="preserve">          </w:t>
            </w:r>
          </w:p>
        </w:tc>
        <w:tc>
          <w:tcPr>
            <w:tcW w:w="300" w:type="dxa"/>
            <w:vAlign w:val="bottom"/>
          </w:tcPr>
          <w:p>
            <w:pPr>
              <w:ind w:left="40"/>
              <w:spacing w:after="0" w:line="202" w:lineRule="exact"/>
              <w:rPr>
                <w:sz w:val="20"/>
                <w:szCs w:val="20"/>
                <w:color w:val="auto"/>
              </w:rPr>
            </w:pPr>
            <w:r>
              <w:rPr>
                <w:rFonts w:ascii="Arial" w:cs="Arial" w:eastAsia="Arial" w:hAnsi="Arial"/>
                <w:sz w:val="18"/>
                <w:szCs w:val="18"/>
                <w:color w:val="auto"/>
                <w:w w:val="88"/>
              </w:rPr>
              <w:t>— </w:t>
            </w:r>
          </w:p>
        </w:tc>
        <w:tc>
          <w:tcPr>
            <w:tcW w:w="660" w:type="dxa"/>
            <w:vAlign w:val="bottom"/>
            <w:gridSpan w:val="2"/>
          </w:tcPr>
          <w:p>
            <w:pPr>
              <w:ind w:left="5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237,444</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237,444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8"/>
              </w:rPr>
              <w:t>— </w:t>
            </w:r>
          </w:p>
        </w:tc>
        <w:tc>
          <w:tcPr>
            <w:tcW w:w="6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Financial (Derivative) Liabilities: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8,084</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8"/>
              </w:rPr>
              <w:t>— </w:t>
            </w:r>
          </w:p>
        </w:tc>
        <w:tc>
          <w:tcPr>
            <w:tcW w:w="6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ind w:left="40"/>
              <w:spacing w:after="0" w:line="202" w:lineRule="exact"/>
              <w:rPr>
                <w:sz w:val="20"/>
                <w:szCs w:val="20"/>
                <w:color w:val="auto"/>
              </w:rPr>
            </w:pPr>
            <w:r>
              <w:rPr>
                <w:rFonts w:ascii="Arial" w:cs="Arial" w:eastAsia="Arial" w:hAnsi="Arial"/>
                <w:sz w:val="18"/>
                <w:szCs w:val="18"/>
                <w:color w:val="auto"/>
                <w:w w:val="88"/>
              </w:rPr>
              <w:t>— </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8,202</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8"/>
              </w:rPr>
              <w:t>— </w:t>
            </w:r>
          </w:p>
        </w:tc>
        <w:tc>
          <w:tcPr>
            <w:tcW w:w="6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F-21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in valuation techniques or transfers between Levels 1, 2 or 3 for the periods presented.</w:t>
      </w:r>
    </w:p>
    <w:p>
      <w:pPr>
        <w:spacing w:after="0" w:line="212"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Marketable securities classified as Level 2 within the valuation hierarchy generally consist of U.S. treasury bills and treasury notes. The Company estimates the fair values of marketable securities by taking into consideration valuations obtained from third-party pricing sources.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Contingent Consideration</w:t>
      </w:r>
    </w:p>
    <w:p>
      <w:pPr>
        <w:spacing w:after="0" w:line="10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The contingent consideration in the below tables relates to the estimated fair value of future payments that may be made by the Company to the shareholders of IFM Discovery, LLC (“IFM”) and Rahko as described below. The fair value of the contingent consideration was determined based on significant inputs not observable in the market, which represent Level 3 measurements.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IFM (see Note 13)</w:t>
      </w:r>
    </w:p>
    <w:p>
      <w:pPr>
        <w:spacing w:after="0" w:line="102" w:lineRule="exact"/>
        <w:rPr>
          <w:sz w:val="20"/>
          <w:szCs w:val="20"/>
          <w:color w:val="auto"/>
        </w:rPr>
      </w:pPr>
    </w:p>
    <w:p>
      <w:pPr>
        <w:ind w:left="120" w:right="80" w:firstLine="551"/>
        <w:spacing w:after="0" w:line="257" w:lineRule="auto"/>
        <w:rPr>
          <w:sz w:val="20"/>
          <w:szCs w:val="20"/>
          <w:color w:val="auto"/>
        </w:rPr>
      </w:pPr>
      <w:r>
        <w:rPr>
          <w:rFonts w:ascii="Arial" w:cs="Arial" w:eastAsia="Arial" w:hAnsi="Arial"/>
          <w:sz w:val="17"/>
          <w:szCs w:val="17"/>
          <w:color w:val="auto"/>
        </w:rPr>
        <w:t>The fair value of the contingent consideration related to regulatory and development milestones was based on the discounted cash flow valuation technique. The technique considered the following assumptions: (i) the probability and timing of achieving the specified milestones as of the valuation date and (ii) the market-based discount rates, with the most significant assumptions being the timing of the projected milestones and the probability of the milestones being met. The fair value of the contingent consideration could change in future periods depending on the prospects for the Company’s melanoma differentiation-associated protein 5 (“MDA5”) and NLRP1 drug discovery programs acquired as part of the IFM transaction achieving regulatory and development milestones. The estimated contingent consideration as of December 31, 2023 and 2022, related to the IFM acquisition, was $1.4 million and $1.1 million,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significant inputs to the discounted cash flow technique used to value contingent consideration for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IFM as of December 31, 2023 and 2022:</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Significant Unobservable Inputs</w:t>
            </w:r>
          </w:p>
        </w:tc>
        <w:tc>
          <w:tcPr>
            <w:tcW w:w="3000" w:type="dxa"/>
            <w:vAlign w:val="bottom"/>
            <w:gridSpan w:val="4"/>
          </w:tcPr>
          <w:p>
            <w:pPr>
              <w:ind w:left="10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020" w:type="dxa"/>
            <w:vAlign w:val="bottom"/>
            <w:tcBorders>
              <w:bottom w:val="single" w:sz="8" w:color="CCEEFF"/>
            </w:tcBorders>
            <w:vMerge w:val="continue"/>
          </w:tcPr>
          <w:p>
            <w:pPr>
              <w:spacing w:after="0"/>
              <w:rPr>
                <w:sz w:val="13"/>
                <w:szCs w:val="13"/>
                <w:color w:val="auto"/>
              </w:rPr>
            </w:pPr>
          </w:p>
        </w:tc>
        <w:tc>
          <w:tcPr>
            <w:tcW w:w="138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Projected milestone timing</w:t>
            </w:r>
          </w:p>
        </w:tc>
        <w:tc>
          <w:tcPr>
            <w:tcW w:w="15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3 to 13 Years</w:t>
            </w:r>
          </w:p>
        </w:tc>
        <w:tc>
          <w:tcPr>
            <w:tcW w:w="1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4 to 14 Years</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Probability of milestone achievement - NLRP1 program</w:t>
            </w:r>
          </w:p>
        </w:tc>
        <w:tc>
          <w:tcPr>
            <w:tcW w:w="1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 - 35.0%</w:t>
            </w: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 - 24.0%</w:t>
            </w:r>
          </w:p>
        </w:tc>
        <w:tc>
          <w:tcPr>
            <w:tcW w:w="0" w:type="dxa"/>
            <w:vAlign w:val="bottom"/>
          </w:tcPr>
          <w:p>
            <w:pPr>
              <w:spacing w:after="0"/>
              <w:rPr>
                <w:sz w:val="1"/>
                <w:szCs w:val="1"/>
                <w:color w:val="auto"/>
              </w:rPr>
            </w:pPr>
          </w:p>
        </w:tc>
      </w:tr>
      <w:tr>
        <w:trPr>
          <w:trHeight w:val="239"/>
        </w:trPr>
        <w:tc>
          <w:tcPr>
            <w:tcW w:w="8020" w:type="dxa"/>
            <w:vAlign w:val="bottom"/>
          </w:tcPr>
          <w:p>
            <w:pPr>
              <w:spacing w:after="0"/>
              <w:rPr>
                <w:sz w:val="20"/>
                <w:szCs w:val="20"/>
                <w:color w:val="auto"/>
              </w:rPr>
            </w:pPr>
            <w:r>
              <w:rPr>
                <w:rFonts w:ascii="Arial" w:cs="Arial" w:eastAsia="Arial" w:hAnsi="Arial"/>
                <w:sz w:val="18"/>
                <w:szCs w:val="18"/>
                <w:color w:val="auto"/>
              </w:rPr>
              <w:t>Probability of milestone achievement - MDA5 program</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5.0% - 35.0%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5.0% - 35.0%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560" w:firstLine="551"/>
        <w:spacing w:after="0" w:line="271" w:lineRule="auto"/>
        <w:rPr>
          <w:sz w:val="20"/>
          <w:szCs w:val="20"/>
          <w:color w:val="auto"/>
        </w:rPr>
      </w:pPr>
      <w:r>
        <w:rPr>
          <w:rFonts w:ascii="Arial" w:cs="Arial" w:eastAsia="Arial" w:hAnsi="Arial"/>
          <w:sz w:val="18"/>
          <w:szCs w:val="18"/>
          <w:color w:val="auto"/>
        </w:rPr>
        <w:t>Significant increases or decreases in these inputs could result in a significantly lower or higher fair value measurement of the contingent consideration liability.</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Rahko</w:t>
      </w:r>
    </w:p>
    <w:p>
      <w:pPr>
        <w:spacing w:after="0" w:line="10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Rahko acquisition included additional consideration payable of up to $30.0 million to the previous shareholders of Rahko upon the achievement of certain qualifying events, including (a) following the Company’s completion of an initial public offering (“IPO”) or public listing of the Company’s shares on certain designated exchanges, upon the first occurrence of the total market capitalization of the Company being equal to or in excess of $1.5 billion, or (b) an exit event such as (i) a transaction or transactions by which more than 50% of the combined voting power of then outstanding voting securities of the Company are acquired, (ii) consolidation or merger of the Company into another entity, or (iii) sale or disposition of substantially all of the assets of the Company, in each case for which the potential proceeds are equal to or in excess of $1.5 billion. The fair value of the contingent consideration was determined based on a Monte-Carlo simulation model that utilizes a geometric Brownian motion to estimate the equity value of the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Company at expected qualifying event dates. The Company applied risk-free rate, volatility and discount rate to simulate the expected equity value of the Company as of the expected qualifying event dates. The risk-free rate was based upon the interest rates corresponding to the time period for U.S. Treasury notes published by the U.S. Federal Reserve. The volatility was estimated based on equity volatility indications from the guideline public companies and the capital structure of the Company.</w:t>
      </w:r>
    </w:p>
    <w:p>
      <w:pPr>
        <w:spacing w:after="0" w:line="174" w:lineRule="exact"/>
        <w:rPr>
          <w:sz w:val="20"/>
          <w:szCs w:val="20"/>
          <w:color w:val="auto"/>
        </w:rPr>
      </w:pPr>
    </w:p>
    <w:p>
      <w:pPr>
        <w:ind w:left="120" w:right="460" w:firstLine="551"/>
        <w:spacing w:after="0" w:line="244" w:lineRule="auto"/>
        <w:rPr>
          <w:sz w:val="20"/>
          <w:szCs w:val="20"/>
          <w:color w:val="auto"/>
        </w:rPr>
      </w:pPr>
      <w:r>
        <w:rPr>
          <w:rFonts w:ascii="Arial" w:cs="Arial" w:eastAsia="Arial" w:hAnsi="Arial"/>
          <w:sz w:val="18"/>
          <w:szCs w:val="18"/>
          <w:color w:val="auto"/>
        </w:rPr>
        <w:t>The contingent consideration as of the date when the Company has met the certain market capitalization threshold following a certain qualifying event was discounted to the measurement date using a discount rate that is based on the risk-free rate and the Company’s credit spread. The discounted amount of contingent consideration and the equity values are subject to the Monte-Carlo simulations for 100,000 trials to derive the fair value of the contingent consideration. The estimated contingent consideration as of December 31, 2023 and 2022, related to the Rahko acquisition was $6.9 million.</w:t>
      </w:r>
    </w:p>
    <w:p>
      <w:pPr>
        <w:spacing w:after="0" w:line="176" w:lineRule="exact"/>
        <w:rPr>
          <w:sz w:val="20"/>
          <w:szCs w:val="20"/>
          <w:color w:val="auto"/>
        </w:rPr>
      </w:pPr>
    </w:p>
    <w:p>
      <w:pPr>
        <w:ind w:left="120" w:right="460" w:firstLine="551"/>
        <w:spacing w:after="0" w:line="253" w:lineRule="auto"/>
        <w:rPr>
          <w:sz w:val="20"/>
          <w:szCs w:val="20"/>
          <w:color w:val="auto"/>
        </w:rPr>
      </w:pPr>
      <w:r>
        <w:rPr>
          <w:rFonts w:ascii="Arial" w:cs="Arial" w:eastAsia="Arial" w:hAnsi="Arial"/>
          <w:sz w:val="18"/>
          <w:szCs w:val="18"/>
          <w:color w:val="auto"/>
        </w:rPr>
        <w:t>The following table sets forth the probability of completing an IPO (measured as a standalone metric separate from the other necessary triggers for the contingent consideration related to the Rahko acquisition), which was a significant input to the Monte-Carlo simulation used to value such contingent consideration:</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As of December 31, 2023</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6"/>
        </w:trPr>
        <w:tc>
          <w:tcPr>
            <w:tcW w:w="12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2"/>
          </w:tcPr>
          <w:p>
            <w:pPr>
              <w:jc w:val="center"/>
              <w:ind w:right="820"/>
              <w:spacing w:after="0" w:line="147" w:lineRule="exact"/>
              <w:rPr>
                <w:sz w:val="20"/>
                <w:szCs w:val="20"/>
                <w:color w:val="auto"/>
              </w:rPr>
            </w:pPr>
            <w:r>
              <w:rPr>
                <w:rFonts w:ascii="Arial" w:cs="Arial" w:eastAsia="Arial" w:hAnsi="Arial"/>
                <w:sz w:val="14"/>
                <w:szCs w:val="14"/>
                <w:b w:val="1"/>
                <w:bCs w:val="1"/>
                <w:color w:val="auto"/>
              </w:rPr>
              <w:t>Risk Free Rate</w:t>
            </w: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Expected IPO Date</w:t>
            </w:r>
          </w:p>
        </w:tc>
        <w:tc>
          <w:tcPr>
            <w:tcW w:w="2300" w:type="dxa"/>
            <w:vAlign w:val="bottom"/>
            <w:vMerge w:val="restart"/>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Applied to Equity</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46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rPr>
              <w:t>Probability of IPO Event</w:t>
            </w:r>
          </w:p>
        </w:tc>
        <w:tc>
          <w:tcPr>
            <w:tcW w:w="188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rPr>
              <w:t>Discount Rates</w:t>
            </w:r>
          </w:p>
        </w:tc>
        <w:tc>
          <w:tcPr>
            <w:tcW w:w="202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rPr>
              <w:t>Value</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Equity Volatility</w:t>
            </w:r>
          </w:p>
        </w:tc>
        <w:tc>
          <w:tcPr>
            <w:tcW w:w="0" w:type="dxa"/>
            <w:vAlign w:val="bottom"/>
          </w:tcPr>
          <w:p>
            <w:pPr>
              <w:spacing w:after="0"/>
              <w:rPr>
                <w:sz w:val="1"/>
                <w:szCs w:val="1"/>
                <w:color w:val="auto"/>
              </w:rPr>
            </w:pPr>
          </w:p>
        </w:tc>
      </w:tr>
      <w:tr>
        <w:trPr>
          <w:trHeight w:val="189"/>
        </w:trPr>
        <w:tc>
          <w:tcPr>
            <w:tcW w:w="3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September 30, 2024</w:t>
            </w:r>
          </w:p>
        </w:tc>
        <w:tc>
          <w:tcPr>
            <w:tcW w:w="1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25%</w:t>
            </w:r>
          </w:p>
        </w:tc>
        <w:tc>
          <w:tcPr>
            <w:tcW w:w="8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13.0%</w:t>
            </w:r>
          </w:p>
        </w:tc>
        <w:tc>
          <w:tcPr>
            <w:tcW w:w="8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5.0%</w:t>
            </w: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239"/>
        </w:trPr>
        <w:tc>
          <w:tcPr>
            <w:tcW w:w="3580" w:type="dxa"/>
            <w:vAlign w:val="bottom"/>
            <w:gridSpan w:val="2"/>
          </w:tcPr>
          <w:p>
            <w:pPr>
              <w:spacing w:after="0"/>
              <w:rPr>
                <w:sz w:val="20"/>
                <w:szCs w:val="20"/>
                <w:color w:val="auto"/>
              </w:rPr>
            </w:pPr>
            <w:r>
              <w:rPr>
                <w:rFonts w:ascii="Arial" w:cs="Arial" w:eastAsia="Arial" w:hAnsi="Arial"/>
                <w:sz w:val="18"/>
                <w:szCs w:val="18"/>
                <w:color w:val="auto"/>
              </w:rPr>
              <w:t>June 30, 2025</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8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13.0%</w:t>
            </w:r>
          </w:p>
        </w:tc>
        <w:tc>
          <w:tcPr>
            <w:tcW w:w="8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382"/>
        </w:trPr>
        <w:tc>
          <w:tcPr>
            <w:tcW w:w="1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4"/>
          </w:tcPr>
          <w:p>
            <w:pPr>
              <w:ind w:left="1080"/>
              <w:spacing w:after="0"/>
              <w:rPr>
                <w:sz w:val="20"/>
                <w:szCs w:val="20"/>
                <w:color w:val="auto"/>
              </w:rPr>
            </w:pPr>
            <w:r>
              <w:rPr>
                <w:rFonts w:ascii="Arial" w:cs="Arial" w:eastAsia="Arial" w:hAnsi="Arial"/>
                <w:sz w:val="14"/>
                <w:szCs w:val="14"/>
                <w:b w:val="1"/>
                <w:bCs w:val="1"/>
                <w:color w:val="auto"/>
              </w:rPr>
              <w:t>As of December 31, 2022</w:t>
            </w: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gridSpan w:val="2"/>
          </w:tcPr>
          <w:p>
            <w:pPr>
              <w:jc w:val="center"/>
              <w:ind w:right="820"/>
              <w:spacing w:after="0" w:line="147" w:lineRule="exact"/>
              <w:rPr>
                <w:sz w:val="20"/>
                <w:szCs w:val="20"/>
                <w:color w:val="auto"/>
              </w:rPr>
            </w:pPr>
            <w:r>
              <w:rPr>
                <w:rFonts w:ascii="Arial" w:cs="Arial" w:eastAsia="Arial" w:hAnsi="Arial"/>
                <w:sz w:val="14"/>
                <w:szCs w:val="14"/>
                <w:b w:val="1"/>
                <w:bCs w:val="1"/>
                <w:color w:val="auto"/>
              </w:rPr>
              <w:t>Risk Free Rate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Expected IPO Date</w:t>
            </w:r>
          </w:p>
        </w:tc>
        <w:tc>
          <w:tcPr>
            <w:tcW w:w="2300" w:type="dxa"/>
            <w:vAlign w:val="bottom"/>
            <w:vMerge w:val="restart"/>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Applied to Equity</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46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rPr>
              <w:t>Probability of IPO Event</w:t>
            </w:r>
          </w:p>
        </w:tc>
        <w:tc>
          <w:tcPr>
            <w:tcW w:w="188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rPr>
              <w:t>Discount Rates</w:t>
            </w:r>
          </w:p>
        </w:tc>
        <w:tc>
          <w:tcPr>
            <w:tcW w:w="202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rPr>
              <w:t>Value</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Equity Volatility</w:t>
            </w:r>
          </w:p>
        </w:tc>
        <w:tc>
          <w:tcPr>
            <w:tcW w:w="0" w:type="dxa"/>
            <w:vAlign w:val="bottom"/>
          </w:tcPr>
          <w:p>
            <w:pPr>
              <w:spacing w:after="0"/>
              <w:rPr>
                <w:sz w:val="1"/>
                <w:szCs w:val="1"/>
                <w:color w:val="auto"/>
              </w:rPr>
            </w:pPr>
          </w:p>
        </w:tc>
      </w:tr>
      <w:tr>
        <w:trPr>
          <w:trHeight w:val="189"/>
        </w:trPr>
        <w:tc>
          <w:tcPr>
            <w:tcW w:w="3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September 30, 2024</w:t>
            </w:r>
          </w:p>
        </w:tc>
        <w:tc>
          <w:tcPr>
            <w:tcW w:w="1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25%</w:t>
            </w:r>
          </w:p>
        </w:tc>
        <w:tc>
          <w:tcPr>
            <w:tcW w:w="8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12.1%</w:t>
            </w:r>
          </w:p>
        </w:tc>
        <w:tc>
          <w:tcPr>
            <w:tcW w:w="8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4.4%</w:t>
            </w: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39"/>
        </w:trPr>
        <w:tc>
          <w:tcPr>
            <w:tcW w:w="3580" w:type="dxa"/>
            <w:vAlign w:val="bottom"/>
            <w:gridSpan w:val="2"/>
          </w:tcPr>
          <w:p>
            <w:pPr>
              <w:spacing w:after="0"/>
              <w:rPr>
                <w:sz w:val="20"/>
                <w:szCs w:val="20"/>
                <w:color w:val="auto"/>
              </w:rPr>
            </w:pPr>
            <w:r>
              <w:rPr>
                <w:rFonts w:ascii="Arial" w:cs="Arial" w:eastAsia="Arial" w:hAnsi="Arial"/>
                <w:sz w:val="18"/>
                <w:szCs w:val="18"/>
                <w:color w:val="auto"/>
              </w:rPr>
              <w:t>June 30, 2025</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8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12.1%</w:t>
            </w:r>
          </w:p>
        </w:tc>
        <w:tc>
          <w:tcPr>
            <w:tcW w:w="8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560" w:firstLine="551"/>
        <w:spacing w:after="0" w:line="271" w:lineRule="auto"/>
        <w:rPr>
          <w:sz w:val="20"/>
          <w:szCs w:val="20"/>
          <w:color w:val="auto"/>
        </w:rPr>
      </w:pPr>
      <w:r>
        <w:rPr>
          <w:rFonts w:ascii="Arial" w:cs="Arial" w:eastAsia="Arial" w:hAnsi="Arial"/>
          <w:sz w:val="18"/>
          <w:szCs w:val="18"/>
          <w:color w:val="auto"/>
        </w:rPr>
        <w:t>Significant increases or decreases in these inputs could result in a significantly lower or higher fair value measurement of the contingent consideration liability.</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LSA Warrant Liability</w:t>
      </w:r>
    </w:p>
    <w:p>
      <w:pPr>
        <w:spacing w:after="0" w:line="10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 xml:space="preserve">In March 2022, the Company issued a warrant to purchase up to 64,992 shares of Series A-2 convertible preferred stock, subject to vesting (the </w:t>
      </w:r>
      <w:r>
        <w:rPr>
          <w:rFonts w:ascii="Arial" w:cs="Arial" w:eastAsia="Arial" w:hAnsi="Arial"/>
          <w:sz w:val="18"/>
          <w:szCs w:val="18"/>
          <w:b w:val="1"/>
          <w:bCs w:val="1"/>
          <w:color w:val="auto"/>
        </w:rPr>
        <w:t>“</w:t>
      </w:r>
      <w:r>
        <w:rPr>
          <w:rFonts w:ascii="Arial" w:cs="Arial" w:eastAsia="Arial" w:hAnsi="Arial"/>
          <w:sz w:val="18"/>
          <w:szCs w:val="18"/>
          <w:color w:val="auto"/>
        </w:rPr>
        <w:t>LSA Warrants</w:t>
      </w:r>
      <w:r>
        <w:rPr>
          <w:rFonts w:ascii="Arial" w:cs="Arial" w:eastAsia="Arial" w:hAnsi="Arial"/>
          <w:sz w:val="18"/>
          <w:szCs w:val="18"/>
          <w:b w:val="1"/>
          <w:bCs w:val="1"/>
          <w:color w:val="auto"/>
        </w:rPr>
        <w:t>”</w:t>
      </w:r>
      <w:r>
        <w:rPr>
          <w:rFonts w:ascii="Arial" w:cs="Arial" w:eastAsia="Arial" w:hAnsi="Arial"/>
          <w:sz w:val="18"/>
          <w:szCs w:val="18"/>
          <w:color w:val="auto"/>
        </w:rPr>
        <w:t>) (see Note 10 for additional details of the transaction pursuant to which such LSA Warrant was issued). The LSA Warrant has an exercise price of $6.15 and will expire ten years from the date of issuance. As of December 31, 2023, the LSA Warrant, representing the right to purchase 16,248 shares of Series A-2 convertible preferred stock, was issued and outstanding. The right to purchase the remaining 48,744 shares was forfeited upon termination of the LSA.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 of the LSA Warrant liability was determined using an option pricing model with the following assumptions: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Significant Unobservable Inputs</w:t>
            </w:r>
          </w:p>
        </w:tc>
        <w:tc>
          <w:tcPr>
            <w:tcW w:w="5000" w:type="dxa"/>
            <w:vAlign w:val="bottom"/>
          </w:tcPr>
          <w:p>
            <w:pPr>
              <w:spacing w:after="0"/>
              <w:rPr>
                <w:sz w:val="14"/>
                <w:szCs w:val="14"/>
                <w:color w:val="auto"/>
              </w:rPr>
            </w:pPr>
          </w:p>
        </w:tc>
        <w:tc>
          <w:tcPr>
            <w:tcW w:w="15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80" w:type="dxa"/>
            <w:vAlign w:val="bottom"/>
            <w:tcBorders>
              <w:bottom w:val="single" w:sz="8" w:color="CCEEFF"/>
            </w:tcBorders>
            <w:vMerge w:val="continue"/>
          </w:tcPr>
          <w:p>
            <w:pPr>
              <w:spacing w:after="0"/>
              <w:rPr>
                <w:sz w:val="13"/>
                <w:szCs w:val="13"/>
                <w:color w:val="auto"/>
              </w:rPr>
            </w:pPr>
          </w:p>
        </w:tc>
        <w:tc>
          <w:tcPr>
            <w:tcW w:w="50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2023</w:t>
            </w:r>
          </w:p>
        </w:tc>
        <w:tc>
          <w:tcPr>
            <w:tcW w:w="6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until a liquidity event (in years)</w:t>
            </w:r>
          </w:p>
        </w:tc>
        <w:tc>
          <w:tcPr>
            <w:tcW w:w="50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59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80%</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9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5.1%</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r>
              <w:rPr>
                <w:rFonts w:ascii="Arial" w:cs="Arial" w:eastAsia="Arial" w:hAnsi="Arial"/>
                <w:sz w:val="18"/>
                <w:szCs w:val="18"/>
                <w:color w:val="auto"/>
              </w:rPr>
              <w:t>Annual dividend rate</w:t>
            </w:r>
          </w:p>
        </w:tc>
        <w:tc>
          <w:tcPr>
            <w:tcW w:w="596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4480" w:type="dxa"/>
            <w:vAlign w:val="bottom"/>
          </w:tcPr>
          <w:p>
            <w:pPr>
              <w:spacing w:after="0"/>
              <w:rPr>
                <w:sz w:val="24"/>
                <w:szCs w:val="24"/>
                <w:color w:val="auto"/>
              </w:rPr>
            </w:pPr>
          </w:p>
        </w:tc>
        <w:tc>
          <w:tcPr>
            <w:tcW w:w="5960" w:type="dxa"/>
            <w:vAlign w:val="bottom"/>
            <w:gridSpan w:val="3"/>
          </w:tcPr>
          <w:p>
            <w:pPr>
              <w:jc w:val="right"/>
              <w:ind w:right="4760"/>
              <w:spacing w:after="0"/>
              <w:rPr>
                <w:sz w:val="20"/>
                <w:szCs w:val="20"/>
                <w:color w:val="auto"/>
              </w:rPr>
            </w:pPr>
            <w:r>
              <w:rPr>
                <w:rFonts w:ascii="Arial" w:cs="Arial" w:eastAsia="Arial" w:hAnsi="Arial"/>
                <w:sz w:val="18"/>
                <w:szCs w:val="18"/>
                <w:color w:val="auto"/>
              </w:rPr>
              <w:t>F-23</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The following table presents a roll-forward of the aggregate fair values of the Company’s liabilities for which fair value is determined by Level 3 inputs: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Contingent</w:t>
            </w:r>
          </w:p>
        </w:tc>
      </w:tr>
      <w:tr>
        <w:trPr>
          <w:trHeight w:val="171"/>
        </w:trPr>
        <w:tc>
          <w:tcPr>
            <w:tcW w:w="7800" w:type="dxa"/>
            <w:vAlign w:val="bottom"/>
          </w:tcPr>
          <w:p>
            <w:pPr>
              <w:spacing w:after="0"/>
              <w:rPr>
                <w:sz w:val="14"/>
                <w:szCs w:val="14"/>
                <w:color w:val="auto"/>
              </w:rPr>
            </w:pPr>
          </w:p>
        </w:tc>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Warrant Liability</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Consideration</w:t>
            </w: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 2022</w:t>
            </w: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10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IFM contingent consideration as of acquisition date</w:t>
            </w:r>
          </w:p>
        </w:tc>
        <w:tc>
          <w:tcPr>
            <w:tcW w:w="400" w:type="dxa"/>
            <w:vAlign w:val="bottom"/>
          </w:tcPr>
          <w:p>
            <w:pPr>
              <w:spacing w:after="0"/>
              <w:rPr>
                <w:sz w:val="17"/>
                <w:szCs w:val="17"/>
                <w:color w:val="auto"/>
              </w:rPr>
            </w:pPr>
          </w:p>
        </w:tc>
        <w:tc>
          <w:tcPr>
            <w:tcW w:w="178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1,091</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LSA Warrant</w:t>
            </w: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118</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— </w:t>
            </w:r>
          </w:p>
        </w:tc>
      </w:tr>
      <w:tr>
        <w:trPr>
          <w:trHeight w:val="209"/>
        </w:trPr>
        <w:tc>
          <w:tcPr>
            <w:tcW w:w="780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5,128</w:t>
            </w:r>
          </w:p>
        </w:tc>
        <w:tc>
          <w:tcPr>
            <w:tcW w:w="6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2022</w:t>
            </w:r>
          </w:p>
        </w:tc>
        <w:tc>
          <w:tcPr>
            <w:tcW w:w="4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   118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8,084</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Forfeiture of portion of LSA Warrant</w:t>
            </w:r>
          </w:p>
        </w:tc>
        <w:tc>
          <w:tcPr>
            <w:tcW w:w="400" w:type="dxa"/>
            <w:vAlign w:val="bottom"/>
          </w:tcPr>
          <w:p>
            <w:pPr>
              <w:spacing w:after="0"/>
              <w:rPr>
                <w:sz w:val="17"/>
                <w:szCs w:val="17"/>
                <w:color w:val="auto"/>
              </w:rPr>
            </w:pPr>
          </w:p>
        </w:tc>
        <w:tc>
          <w:tcPr>
            <w:tcW w:w="1780" w:type="dxa"/>
            <w:vAlign w:val="bottom"/>
            <w:gridSpan w:val="3"/>
          </w:tcPr>
          <w:p>
            <w:pPr>
              <w:jc w:val="right"/>
              <w:ind w:right="980"/>
              <w:spacing w:after="0" w:line="202"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9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— </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w:t>
            </w:r>
          </w:p>
        </w:tc>
      </w:tr>
      <w:tr>
        <w:trPr>
          <w:trHeight w:val="210"/>
        </w:trPr>
        <w:tc>
          <w:tcPr>
            <w:tcW w:w="7800" w:type="dxa"/>
            <w:vAlign w:val="bottom"/>
          </w:tcPr>
          <w:p>
            <w:pPr>
              <w:spacing w:after="0"/>
              <w:rPr>
                <w:sz w:val="20"/>
                <w:szCs w:val="20"/>
                <w:color w:val="auto"/>
              </w:rPr>
            </w:pPr>
            <w:r>
              <w:rPr>
                <w:rFonts w:ascii="Arial" w:cs="Arial" w:eastAsia="Arial" w:hAnsi="Arial"/>
                <w:sz w:val="18"/>
                <w:szCs w:val="18"/>
                <w:b w:val="1"/>
                <w:bCs w:val="1"/>
                <w:color w:val="auto"/>
              </w:rPr>
              <w:t>Balance as of December 31, 2023</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6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The Company’s other financial instruments not carried at fair value consist primarily of cash and cash equivalents (except investments in money market funds, as disclosed above), accounts payable and accrued expenses, for which fair values approximate their carrying amounts, due to the short-term nature of these instruments.</w:t>
      </w:r>
    </w:p>
    <w:p>
      <w:pPr>
        <w:spacing w:after="0" w:line="317" w:lineRule="exact"/>
        <w:rPr>
          <w:sz w:val="20"/>
          <w:szCs w:val="20"/>
          <w:color w:val="auto"/>
        </w:rPr>
      </w:pPr>
    </w:p>
    <w:p>
      <w:pPr>
        <w:ind w:left="660" w:hanging="544"/>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Restricted Cash, and Marketable Securities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cash and cash equivalents, and restricted cash:</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30"/>
              <w:spacing w:after="0" w:line="155" w:lineRule="exact"/>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6"/>
        </w:trPr>
        <w:tc>
          <w:tcPr>
            <w:tcW w:w="5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4"/>
          </w:tcPr>
          <w:p>
            <w:pPr>
              <w:jc w:val="right"/>
              <w:ind w:right="140"/>
              <w:spacing w:after="0" w:line="147" w:lineRule="exact"/>
              <w:rPr>
                <w:sz w:val="20"/>
                <w:szCs w:val="20"/>
                <w:color w:val="auto"/>
              </w:rPr>
            </w:pPr>
            <w:r>
              <w:rPr>
                <w:rFonts w:ascii="Arial" w:cs="Arial" w:eastAsia="Arial" w:hAnsi="Arial"/>
                <w:sz w:val="14"/>
                <w:szCs w:val="14"/>
                <w:b w:val="1"/>
                <w:bCs w:val="1"/>
                <w:color w:val="auto"/>
              </w:rPr>
              <w:t>Beginning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59"/>
              <w:spacing w:after="0" w:line="147" w:lineRule="exact"/>
              <w:rPr>
                <w:sz w:val="20"/>
                <w:szCs w:val="20"/>
                <w:color w:val="auto"/>
              </w:rPr>
            </w:pPr>
            <w:r>
              <w:rPr>
                <w:rFonts w:ascii="Arial" w:cs="Arial" w:eastAsia="Arial" w:hAnsi="Arial"/>
                <w:sz w:val="14"/>
                <w:szCs w:val="14"/>
                <w:b w:val="1"/>
                <w:bCs w:val="1"/>
                <w:color w:val="auto"/>
              </w:rPr>
              <w:t>End of</w:t>
            </w:r>
          </w:p>
        </w:tc>
        <w:tc>
          <w:tcPr>
            <w:tcW w:w="160" w:type="dxa"/>
            <w:vAlign w:val="bottom"/>
          </w:tcPr>
          <w:p>
            <w:pPr>
              <w:spacing w:after="0"/>
              <w:rPr>
                <w:sz w:val="12"/>
                <w:szCs w:val="12"/>
                <w:color w:val="auto"/>
              </w:rPr>
            </w:pPr>
          </w:p>
        </w:tc>
        <w:tc>
          <w:tcPr>
            <w:tcW w:w="112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Beginning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5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End of period</w:t>
            </w: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4"/>
              </w:rPr>
              <w:t> </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241,043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52,545</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171,346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241,043</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Restricted cash included in other non-current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3,459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628</w:t>
            </w:r>
          </w:p>
        </w:tc>
      </w:tr>
      <w:tr>
        <w:trPr>
          <w:trHeight w:val="184"/>
        </w:trPr>
        <w:tc>
          <w:tcPr>
            <w:tcW w:w="59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Total cash, cash equivalents and restricted cash per the consolidated</w:t>
            </w:r>
          </w:p>
        </w:tc>
        <w:tc>
          <w:tcPr>
            <w:tcW w:w="4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1"/>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 of cash flows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241,671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56,004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171,846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   241,671</w:t>
            </w:r>
          </w:p>
        </w:tc>
      </w:tr>
      <w:tr>
        <w:trPr>
          <w:trHeight w:val="20"/>
        </w:trPr>
        <w:tc>
          <w:tcPr>
            <w:tcW w:w="5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The following table summarizes the Company’s marketable securities held as of December 31, 2023. The Company did not hold marketable securities in 2022.</w:t>
      </w:r>
    </w:p>
    <w:p>
      <w:pPr>
        <w:spacing w:after="0" w:line="190"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 2023</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6"/>
        </w:trPr>
        <w:tc>
          <w:tcPr>
            <w:tcW w:w="6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Gross</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8"/>
              </w:rPr>
              <w:t>Gross</w:t>
            </w: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660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Unrealized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Losses</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0"/>
        </w:trPr>
        <w:tc>
          <w:tcPr>
            <w:tcW w:w="6600" w:type="dxa"/>
            <w:vAlign w:val="bottom"/>
          </w:tcPr>
          <w:p>
            <w:pPr>
              <w:ind w:left="360"/>
              <w:spacing w:after="0" w:line="202" w:lineRule="exact"/>
              <w:rPr>
                <w:sz w:val="20"/>
                <w:szCs w:val="20"/>
                <w:color w:val="auto"/>
              </w:rPr>
            </w:pPr>
            <w:r>
              <w:rPr>
                <w:rFonts w:ascii="Arial" w:cs="Arial" w:eastAsia="Arial" w:hAnsi="Arial"/>
                <w:sz w:val="18"/>
                <w:szCs w:val="18"/>
                <w:color w:val="auto"/>
              </w:rPr>
              <w:t>U.S. treasury bills and U.S. treasury notes</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163,249</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315</w:t>
            </w:r>
          </w:p>
        </w:tc>
        <w:tc>
          <w:tcPr>
            <w:tcW w:w="13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163,554</w:t>
            </w:r>
          </w:p>
        </w:tc>
      </w:tr>
      <w:tr>
        <w:trPr>
          <w:trHeight w:val="184"/>
        </w:trPr>
        <w:tc>
          <w:tcPr>
            <w:tcW w:w="66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r>
      <w:tr>
        <w:trPr>
          <w:trHeight w:val="221"/>
        </w:trPr>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163,249</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315</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$ 163,554</w:t>
            </w:r>
          </w:p>
        </w:tc>
      </w:tr>
      <w:tr>
        <w:trPr>
          <w:trHeight w:val="20"/>
        </w:trPr>
        <w:tc>
          <w:tcPr>
            <w:tcW w:w="6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firstLine="551"/>
        <w:spacing w:after="0" w:line="271" w:lineRule="auto"/>
        <w:rPr>
          <w:sz w:val="20"/>
          <w:szCs w:val="20"/>
          <w:color w:val="auto"/>
        </w:rPr>
      </w:pPr>
      <w:r>
        <w:rPr>
          <w:rFonts w:ascii="Arial" w:cs="Arial" w:eastAsia="Arial" w:hAnsi="Arial"/>
          <w:sz w:val="18"/>
          <w:szCs w:val="18"/>
          <w:color w:val="auto"/>
        </w:rPr>
        <w:t>As of December 31, 2023, marketable securities were in a net unrealized gain position of $0.3 million. These amounts are included in other comprehensive income (loss) on the consolidated statements of operations and comprehensive loss.</w:t>
      </w:r>
    </w:p>
    <w:p>
      <w:pPr>
        <w:spacing w:after="0" w:line="15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As of December 31, 2023, the aggregate fair value of marketable securities that were in an unrealized loss position for less than twelve months was $36.9 million. There were no securities in an unrealized loss position for more than twelve months as of December 31, 2023. Marketable securities totaling $29.1 million as of December 31, 2023 will mature beyond one year.</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The Company determined that there was no material credit risk associated with the above investments as of December 31, 2023. The Company has the intent and ability to hold such securities until recovery. As a result, the Company did not record any charges for credit-related impairments for its marketable securities for the year ended December 31, 2023. No available-for-sale debt securities held as of December 31, 2023 had remaining maturities greater than 15 months.</w:t>
      </w:r>
    </w:p>
    <w:p>
      <w:pPr>
        <w:spacing w:after="0" w:line="322" w:lineRule="exact"/>
        <w:rPr>
          <w:sz w:val="20"/>
          <w:szCs w:val="20"/>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and related accumulated depreciation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500" w:type="dxa"/>
            <w:vAlign w:val="bottom"/>
            <w:tcBorders>
              <w:bottom w:val="single" w:sz="8" w:color="CCEEFF"/>
            </w:tcBorders>
          </w:tcPr>
          <w:p>
            <w:pPr>
              <w:spacing w:after="0"/>
              <w:rPr>
                <w:sz w:val="13"/>
                <w:szCs w:val="13"/>
                <w:color w:val="auto"/>
              </w:rPr>
            </w:pPr>
          </w:p>
        </w:tc>
        <w:tc>
          <w:tcPr>
            <w:tcW w:w="28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3"/>
                <w:szCs w:val="13"/>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2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20,593</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17,857</w:t>
            </w:r>
          </w:p>
        </w:tc>
        <w:tc>
          <w:tcPr>
            <w:tcW w:w="140" w:type="dxa"/>
            <w:vAlign w:val="bottom"/>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655</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hardware and software</w:t>
            </w:r>
          </w:p>
        </w:tc>
        <w:tc>
          <w:tcPr>
            <w:tcW w:w="2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593</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Finance lease</w:t>
            </w: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537</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not yet placed in service</w:t>
            </w:r>
          </w:p>
        </w:tc>
        <w:tc>
          <w:tcPr>
            <w:tcW w:w="2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476</w:t>
            </w: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r>
      <w:tr>
        <w:trPr>
          <w:trHeight w:val="203"/>
        </w:trPr>
        <w:tc>
          <w:tcPr>
            <w:tcW w:w="55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22,835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20,324</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(2,449)</w:t>
            </w:r>
          </w:p>
        </w:tc>
      </w:tr>
      <w:tr>
        <w:trPr>
          <w:trHeight w:val="27"/>
        </w:trPr>
        <w:tc>
          <w:tcPr>
            <w:tcW w:w="5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ind w:left="2860"/>
              <w:spacing w:after="0" w:line="202" w:lineRule="exact"/>
              <w:rPr>
                <w:sz w:val="20"/>
                <w:szCs w:val="20"/>
                <w:color w:val="auto"/>
              </w:rPr>
            </w:pPr>
            <w:r>
              <w:rPr>
                <w:rFonts w:ascii="Arial" w:cs="Arial" w:eastAsia="Arial" w:hAnsi="Arial"/>
                <w:sz w:val="18"/>
                <w:szCs w:val="18"/>
                <w:color w:val="auto"/>
              </w:rPr>
              <w:t xml:space="preserve">$  </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3"/>
              </w:rPr>
              <w:t>   15,976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w w:val="76"/>
              </w:rPr>
              <w:t> </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   17,875</w:t>
            </w:r>
          </w:p>
        </w:tc>
      </w:tr>
      <w:tr>
        <w:trPr>
          <w:trHeight w:val="20"/>
        </w:trPr>
        <w:tc>
          <w:tcPr>
            <w:tcW w:w="5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depreciation expense for the years ended December 31, 2023 and 2022, was $4.4 million and $2.4 million, respectively.</w:t>
      </w:r>
    </w:p>
    <w:p>
      <w:pPr>
        <w:spacing w:after="0" w:line="360" w:lineRule="exact"/>
        <w:rPr>
          <w:sz w:val="20"/>
          <w:szCs w:val="20"/>
          <w:color w:val="auto"/>
        </w:rPr>
      </w:pPr>
    </w:p>
    <w:p>
      <w:pPr>
        <w:ind w:left="660" w:hanging="544"/>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4600" w:type="dxa"/>
            <w:vAlign w:val="bottom"/>
            <w:tcBorders>
              <w:bottom w:val="single" w:sz="8" w:color="CCEEFF"/>
            </w:tcBorders>
          </w:tcPr>
          <w:p>
            <w:pPr>
              <w:spacing w:after="0"/>
              <w:rPr>
                <w:sz w:val="13"/>
                <w:szCs w:val="13"/>
                <w:color w:val="auto"/>
              </w:rPr>
            </w:pPr>
          </w:p>
        </w:tc>
        <w:tc>
          <w:tcPr>
            <w:tcW w:w="37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3"/>
                <w:szCs w:val="13"/>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Employee compensation, benefits, and recruiting</w:t>
            </w: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7,474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6,453</w:t>
            </w:r>
          </w:p>
        </w:tc>
        <w:tc>
          <w:tcPr>
            <w:tcW w:w="80" w:type="dxa"/>
            <w:vAlign w:val="bottom"/>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External research and supplies</w:t>
            </w: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1,224</w:t>
            </w:r>
          </w:p>
        </w:tc>
        <w:tc>
          <w:tcPr>
            <w:tcW w:w="18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2,387</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1,220</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1,005</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406</w:t>
            </w:r>
          </w:p>
        </w:tc>
        <w:tc>
          <w:tcPr>
            <w:tcW w:w="18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payable</w:t>
            </w: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548</w:t>
            </w: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37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10,501</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11,393</w:t>
            </w:r>
          </w:p>
        </w:tc>
        <w:tc>
          <w:tcPr>
            <w:tcW w:w="8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2"/>
        </w:trPr>
        <w:tc>
          <w:tcPr>
            <w:tcW w:w="4600" w:type="dxa"/>
            <w:vAlign w:val="bottom"/>
          </w:tcPr>
          <w:p>
            <w:pPr>
              <w:spacing w:after="0"/>
              <w:rPr>
                <w:sz w:val="24"/>
                <w:szCs w:val="24"/>
                <w:color w:val="auto"/>
              </w:rPr>
            </w:pPr>
          </w:p>
        </w:tc>
        <w:tc>
          <w:tcPr>
            <w:tcW w:w="3920" w:type="dxa"/>
            <w:vAlign w:val="bottom"/>
            <w:gridSpan w:val="2"/>
          </w:tcPr>
          <w:p>
            <w:pPr>
              <w:jc w:val="right"/>
              <w:ind w:right="2750"/>
              <w:spacing w:after="0"/>
              <w:rPr>
                <w:sz w:val="20"/>
                <w:szCs w:val="20"/>
                <w:color w:val="auto"/>
              </w:rPr>
            </w:pPr>
            <w:r>
              <w:rPr>
                <w:rFonts w:ascii="Arial" w:cs="Arial" w:eastAsia="Arial" w:hAnsi="Arial"/>
                <w:sz w:val="18"/>
                <w:szCs w:val="18"/>
                <w:color w:val="auto"/>
              </w:rPr>
              <w:t>F-25</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In September 2021, the Company entered into an eight-year lease agreement for 45,632 square feet of space for its corporate headquarters located in Boston, Massachusetts. The Company is also party to several leases for office and laboratory space in San Diego, California, Ann Arbor, Michigan, New York, New York, and Frankfurt, Germany, as well as leases for certain laboratory equipment. The right-of-use assets and lease liabilities are recorded within the consolidated balance sheets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392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ind w:left="1400"/>
              <w:spacing w:after="0"/>
              <w:rPr>
                <w:sz w:val="20"/>
                <w:szCs w:val="20"/>
                <w:color w:val="auto"/>
              </w:rPr>
            </w:pPr>
            <w:r>
              <w:rPr>
                <w:rFonts w:ascii="Arial" w:cs="Arial" w:eastAsia="Arial" w:hAnsi="Arial"/>
                <w:sz w:val="14"/>
                <w:szCs w:val="14"/>
                <w:b w:val="1"/>
                <w:bCs w:val="1"/>
                <w:color w:val="auto"/>
              </w:rPr>
              <w:t>Consolidated Balance Sheet Classifications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r>
      <w:tr>
        <w:trPr>
          <w:trHeight w:val="183"/>
        </w:trPr>
        <w:tc>
          <w:tcPr>
            <w:tcW w:w="39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3920" w:type="dxa"/>
            <w:vAlign w:val="bottom"/>
          </w:tcPr>
          <w:p>
            <w:pPr>
              <w:ind w:left="360"/>
              <w:spacing w:after="0" w:line="202" w:lineRule="exact"/>
              <w:rPr>
                <w:sz w:val="20"/>
                <w:szCs w:val="20"/>
                <w:color w:val="auto"/>
              </w:rPr>
            </w:pPr>
            <w:r>
              <w:rPr>
                <w:rFonts w:ascii="Arial" w:cs="Arial" w:eastAsia="Arial" w:hAnsi="Arial"/>
                <w:sz w:val="18"/>
                <w:szCs w:val="18"/>
                <w:color w:val="auto"/>
              </w:rPr>
              <w:t>Right-of-use assets - operating</w:t>
            </w:r>
          </w:p>
        </w:tc>
        <w:tc>
          <w:tcPr>
            <w:tcW w:w="4980" w:type="dxa"/>
            <w:vAlign w:val="bottom"/>
          </w:tcPr>
          <w:p>
            <w:pPr>
              <w:ind w:left="900"/>
              <w:spacing w:after="0" w:line="202" w:lineRule="exact"/>
              <w:rPr>
                <w:sz w:val="20"/>
                <w:szCs w:val="20"/>
                <w:color w:val="auto"/>
              </w:rPr>
            </w:pPr>
            <w:r>
              <w:rPr>
                <w:rFonts w:ascii="Arial" w:cs="Arial" w:eastAsia="Arial" w:hAnsi="Arial"/>
                <w:sz w:val="18"/>
                <w:szCs w:val="18"/>
                <w:color w:val="auto"/>
              </w:rPr>
              <w:t>Right-of-use assets</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30,757</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34,899</w:t>
            </w:r>
          </w:p>
        </w:tc>
      </w:tr>
      <w:tr>
        <w:trPr>
          <w:trHeight w:val="203"/>
        </w:trPr>
        <w:tc>
          <w:tcPr>
            <w:tcW w:w="392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Right-of-use assets - financing </w:t>
            </w:r>
            <w:r>
              <w:rPr>
                <w:rFonts w:ascii="Arial" w:cs="Arial" w:eastAsia="Arial" w:hAnsi="Arial"/>
                <w:sz w:val="23"/>
                <w:szCs w:val="23"/>
                <w:color w:val="auto"/>
                <w:vertAlign w:val="superscript"/>
              </w:rPr>
              <w:t>(1)</w:t>
            </w:r>
          </w:p>
        </w:tc>
        <w:tc>
          <w:tcPr>
            <w:tcW w:w="49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514</w:t>
            </w: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35,413</w:t>
            </w:r>
          </w:p>
        </w:tc>
        <w:tc>
          <w:tcPr>
            <w:tcW w:w="8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4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Operating lease liabilities</w:t>
            </w:r>
          </w:p>
        </w:tc>
        <w:tc>
          <w:tcPr>
            <w:tcW w:w="49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Lease liabilities - current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3,726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1,596</w:t>
            </w:r>
          </w:p>
        </w:tc>
      </w:tr>
      <w:tr>
        <w:trPr>
          <w:trHeight w:val="203"/>
        </w:trPr>
        <w:tc>
          <w:tcPr>
            <w:tcW w:w="3920" w:type="dxa"/>
            <w:vAlign w:val="bottom"/>
          </w:tcPr>
          <w:p>
            <w:pPr>
              <w:ind w:left="360"/>
              <w:spacing w:after="0" w:line="202" w:lineRule="exact"/>
              <w:rPr>
                <w:sz w:val="20"/>
                <w:szCs w:val="20"/>
                <w:color w:val="auto"/>
              </w:rPr>
            </w:pPr>
            <w:r>
              <w:rPr>
                <w:rFonts w:ascii="Arial" w:cs="Arial" w:eastAsia="Arial" w:hAnsi="Arial"/>
                <w:sz w:val="18"/>
                <w:szCs w:val="18"/>
                <w:color w:val="auto"/>
              </w:rPr>
              <w:t>Financing lease liabilities</w:t>
            </w:r>
          </w:p>
        </w:tc>
        <w:tc>
          <w:tcPr>
            <w:tcW w:w="4980" w:type="dxa"/>
            <w:vAlign w:val="bottom"/>
          </w:tcPr>
          <w:p>
            <w:pPr>
              <w:ind w:left="900"/>
              <w:spacing w:after="0" w:line="202" w:lineRule="exact"/>
              <w:rPr>
                <w:sz w:val="20"/>
                <w:szCs w:val="20"/>
                <w:color w:val="auto"/>
              </w:rPr>
            </w:pPr>
            <w:r>
              <w:rPr>
                <w:rFonts w:ascii="Arial" w:cs="Arial" w:eastAsia="Arial" w:hAnsi="Arial"/>
                <w:sz w:val="18"/>
                <w:szCs w:val="18"/>
                <w:color w:val="auto"/>
              </w:rPr>
              <w:t>Lease liabilities - current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126</w:t>
            </w:r>
          </w:p>
        </w:tc>
      </w:tr>
      <w:tr>
        <w:trPr>
          <w:trHeight w:val="27"/>
        </w:trPr>
        <w:tc>
          <w:tcPr>
            <w:tcW w:w="39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 - current</w:t>
            </w:r>
          </w:p>
        </w:tc>
        <w:tc>
          <w:tcPr>
            <w:tcW w:w="49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3,857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1,722</w:t>
            </w: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Noncurrent:</w:t>
            </w: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Operating lease liabilities</w:t>
            </w:r>
          </w:p>
        </w:tc>
        <w:tc>
          <w:tcPr>
            <w:tcW w:w="49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Lease liabilities - noncurrent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30,398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34,122</w:t>
            </w:r>
          </w:p>
        </w:tc>
      </w:tr>
      <w:tr>
        <w:trPr>
          <w:trHeight w:val="203"/>
        </w:trPr>
        <w:tc>
          <w:tcPr>
            <w:tcW w:w="3920" w:type="dxa"/>
            <w:vAlign w:val="bottom"/>
          </w:tcPr>
          <w:p>
            <w:pPr>
              <w:ind w:left="360"/>
              <w:spacing w:after="0" w:line="202" w:lineRule="exact"/>
              <w:rPr>
                <w:sz w:val="20"/>
                <w:szCs w:val="20"/>
                <w:color w:val="auto"/>
              </w:rPr>
            </w:pPr>
            <w:r>
              <w:rPr>
                <w:rFonts w:ascii="Arial" w:cs="Arial" w:eastAsia="Arial" w:hAnsi="Arial"/>
                <w:sz w:val="18"/>
                <w:szCs w:val="18"/>
                <w:color w:val="auto"/>
              </w:rPr>
              <w:t>Financing lease liabilities</w:t>
            </w:r>
          </w:p>
        </w:tc>
        <w:tc>
          <w:tcPr>
            <w:tcW w:w="4980" w:type="dxa"/>
            <w:vAlign w:val="bottom"/>
          </w:tcPr>
          <w:p>
            <w:pPr>
              <w:ind w:left="900"/>
              <w:spacing w:after="0" w:line="202" w:lineRule="exact"/>
              <w:rPr>
                <w:sz w:val="20"/>
                <w:szCs w:val="20"/>
                <w:color w:val="auto"/>
              </w:rPr>
            </w:pPr>
            <w:r>
              <w:rPr>
                <w:rFonts w:ascii="Arial" w:cs="Arial" w:eastAsia="Arial" w:hAnsi="Arial"/>
                <w:sz w:val="18"/>
                <w:szCs w:val="18"/>
                <w:color w:val="auto"/>
              </w:rPr>
              <w:t>Lease liabilities - noncurrent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256</w:t>
            </w:r>
          </w:p>
        </w:tc>
      </w:tr>
      <w:tr>
        <w:trPr>
          <w:trHeight w:val="27"/>
        </w:trPr>
        <w:tc>
          <w:tcPr>
            <w:tcW w:w="39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 - noncurrent</w:t>
            </w:r>
          </w:p>
        </w:tc>
        <w:tc>
          <w:tcPr>
            <w:tcW w:w="49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30,523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34,378</w:t>
            </w: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49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36,100</w:t>
            </w:r>
          </w:p>
        </w:tc>
        <w:tc>
          <w:tcPr>
            <w:tcW w:w="8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240" w:hanging="544"/>
        <w:spacing w:after="0" w:line="204" w:lineRule="auto"/>
        <w:tabs>
          <w:tab w:leader="none" w:pos="660" w:val="left"/>
        </w:tabs>
        <w:numPr>
          <w:ilvl w:val="0"/>
          <w:numId w:val="136"/>
        </w:numPr>
        <w:rPr>
          <w:rFonts w:ascii="Arial" w:cs="Arial" w:eastAsia="Arial" w:hAnsi="Arial"/>
          <w:sz w:val="27"/>
          <w:szCs w:val="27"/>
          <w:color w:val="auto"/>
          <w:vertAlign w:val="superscript"/>
        </w:rPr>
      </w:pPr>
      <w:r>
        <w:rPr>
          <w:rFonts w:ascii="Arial" w:cs="Arial" w:eastAsia="Arial" w:hAnsi="Arial"/>
          <w:sz w:val="18"/>
          <w:szCs w:val="18"/>
          <w:color w:val="auto"/>
        </w:rPr>
        <w:t>Finance lease right-of-use assets are recorded net of accumulated amortization of $0.2 million and $23 as of December 31, 2023 and 2022, respectively.</w:t>
      </w:r>
    </w:p>
    <w:p>
      <w:pPr>
        <w:spacing w:after="0" w:line="181"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18"/>
          <w:szCs w:val="18"/>
          <w:color w:val="auto"/>
        </w:rPr>
        <w:t>The components of lease costs are recorded within the consolidated statements of operations and comprehensive loss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88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7,434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14,846</w:t>
            </w: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Short-term lease costs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lease costs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2,848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353</w:t>
            </w: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Total lease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8"/>
                <w:szCs w:val="8"/>
                <w:color w:val="auto"/>
                <w:w w:val="74"/>
              </w:rPr>
              <w:t> </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10,282</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4"/>
                <w:szCs w:val="4"/>
                <w:color w:val="auto"/>
                <w:w w:val="98"/>
              </w:rPr>
              <w:t> </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15,199</w:t>
            </w:r>
          </w:p>
        </w:tc>
        <w:tc>
          <w:tcPr>
            <w:tcW w:w="8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551"/>
        <w:spacing w:after="0" w:line="271" w:lineRule="auto"/>
        <w:rPr>
          <w:sz w:val="20"/>
          <w:szCs w:val="20"/>
          <w:color w:val="auto"/>
        </w:rPr>
      </w:pPr>
      <w:r>
        <w:rPr>
          <w:rFonts w:ascii="Arial" w:cs="Arial" w:eastAsia="Arial" w:hAnsi="Arial"/>
          <w:sz w:val="18"/>
          <w:szCs w:val="18"/>
          <w:color w:val="auto"/>
        </w:rPr>
        <w:t>For the years ended December 31, 2023 and 2022, the Company recognized interest expense related to finance leases of $29 and $6, respectively, which is included within interest expense, net in the consolidated statements of operations and comprehensive loss.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180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220" w:type="dxa"/>
            <w:vAlign w:val="bottom"/>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640" w:type="dxa"/>
            <w:vAlign w:val="bottom"/>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196"/>
        </w:trPr>
        <w:tc>
          <w:tcPr>
            <w:tcW w:w="9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cash flows included in the measurement of operating lease liabilities</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$ 4,776</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$ 8,218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Financing cash outflows for finance lease liabilities</w:t>
            </w: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149</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167</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1,373</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48,576</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537</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right-of-use assets resulting from lease modifications</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(1,715)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— </w:t>
            </w:r>
          </w:p>
        </w:tc>
      </w:tr>
      <w:tr>
        <w:trPr>
          <w:trHeight w:val="368"/>
        </w:trPr>
        <w:tc>
          <w:tcPr>
            <w:tcW w:w="9220" w:type="dxa"/>
            <w:vAlign w:val="bottom"/>
          </w:tcPr>
          <w:p>
            <w:pPr>
              <w:ind w:left="5320"/>
              <w:spacing w:after="0"/>
              <w:rPr>
                <w:sz w:val="20"/>
                <w:szCs w:val="20"/>
                <w:color w:val="auto"/>
              </w:rPr>
            </w:pPr>
            <w:r>
              <w:rPr>
                <w:rFonts w:ascii="Arial" w:cs="Arial" w:eastAsia="Arial" w:hAnsi="Arial"/>
                <w:sz w:val="18"/>
                <w:szCs w:val="18"/>
                <w:color w:val="auto"/>
              </w:rPr>
              <w:t>F-26</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80" w:type="dxa"/>
            <w:vAlign w:val="bottom"/>
          </w:tcPr>
          <w:p>
            <w:pPr>
              <w:spacing w:after="0"/>
              <w:rPr>
                <w:sz w:val="14"/>
                <w:szCs w:val="14"/>
                <w:color w:val="auto"/>
              </w:rPr>
            </w:pP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8780" w:type="dxa"/>
            <w:vAlign w:val="bottom"/>
          </w:tcPr>
          <w:p>
            <w:pPr>
              <w:spacing w:after="0"/>
              <w:rPr>
                <w:sz w:val="20"/>
                <w:szCs w:val="20"/>
                <w:color w:val="auto"/>
              </w:rPr>
            </w:pPr>
            <w:r>
              <w:rPr>
                <w:rFonts w:ascii="Arial" w:cs="Arial" w:eastAsia="Arial" w:hAnsi="Arial"/>
                <w:sz w:val="14"/>
                <w:szCs w:val="14"/>
                <w:b w:val="1"/>
                <w:bCs w:val="1"/>
                <w:color w:val="auto"/>
              </w:rPr>
              <w:t>Lease term and discount rate</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   2023 </w:t>
            </w: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   2022 </w:t>
            </w: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 - operating leases</w:t>
            </w:r>
          </w:p>
        </w:tc>
        <w:tc>
          <w:tcPr>
            <w:tcW w:w="78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7"/>
              </w:rPr>
              <w:t>6.4 years</w:t>
            </w: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7.4 years</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Weighted-average discount rate - operating leases</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w:t>
            </w: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remaining lease term - financing leases</w:t>
            </w:r>
          </w:p>
        </w:tc>
        <w:tc>
          <w:tcPr>
            <w:tcW w:w="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1.9 years</w:t>
            </w:r>
          </w:p>
        </w:tc>
        <w:tc>
          <w:tcPr>
            <w:tcW w:w="10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2.9 years</w:t>
            </w:r>
          </w:p>
        </w:tc>
      </w:tr>
      <w:tr>
        <w:trPr>
          <w:trHeight w:val="239"/>
        </w:trPr>
        <w:tc>
          <w:tcPr>
            <w:tcW w:w="8780" w:type="dxa"/>
            <w:vAlign w:val="bottom"/>
          </w:tcPr>
          <w:p>
            <w:pPr>
              <w:spacing w:after="0"/>
              <w:rPr>
                <w:sz w:val="20"/>
                <w:szCs w:val="20"/>
                <w:color w:val="auto"/>
              </w:rPr>
            </w:pPr>
            <w:r>
              <w:rPr>
                <w:rFonts w:ascii="Arial" w:cs="Arial" w:eastAsia="Arial" w:hAnsi="Arial"/>
                <w:sz w:val="18"/>
                <w:szCs w:val="18"/>
                <w:color w:val="auto"/>
              </w:rPr>
              <w:t>Weighted-average discount rate - financing leases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noncancellable operating and financing leases as of December 31, 2023,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Financing</w:t>
            </w:r>
          </w:p>
        </w:tc>
      </w:tr>
      <w:tr>
        <w:trPr>
          <w:trHeight w:val="171"/>
        </w:trPr>
        <w:tc>
          <w:tcPr>
            <w:tcW w:w="894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Leases</w:t>
            </w:r>
          </w:p>
        </w:tc>
      </w:tr>
      <w:tr>
        <w:trPr>
          <w:trHeight w:val="196"/>
        </w:trPr>
        <w:tc>
          <w:tcPr>
            <w:tcW w:w="8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2024</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6,949</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7,055</w:t>
            </w: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7,059</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7,240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11,179</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7"/>
        </w:trPr>
        <w:tc>
          <w:tcPr>
            <w:tcW w:w="89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9"/>
              </w:rPr>
              <w:t>$ 46,709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279</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(12,585)</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7"/>
        </w:trPr>
        <w:tc>
          <w:tcPr>
            <w:tcW w:w="89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9"/>
              </w:rPr>
              <w:t>$ 34,124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256</w:t>
            </w:r>
          </w:p>
        </w:tc>
      </w:tr>
      <w:tr>
        <w:trPr>
          <w:trHeight w:val="20"/>
        </w:trPr>
        <w:tc>
          <w:tcPr>
            <w:tcW w:w="8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In December 2022, the Company entered into a lease termination agreement with the landlord of its Cambridge, Massachusetts facility. Under the terms of the termination agreement the Company vacated the space and was obligated to make the remaining payments under the lease through the original termination date of October 2023, less amounts received by the landlord from replacement tenants. As a result of the termination the Company derecognized its right-of-use asset of $5.7 million and lease liability of $5.2 million, recorded an estimated lease termination liability of $2.2 million, and a $2.7 million loss on lease termination as additional research and development rent expense in 2022. The lease termination liability was settled in 2023 with no resulting impact to the consolidated statement of operations and comprehensive loss during the year ended December 31, 2023.</w:t>
      </w:r>
    </w:p>
    <w:p>
      <w:pPr>
        <w:spacing w:after="0" w:line="333"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w:t>
      </w:r>
    </w:p>
    <w:p>
      <w:pPr>
        <w:spacing w:after="0" w:line="10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In March 2022, the Company entered into a loan and security agreement (“LSA”) with Pacific Western Bank (acquired by Bank of California in November 2023) which provided borrowing capacity of up to $20.0 million. The Company borrowed $5.0 million at closing and made monthly interest-only payments at a rate equal to the greater of the Prime Rate (as defined in the LSA) or 4.00%. The loan was scheduled to mature in September 2026, however the Company repaid the outstanding principal including accrued interest and terminated the LSA in April 2023. For the years ended December 31, 2023 and 2022, the Company recorded interest expense of $0.1 million and $0.3 million, respectively, related to the LSA.</w:t>
      </w:r>
    </w:p>
    <w:p>
      <w:pPr>
        <w:spacing w:after="0" w:line="179" w:lineRule="exact"/>
        <w:rPr>
          <w:sz w:val="20"/>
          <w:szCs w:val="20"/>
          <w:color w:val="auto"/>
        </w:rPr>
      </w:pPr>
    </w:p>
    <w:p>
      <w:pPr>
        <w:ind w:left="120" w:right="400" w:firstLine="551"/>
        <w:spacing w:after="0" w:line="259" w:lineRule="auto"/>
        <w:rPr>
          <w:sz w:val="20"/>
          <w:szCs w:val="20"/>
          <w:color w:val="auto"/>
        </w:rPr>
      </w:pPr>
      <w:r>
        <w:rPr>
          <w:rFonts w:ascii="Arial" w:cs="Arial" w:eastAsia="Arial" w:hAnsi="Arial"/>
          <w:sz w:val="17"/>
          <w:szCs w:val="17"/>
          <w:color w:val="auto"/>
        </w:rPr>
        <w:t>In connection with the LSA, the Company issued the LSA Warrant to purchase 64,992 shares of the Company’s Series A-2 convertible preferred stock with an exercise price of $6.15 that was exercisable based on the proportion of amounts borrowed to the borrowing capacity. At the LSA Warrant issuance date, the right of the holder to purchase 16,248 shares immediately vested and was exercisable. The right to purchase these shares expires ten years after the issuance date. The right to purchase the remaining 48,744 shares was forfeited upon termination of the LSA. As of December 31, 2023, the right to purchase the 16,248 shares of Series A-2 convertible preferred stock was outstanding. The LSA Warrant requires liability classification under the guidance in ASC 480,</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as the Series A-2 convertible preferred stock underlying the LSA Warrant is redeemable outside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control of the Company.</w:t>
      </w:r>
    </w:p>
    <w:p>
      <w:pPr>
        <w:spacing w:after="0" w:line="302" w:lineRule="exact"/>
        <w:rPr>
          <w:sz w:val="20"/>
          <w:szCs w:val="20"/>
          <w:color w:val="auto"/>
        </w:rPr>
      </w:pPr>
    </w:p>
    <w:p>
      <w:pPr>
        <w:ind w:left="660" w:hanging="544"/>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Company has two classes of common stock that are authorized and outstanding: voting and non-voting. Holders of voting common stock are entitled to one vote per share on all matters on which stockholders have the right to vote, including director elections. Holders of non-voting common stock are not entitled to vote, except as may be required under Delaware law. All other rights and privileges of voting common stock and non-voting common stock are the same. As of December 31, 2023, 7,043,256 and 81,240 shares of common stock and non-voting common stock were issued and outstanding, respectively. In addition, the Company has 1,602,520 issued shares of common stock that are subject to vesting as of December 31, 2023 (see Note 14).</w:t>
      </w:r>
    </w:p>
    <w:p>
      <w:pPr>
        <w:spacing w:after="0" w:line="327" w:lineRule="exact"/>
        <w:rPr>
          <w:sz w:val="20"/>
          <w:szCs w:val="20"/>
          <w:color w:val="auto"/>
        </w:rPr>
      </w:pPr>
    </w:p>
    <w:p>
      <w:pPr>
        <w:ind w:left="660" w:hanging="544"/>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4" w:lineRule="exact"/>
        <w:rPr>
          <w:sz w:val="20"/>
          <w:szCs w:val="20"/>
          <w:color w:val="auto"/>
        </w:rPr>
      </w:pPr>
    </w:p>
    <w:p>
      <w:pPr>
        <w:ind w:left="120" w:right="420" w:firstLine="551"/>
        <w:spacing w:after="0" w:line="253" w:lineRule="auto"/>
        <w:rPr>
          <w:sz w:val="20"/>
          <w:szCs w:val="20"/>
          <w:color w:val="auto"/>
        </w:rPr>
      </w:pPr>
      <w:r>
        <w:rPr>
          <w:rFonts w:ascii="Arial" w:cs="Arial" w:eastAsia="Arial" w:hAnsi="Arial"/>
          <w:sz w:val="18"/>
          <w:szCs w:val="18"/>
          <w:color w:val="auto"/>
        </w:rPr>
        <w:t>In 2021, the Company issued Series A, Series A-1 and Series A-2 convertible preferred stock in exchange for cash and the conversion of certain promissory notes. In March 2022, the Company issued an additional 1,624,803 shares of Series A-2 convertible preferred stock for an aggregate purchase price of $10 million.</w:t>
      </w:r>
    </w:p>
    <w:p>
      <w:pPr>
        <w:spacing w:after="0" w:line="169"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In May 2022, the Company entered into a Series B Preferred Stock Purchase Agreement pursuant to which the Company initially issued and sold 14,469,169 shares of Series B convertible preferred stock at a purchase price of $6.32 per share for an aggregate purchase price of $91.4 million. In September 2022, the Company issued an additional 12,132,191 shares of Series B convertible preferred stock to the same investors at $6.32 per share.</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October 2023, the Company entered into a Series C Preferred Stock Purchase Agreement pursuant to which the Company issued and sold 19,426,000 shares of Series C convertible preferred stock, at a purchase price of $5.00 per share for an aggregate purchase price of $97.1 million. The issuance of the Series C convertible preferred stock resulted in an adjustment of the conversion price of the Series A-1, Series A-2, and Series B convertible preferred stock, due to down round features included in the Company’s certificate of incorporation with respect to each such series. As of December 31, 2023, the Series A-1 convertible preferred stock, Series A-2 convertible preferred stock, and Series B convertible preferred stock would effectively convert into 7,776,904 shares of common stock, 8,065,324 shares of common stock, and 27,613,212 shares of common stock, respectively, upon the occurrence of certain events, including a qualifying IPO of the Company’s common stock. The Company accounted for the down round adjustment as a deemed dividend. The Company recorded an adjustment of $5.0 million within additional paid-in capital and accumulated deficit associated with the down round feature, which was calculated as the difference between the fair value of the convertible preferred stock immediately before the change in conversion price and the fair value of the convertible preferred stock immediately after the change in conversion price. The deemed dividend has also been included in the determination of net loss available to common stockholders for calculating the Company’s loss per share (see Note 18). See Note 20 for a discussion of additional sales of Series C convertible preferred stock after December 31, 2023.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convertible preferred stock consisted of the following: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December 31, 2023</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6"/>
        </w:trPr>
        <w:tc>
          <w:tcPr>
            <w:tcW w:w="38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Preferred</w:t>
            </w:r>
          </w:p>
        </w:tc>
        <w:tc>
          <w:tcPr>
            <w:tcW w:w="1420" w:type="dxa"/>
            <w:vAlign w:val="bottom"/>
            <w:tcBorders>
              <w:top w:val="single" w:sz="8" w:color="auto"/>
            </w:tcBorders>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Preferred</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 Issued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Liquidation</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1"/>
        </w:trPr>
        <w:tc>
          <w:tcPr>
            <w:tcW w:w="38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 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Preference</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convertible preferred stock</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131,564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131,788</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80" w:type="dxa"/>
            <w:vAlign w:val="bottom"/>
            <w:tcBorders>
              <w:top w:val="single" w:sz="8" w:color="CCEEFF"/>
            </w:tcBorders>
            <w:shd w:val="clear" w:color="auto" w:fill="CCEEFF"/>
          </w:tcPr>
          <w:p>
            <w:pPr>
              <w:spacing w:after="0"/>
              <w:rPr>
                <w:sz w:val="17"/>
                <w:szCs w:val="17"/>
                <w:color w:val="auto"/>
              </w:rPr>
            </w:pPr>
          </w:p>
        </w:tc>
      </w:tr>
      <w:tr>
        <w:trPr>
          <w:trHeight w:val="202"/>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A-1 convertible preferred stock</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7,575,753</w:t>
            </w:r>
          </w:p>
        </w:tc>
        <w:tc>
          <w:tcPr>
            <w:tcW w:w="24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7,575,753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44,342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44,405</w:t>
            </w: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7,776,904</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A-2 convertible preferred stock</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7,815,303</w:t>
            </w: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7,799,055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47,963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48,000</w:t>
            </w:r>
          </w:p>
        </w:tc>
        <w:tc>
          <w:tcPr>
            <w:tcW w:w="1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8,065,324</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B convertible preferred stock</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26,601,360</w:t>
            </w:r>
          </w:p>
        </w:tc>
        <w:tc>
          <w:tcPr>
            <w:tcW w:w="24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26,601,360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167,765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168,010</w:t>
            </w: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27,613,212</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convertible preferred stock</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20,200,000</w:t>
            </w: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19,426,000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96,571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97,130</w:t>
            </w:r>
          </w:p>
        </w:tc>
        <w:tc>
          <w:tcPr>
            <w:tcW w:w="1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19,426,000</w:t>
            </w:r>
          </w:p>
        </w:tc>
      </w:tr>
      <w:tr>
        <w:trPr>
          <w:trHeight w:val="210"/>
        </w:trPr>
        <w:tc>
          <w:tcPr>
            <w:tcW w:w="38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92,232,290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91,442,042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489,333</w:t>
            </w: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92,921,314</w:t>
            </w:r>
          </w:p>
        </w:tc>
        <w:tc>
          <w:tcPr>
            <w:tcW w:w="8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38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3840" w:type="dxa"/>
            <w:vAlign w:val="bottom"/>
          </w:tcPr>
          <w:p>
            <w:pPr>
              <w:spacing w:after="0"/>
              <w:rPr>
                <w:sz w:val="12"/>
                <w:szCs w:val="12"/>
                <w:color w:val="auto"/>
              </w:rPr>
            </w:pPr>
          </w:p>
        </w:tc>
        <w:tc>
          <w:tcPr>
            <w:tcW w:w="132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Preferred</w:t>
            </w:r>
          </w:p>
        </w:tc>
        <w:tc>
          <w:tcPr>
            <w:tcW w:w="14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 Issued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Liquidation</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1"/>
        </w:trPr>
        <w:tc>
          <w:tcPr>
            <w:tcW w:w="38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 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Preference</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convertible preferred stock</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131,564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131,788</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A-1 convertible preferred stock</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7,575,753</w:t>
            </w:r>
          </w:p>
        </w:tc>
        <w:tc>
          <w:tcPr>
            <w:tcW w:w="24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7,575,753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44,342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44,405</w:t>
            </w: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7,575,753</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A-2 convertible preferred stock</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7,864,047</w:t>
            </w: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7,799,055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47,963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48,000</w:t>
            </w:r>
          </w:p>
        </w:tc>
        <w:tc>
          <w:tcPr>
            <w:tcW w:w="1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7,799,055</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B convertible preferred stock</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27,693,852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26,601,360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167,765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168,010</w:t>
            </w: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26,601,360</w:t>
            </w:r>
          </w:p>
        </w:tc>
      </w:tr>
      <w:tr>
        <w:trPr>
          <w:trHeight w:val="27"/>
        </w:trPr>
        <w:tc>
          <w:tcPr>
            <w:tcW w:w="38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73,173,526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72,016,042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391,634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392,203</w:t>
            </w:r>
          </w:p>
        </w:tc>
        <w:tc>
          <w:tcPr>
            <w:tcW w:w="1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72,016,042</w:t>
            </w:r>
          </w:p>
        </w:tc>
      </w:tr>
      <w:tr>
        <w:trPr>
          <w:trHeight w:val="20"/>
        </w:trPr>
        <w:tc>
          <w:tcPr>
            <w:tcW w:w="3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As of December 31, 2023, the holders of the Series A convertible preferred stock, Series A-1 convertible preferred stock, Series A-2 convertible preferred stock, Series B convertible preferred stock and Series C convertible preferred stock have the following rights and preferences:</w:t>
      </w:r>
    </w:p>
    <w:p>
      <w:pPr>
        <w:spacing w:after="0" w:line="16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—Holders of the Series A convertible preferred stock, Series A-1 convertible preferred stock, Series A-2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B convertible preferred stock and Series C convertible preferred stock are entitled to the number of votes equal to the number of shares of common stock into which such shares of convertible preferred stock held by such holder could be converted as of the relevant record date at all meetings of stockholders. The holders of convertible preferred stock generally vote together as a single class with holders of common stock except that, the holders of Series A convertible preferred stock, Series A-1 convertible preferred stock, Series A-2 convertible preferred stock voting together as a single class on an as converted basis are entitled to elect two directors, and holders of Series C convertible preferred stock voting together as a single class on an as converted basis are entitled to elect one director. The remaining members of the Board of Directors are elected by the holders of convertible preferred stock and common stock, voting together as a single class on an as-converted basis.</w:t>
      </w:r>
    </w:p>
    <w:p>
      <w:pPr>
        <w:spacing w:after="0" w:line="183" w:lineRule="exact"/>
        <w:rPr>
          <w:sz w:val="20"/>
          <w:szCs w:val="20"/>
          <w:color w:val="auto"/>
        </w:rPr>
      </w:pPr>
    </w:p>
    <w:p>
      <w:pPr>
        <w:jc w:val="both"/>
        <w:ind w:left="120" w:right="160" w:firstLine="551"/>
        <w:spacing w:after="0" w:line="25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—Holders of outstanding shares of Series A convertible preferred stock, Series A-1 convertible preferred stock,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A-2 convertible preferred stock, Series B convertible preferred stock and Series C convertible preferred stock are entitled to participate in any dividends payable to common</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stockholders on an as converted basis and have priority over the payment of dividends to holders of common stock. The dividends do not contractually require the holders to participate in losses of the Company.</w:t>
      </w:r>
    </w:p>
    <w:p>
      <w:pPr>
        <w:spacing w:after="0" w:line="15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case of a dividend on common stock or any class of stock that is convertible into common stock, the dividend per share of convertible preferred stock would equal the product of (A) the dividend payable on each share of such class or series as if all shares of such class or series had been converted into common stock and (B) the number of shares of common stock issuable upon conversion of such share of convertible preferred stock. In the case of a dividend on any class or series that is not convertible into common stock, the dividend per share of convertible preferred stock would be determined by (A) dividing the amount of dividend payable on each share of such class or series of capital stock by the original issue price of such class or series and (B) multiplying such fraction by the original issue price of the applicable class of convertible preferred stock.</w:t>
      </w:r>
    </w:p>
    <w:p>
      <w:pPr>
        <w:spacing w:after="0" w:line="18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Liquidation Amount</w:t>
      </w:r>
      <w:r>
        <w:rPr>
          <w:rFonts w:ascii="Arial" w:cs="Arial" w:eastAsia="Arial" w:hAnsi="Arial"/>
          <w:sz w:val="18"/>
          <w:szCs w:val="18"/>
          <w:color w:val="auto"/>
        </w:rPr>
        <w:t>—The Series C convertible preferred stock ranks, with respect to rights in the event of voluntary or involuntary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winding up, dissolution, and deemed liquidation events, senior and in priority of payment to (i) the Series A convertible preferred stock, Series A-1 convertible preferred stock, Series A-2 convertible preferred stock, and Series B convertible preferred stock and (ii) the common stock. After payment in full of the amounts owed to holders of Series C convertible preferred stock, the Series B convertible preferred stock rank, with respect to rights in the event of voluntary or involuntary liquidation, winding up, dissolution, and deemed liquidation events, senior and in priority of payment to (i) the Series A convertible preferred stock, Series A-1 convertible preferred stock, Series A-2 convertible preferred stock and (ii) the common stock. After payment in full of the amounts owed to holders of the Series B convertible preferred stock and Series C convertible preferred stock, the Series A convertible preferred stock, Series A-1 convertible preferred stock, Series A-2 convertible preferred stock, with respect to distribution rights and rights on liquidation, winding-up and dissolution, rank (i) senior and in priority of payment to the common stock and (ii) on parity with each other. After the payment of the full liquidation preference of the convertible preferred stock, the remaining assets of the Company legally available for distribution, if any, will be distributed ratably to the holders of common stock.</w:t>
      </w:r>
    </w:p>
    <w:p>
      <w:pPr>
        <w:spacing w:after="0" w:line="183"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event of any voluntary or involuntary liquidation, dissolution or winding up of the corporation, or upon the occurrence of a deemed liquidation event, the holders of shares of (i) the Series C convertible preferred stock are entitled to payments in an amount equal the greater of (a) the applicable original issue price of $5.00 per share, plus dividends declared but unpaid and (b) the amount payable with respect to such share as if it was converted to common stock immediately prior to settlement, (ii) the Series B convertible preferred stock are entitled to payments in an amount equal the greater of (a) the applicable original issue price of $6.31584 per share, plus dividends declared but unpaid and (b) the amount payable with respect to such share as if it was converted to common stock immediately prior to settlement, and (iii) the Series A, Series A-1 and Series A-2 convertible preferred stock are entitled to payments in an amount equal to the greater of (a) the applicable original issue price of $4.34186 per share, $5.86151 per share and $6.15459 per share, respectively, plus dividends declared but unpaid and (b) the amount payable with respect to such share as if it was converted to common stock immediately prior to settlement.</w:t>
      </w:r>
    </w:p>
    <w:p>
      <w:pPr>
        <w:spacing w:after="0" w:line="180" w:lineRule="exact"/>
        <w:rPr>
          <w:sz w:val="20"/>
          <w:szCs w:val="20"/>
          <w:color w:val="auto"/>
        </w:rPr>
      </w:pPr>
    </w:p>
    <w:p>
      <w:pPr>
        <w:ind w:left="120" w:right="40" w:firstLine="551"/>
        <w:spacing w:after="0" w:line="254" w:lineRule="auto"/>
        <w:rPr>
          <w:sz w:val="20"/>
          <w:szCs w:val="20"/>
          <w:color w:val="auto"/>
        </w:rPr>
      </w:pPr>
      <w:r>
        <w:rPr>
          <w:rFonts w:ascii="Arial" w:cs="Arial" w:eastAsia="Arial" w:hAnsi="Arial"/>
          <w:sz w:val="17"/>
          <w:szCs w:val="17"/>
          <w:b w:val="1"/>
          <w:bCs w:val="1"/>
          <w:i w:val="1"/>
          <w:iCs w:val="1"/>
          <w:color w:val="auto"/>
        </w:rPr>
        <w:t>Conversion Option</w:t>
      </w:r>
      <w:r>
        <w:rPr>
          <w:rFonts w:ascii="Arial" w:cs="Arial" w:eastAsia="Arial" w:hAnsi="Arial"/>
          <w:sz w:val="17"/>
          <w:szCs w:val="17"/>
          <w:color w:val="auto"/>
        </w:rPr>
        <w:t>—Each share of the convertible preferred stock is convertible into shares of the Company’s common stock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one-to-one basis, subject to appropriate adjustment in the event of any stock dividend, stock split or similar recapitalization, at the option of the stockholder and subject to adjustments in accordance with anti-dilution provisions and down round features. In addition, such shares will be converted automatically into shares of the Company’s common stock at then applicable conversion ratio upon the earlier of</w:t>
      </w:r>
    </w:p>
    <w:p>
      <w:pPr>
        <w:ind w:left="120" w:right="500" w:hanging="4"/>
        <w:spacing w:after="0" w:line="250" w:lineRule="auto"/>
        <w:tabs>
          <w:tab w:leader="none" w:pos="33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firm-commitment underwritten public offering pursuant to an effective registration statement under the Securities Act of 1933, as amended, on the New York Stock</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Exchange or Nasdaq Stock Market resulting in at least $250.0 million of gross proceeds, net of underwriting discounts and commissions,</w:t>
      </w:r>
    </w:p>
    <w:p>
      <w:pPr>
        <w:spacing w:after="0" w:line="14" w:lineRule="exact"/>
        <w:rPr>
          <w:sz w:val="20"/>
          <w:szCs w:val="20"/>
          <w:color w:val="auto"/>
        </w:rPr>
      </w:pPr>
    </w:p>
    <w:p>
      <w:pPr>
        <w:ind w:left="120" w:right="20" w:hanging="4"/>
        <w:spacing w:after="0" w:line="237" w:lineRule="auto"/>
        <w:tabs>
          <w:tab w:leader="none" w:pos="37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completion by the Company of a business combination, merger, consolidation or share exchange with a special purpose acquisition company (“SPAC”) or its subsidiary in which the common stock of the surviving or parent entity is listed on New York Stock Exchange or Nasdaq Stock Market as of the consummation of such transaction, after taking into account any redemptions from the SPAC’s trust account, the surviving entity or parent entity receives at least $250.0 million of gross proceeds, net of the underwriting discount and commissions, from the sale of its equity securities, or (iii) the occurrence of an event specified by vote or written consent of the majority of the holders of the then outstanding shares of a specific class of convertible preferred stock, only with respect to that class of convertible preferred stock.</w:t>
      </w:r>
    </w:p>
    <w:p>
      <w:pPr>
        <w:spacing w:after="0" w:line="333" w:lineRule="exact"/>
        <w:rPr>
          <w:sz w:val="20"/>
          <w:szCs w:val="20"/>
          <w:color w:val="auto"/>
        </w:rPr>
      </w:pPr>
    </w:p>
    <w:p>
      <w:pPr>
        <w:ind w:left="660" w:hanging="54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IFM Acquisition</w:t>
      </w:r>
    </w:p>
    <w:p>
      <w:pPr>
        <w:spacing w:after="0" w:line="10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On May 6, 2022, the Company acquired all of the membership interests in IFM. IFM was a subsidiary of IFM Therapeutics, LLC until the acquisition closed in May 2022. IFM is a biotechnology company that focuses on developing small molecule immunotherapies for inflammatory diseases and cancers. IFM has two programs in the area of immunology: MDA5 and NLRP1. The Company’s CEO is also the Chairman of the Board of Directors of IFM Therapeutics, LLC (see Note 19). The total purchase consideration was $3.1 million, which consisted of the following: (i) 81,240 shares of non-voting common stock at closing with the estimated fair value of $0.2 million, (ii) cash consideration of $0.9 million at closing, (iii) a deferred payment of $0.9 million, which was paid in June 2022 and (iv) contingent consideration in cash of up to $30.0 million, payable once for each of the NLRP1 and MDA5 programs upon the first achievement of certain development, commercial, regulatory and sales milestones related to each such program. The estimated fair value of the contingent consideration was determined to be $1.1 million on the acquisition date (see Note 5). This related party transaction was conducted in the normal course of business on an arm’s length basis. The Company concluded that IFM was not a business based on its assessment under ASC 805 and accounted for the acquisition as an asset acquisition. The Company identified an IPR&amp;D asset related to immunology programs as the asset acquired and allocated the total purchase consideration to this asset. The IPR&amp;D asset was charged to research and development expense as it had no alternative future use at the time of the acquisition. There were no liabilities assumed. The Company further concluded that IFM was a variable interest entity, which required the Company to record the contingent consideration at the acquisition date. The contingent consideration is remeasured at each balance sheet date and was $1.4 million and $1.1 million as of December 31, 2023 and 2022, respectively (see Note 5). The Company determined that the consideration paid was approximately equal to the fair value of the assets acquired and therefore did not recognize a gain or loss on the acquisition. Acquisition-related costs of $0.8 million were expensed as incurred.</w:t>
      </w:r>
    </w:p>
    <w:p>
      <w:pPr>
        <w:spacing w:after="0" w:line="330" w:lineRule="exact"/>
        <w:rPr>
          <w:sz w:val="20"/>
          <w:szCs w:val="20"/>
          <w:color w:val="auto"/>
        </w:rPr>
      </w:pPr>
    </w:p>
    <w:p>
      <w:pPr>
        <w:ind w:left="120" w:right="8080" w:hanging="4"/>
        <w:spacing w:after="0" w:line="360" w:lineRule="auto"/>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Stock Options</w:t>
      </w:r>
    </w:p>
    <w:p>
      <w:pPr>
        <w:ind w:left="120" w:firstLine="551"/>
        <w:spacing w:after="0" w:line="242" w:lineRule="auto"/>
        <w:rPr>
          <w:sz w:val="20"/>
          <w:szCs w:val="20"/>
          <w:color w:val="auto"/>
        </w:rPr>
      </w:pPr>
      <w:r>
        <w:rPr>
          <w:rFonts w:ascii="Arial" w:cs="Arial" w:eastAsia="Arial" w:hAnsi="Arial"/>
          <w:sz w:val="18"/>
          <w:szCs w:val="18"/>
          <w:color w:val="auto"/>
        </w:rPr>
        <w:t>In August 2021, the Company’s Board of Directors adopted the 2021 Equity Incentive Plan (the “2021 Plan”) which provides for the granting of stock appreciation rights, incentive stock options, restricted stock awards, other stock-based awards to eligible employees, officers, directors, consultants, and advisors. The stock options issued under the 2021 Plan expire not more than ten years from the grant date. The 2021 Plan was subsequently amended on various dates through November 28, 2023 to increase the number of shares available for the issuance of awards to a total of 16,643,944. As of December 31, 2023 there were 5,500,181 shares of voting common stock available for future grant under the 2021 Plan.</w:t>
      </w:r>
    </w:p>
    <w:p>
      <w:pPr>
        <w:spacing w:after="0" w:line="17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The stock options generally vest over four years, with 25% of the award vesting at a one year cliff with the remaining portion vesting in equal installments over the remaining period. The stock options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granted contain only service conditions as the grantees are only required to provide services to the Company over the requisite service period to continue to vest in the awards.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2023:</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Exercise</w:t>
            </w: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171"/>
        </w:trPr>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9"/>
              </w:rPr>
              <w:t>Price</w:t>
            </w: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Term (in years)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January 1, 2023</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10,539,347</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96"/>
              </w:rPr>
              <w:t>2.68</w:t>
            </w:r>
          </w:p>
        </w:tc>
        <w:tc>
          <w:tcPr>
            <w:tcW w:w="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9.13</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1,427,625</w:t>
            </w:r>
          </w:p>
        </w:tc>
        <w:tc>
          <w:tcPr>
            <w:tcW w:w="120" w:type="dxa"/>
            <w:vAlign w:val="bottom"/>
          </w:tcPr>
          <w:p>
            <w:pPr>
              <w:spacing w:after="0"/>
              <w:rPr>
                <w:sz w:val="17"/>
                <w:szCs w:val="17"/>
                <w:color w:val="auto"/>
              </w:rPr>
            </w:pPr>
          </w:p>
        </w:tc>
        <w:tc>
          <w:tcPr>
            <w:tcW w:w="1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2.47</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(666,218)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2.68</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960" w:type="dxa"/>
            <w:vAlign w:val="bottom"/>
          </w:tcPr>
          <w:p>
            <w:pPr>
              <w:ind w:left="360"/>
              <w:spacing w:after="0" w:line="202" w:lineRule="exact"/>
              <w:rPr>
                <w:sz w:val="20"/>
                <w:szCs w:val="20"/>
                <w:color w:val="auto"/>
              </w:rPr>
            </w:pPr>
            <w:r>
              <w:rPr>
                <w:rFonts w:ascii="Arial" w:cs="Arial" w:eastAsia="Arial" w:hAnsi="Arial"/>
                <w:sz w:val="18"/>
                <w:szCs w:val="18"/>
                <w:color w:val="auto"/>
              </w:rPr>
              <w:t>Expired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(186,491)</w:t>
            </w:r>
          </w:p>
        </w:tc>
        <w:tc>
          <w:tcPr>
            <w:tcW w:w="120" w:type="dxa"/>
            <w:vAlign w:val="bottom"/>
          </w:tcPr>
          <w:p>
            <w:pPr>
              <w:spacing w:after="0"/>
              <w:rPr>
                <w:sz w:val="17"/>
                <w:szCs w:val="17"/>
                <w:color w:val="auto"/>
              </w:rPr>
            </w:pPr>
          </w:p>
        </w:tc>
        <w:tc>
          <w:tcPr>
            <w:tcW w:w="1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2.73</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(96,562)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2.72</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Outstanding as of December 31, 2023</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11,017,701</w:t>
            </w:r>
          </w:p>
        </w:tc>
        <w:tc>
          <w:tcPr>
            <w:tcW w:w="6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6"/>
              </w:rPr>
              <w:t>2.65</w:t>
            </w:r>
          </w:p>
        </w:tc>
        <w:tc>
          <w:tcPr>
            <w:tcW w:w="6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60" w:type="dxa"/>
            <w:vAlign w:val="bottom"/>
          </w:tcPr>
          <w:p>
            <w:pPr>
              <w:spacing w:after="0"/>
              <w:rPr>
                <w:sz w:val="18"/>
                <w:szCs w:val="18"/>
                <w:color w:val="auto"/>
              </w:rPr>
            </w:pPr>
          </w:p>
        </w:tc>
      </w:tr>
      <w:tr>
        <w:trPr>
          <w:trHeight w:val="184"/>
        </w:trPr>
        <w:tc>
          <w:tcPr>
            <w:tcW w:w="49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Exercisable as of December 31,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 xml:space="preserve">    </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4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5,407,350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2.63</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      1,623</w:t>
            </w:r>
          </w:p>
        </w:tc>
      </w:tr>
      <w:tr>
        <w:trPr>
          <w:trHeight w:val="191"/>
        </w:trPr>
        <w:tc>
          <w:tcPr>
            <w:tcW w:w="4960" w:type="dxa"/>
            <w:vAlign w:val="bottom"/>
          </w:tcPr>
          <w:p>
            <w:pPr>
              <w:spacing w:after="0" w:line="191" w:lineRule="exact"/>
              <w:rPr>
                <w:sz w:val="20"/>
                <w:szCs w:val="20"/>
                <w:color w:val="auto"/>
              </w:rPr>
            </w:pPr>
            <w:r>
              <w:rPr>
                <w:rFonts w:ascii="Arial" w:cs="Arial" w:eastAsia="Arial" w:hAnsi="Arial"/>
                <w:sz w:val="18"/>
                <w:szCs w:val="18"/>
                <w:color w:val="auto"/>
              </w:rPr>
              <w:t>Weighted-average fair value of options granted during the</w:t>
            </w: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9"/>
        </w:trPr>
        <w:tc>
          <w:tcPr>
            <w:tcW w:w="4960" w:type="dxa"/>
            <w:vAlign w:val="bottom"/>
          </w:tcPr>
          <w:p>
            <w:pPr>
              <w:ind w:left="180"/>
              <w:spacing w:after="0"/>
              <w:rPr>
                <w:sz w:val="20"/>
                <w:szCs w:val="20"/>
                <w:color w:val="auto"/>
              </w:rPr>
            </w:pPr>
            <w:r>
              <w:rPr>
                <w:rFonts w:ascii="Arial" w:cs="Arial" w:eastAsia="Arial" w:hAnsi="Arial"/>
                <w:sz w:val="18"/>
                <w:szCs w:val="18"/>
                <w:color w:val="auto"/>
              </w:rPr>
              <w:t>period</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0"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The following table presents, on a weighted-average basis, the assumptions used in the Black Scholes option-pricing model to determine the grant date fair value of the stock options granted during the years ended: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580" w:type="dxa"/>
            <w:vAlign w:val="bottom"/>
            <w:tcBorders>
              <w:bottom w:val="single" w:sz="8" w:color="CCEEFF"/>
            </w:tcBorders>
          </w:tcPr>
          <w:p>
            <w:pPr>
              <w:spacing w:after="0"/>
              <w:rPr>
                <w:sz w:val="13"/>
                <w:szCs w:val="13"/>
                <w:color w:val="auto"/>
              </w:rPr>
            </w:pPr>
          </w:p>
        </w:tc>
        <w:tc>
          <w:tcPr>
            <w:tcW w:w="33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common stock</w:t>
            </w:r>
          </w:p>
        </w:tc>
        <w:tc>
          <w:tcPr>
            <w:tcW w:w="3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$ 2.14</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7"/>
                <w:szCs w:val="17"/>
                <w:color w:val="auto"/>
              </w:rPr>
            </w:pPr>
          </w:p>
        </w:tc>
      </w:tr>
      <w:tr>
        <w:trPr>
          <w:trHeight w:val="202"/>
        </w:trPr>
        <w:tc>
          <w:tcPr>
            <w:tcW w:w="558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464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5.95</w:t>
            </w:r>
          </w:p>
        </w:tc>
        <w:tc>
          <w:tcPr>
            <w:tcW w:w="1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6.03</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46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3.59%</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6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89.91%</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77.56%</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46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r>
    </w:tbl>
    <w:p>
      <w:pPr>
        <w:spacing w:after="0" w:line="197"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2023, and 2022 was $2.11 and $ 2.03 per option, respectively. The total fair value of awards vested during the years ended December 31, 2023 and 2022 was $5.8 million and $4.5 million, respectively. 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2023 and 2022 was de minimis.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issued restricted stock awards in 2021 to its CEO and in connection with the Rahko acquisition.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summary of restricted stock award activity for the year ended December 31, 2023,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8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88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as of January 1, 2023</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3,027,841</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0.68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Vested</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(1,425,321)</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0.83</w:t>
            </w:r>
          </w:p>
        </w:tc>
      </w:tr>
      <w:tr>
        <w:trPr>
          <w:trHeight w:val="27"/>
        </w:trPr>
        <w:tc>
          <w:tcPr>
            <w:tcW w:w="88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2023</w:t>
            </w: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1,602,520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0.54</w:t>
            </w:r>
          </w:p>
        </w:tc>
      </w:tr>
      <w:tr>
        <w:trPr>
          <w:trHeight w:val="20"/>
        </w:trPr>
        <w:tc>
          <w:tcPr>
            <w:tcW w:w="8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The aggregate fair value of restricted stock awards vested during the years ended December 31, 2023 and 2022, was $3.9 million and $7.6 million, respectively. The Company recorded stock compensation expense of $0.7 million and $0.8 million, related to the restricted stock awards during the years ended December 31, 2023 and 2022, respectively.</w:t>
      </w:r>
    </w:p>
    <w:p>
      <w:pPr>
        <w:spacing w:after="0" w:line="169"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The following table summarizes unrecognized stock-based compensation expense as of December 31, 2023 by type of awards, and the weighted-average period over which that expense is expected to be recognized. The total unrecognized stock-based compensation expense will be adjusted for actual forfeitures as they occur.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Unrecognized</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Recognition</w:t>
            </w:r>
          </w:p>
        </w:tc>
      </w:tr>
      <w:tr>
        <w:trPr>
          <w:trHeight w:val="162"/>
        </w:trPr>
        <w:tc>
          <w:tcPr>
            <w:tcW w:w="5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Expense</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Period</w:t>
            </w:r>
          </w:p>
        </w:tc>
      </w:tr>
      <w:tr>
        <w:trPr>
          <w:trHeight w:val="171"/>
        </w:trPr>
        <w:tc>
          <w:tcPr>
            <w:tcW w:w="5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years)</w:t>
            </w:r>
          </w:p>
        </w:tc>
      </w:tr>
      <w:tr>
        <w:trPr>
          <w:trHeight w:val="177"/>
        </w:trPr>
        <w:tc>
          <w:tcPr>
            <w:tcW w:w="52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Stock options</w:t>
            </w:r>
          </w:p>
        </w:tc>
        <w:tc>
          <w:tcPr>
            <w:tcW w:w="3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35"/>
              <w:spacing w:after="0" w:line="177" w:lineRule="exact"/>
              <w:rPr>
                <w:sz w:val="20"/>
                <w:szCs w:val="20"/>
                <w:color w:val="auto"/>
              </w:rPr>
            </w:pPr>
            <w:r>
              <w:rPr>
                <w:rFonts w:ascii="Arial" w:cs="Arial" w:eastAsia="Arial" w:hAnsi="Arial"/>
                <w:sz w:val="18"/>
                <w:szCs w:val="18"/>
                <w:color w:val="auto"/>
              </w:rPr>
              <w:t xml:space="preserve">    </w:t>
            </w:r>
          </w:p>
        </w:tc>
        <w:tc>
          <w:tcPr>
            <w:tcW w:w="5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21"/>
        </w:trPr>
        <w:tc>
          <w:tcPr>
            <w:tcW w:w="52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348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491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included in operating expenses for the years ended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2023 and 2022:</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40" w:type="dxa"/>
            <w:vAlign w:val="bottom"/>
          </w:tcPr>
          <w:p>
            <w:pPr>
              <w:spacing w:after="0"/>
              <w:rPr>
                <w:sz w:val="14"/>
                <w:szCs w:val="14"/>
                <w:color w:val="auto"/>
              </w:rPr>
            </w:pPr>
          </w:p>
        </w:tc>
        <w:tc>
          <w:tcPr>
            <w:tcW w:w="168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93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   2023 </w:t>
            </w:r>
          </w:p>
        </w:tc>
        <w:tc>
          <w:tcPr>
            <w:tcW w:w="62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w w:val="71"/>
              </w:rPr>
              <w:t>   2022 </w:t>
            </w:r>
          </w:p>
        </w:tc>
        <w:tc>
          <w:tcPr>
            <w:tcW w:w="60" w:type="dxa"/>
            <w:vAlign w:val="bottom"/>
          </w:tcPr>
          <w:p>
            <w:pPr>
              <w:spacing w:after="0"/>
              <w:rPr>
                <w:sz w:val="13"/>
                <w:szCs w:val="13"/>
                <w:color w:val="auto"/>
              </w:rPr>
            </w:pPr>
          </w:p>
        </w:tc>
      </w:tr>
      <w:tr>
        <w:trPr>
          <w:trHeight w:val="177"/>
        </w:trPr>
        <w:tc>
          <w:tcPr>
            <w:tcW w:w="93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Research and development</w:t>
            </w:r>
          </w:p>
        </w:tc>
        <w:tc>
          <w:tcPr>
            <w:tcW w:w="62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 </w:t>
            </w: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5"/>
                <w:szCs w:val="15"/>
                <w:color w:val="auto"/>
              </w:rPr>
            </w:pPr>
          </w:p>
        </w:tc>
      </w:tr>
      <w:tr>
        <w:trPr>
          <w:trHeight w:val="221"/>
        </w:trPr>
        <w:tc>
          <w:tcPr>
            <w:tcW w:w="9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$ 3,745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$ 2,928</w:t>
            </w:r>
          </w:p>
        </w:tc>
      </w:tr>
      <w:tr>
        <w:trPr>
          <w:trHeight w:val="210"/>
        </w:trPr>
        <w:tc>
          <w:tcPr>
            <w:tcW w:w="93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2,516</w:t>
            </w:r>
          </w:p>
        </w:tc>
        <w:tc>
          <w:tcPr>
            <w:tcW w:w="3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2,589</w:t>
            </w:r>
          </w:p>
        </w:tc>
        <w:tc>
          <w:tcPr>
            <w:tcW w:w="60" w:type="dxa"/>
            <w:vAlign w:val="bottom"/>
          </w:tcPr>
          <w:p>
            <w:pPr>
              <w:spacing w:after="0"/>
              <w:rPr>
                <w:sz w:val="18"/>
                <w:szCs w:val="18"/>
                <w:color w:val="auto"/>
              </w:rPr>
            </w:pPr>
          </w:p>
        </w:tc>
      </w:tr>
      <w:tr>
        <w:trPr>
          <w:trHeight w:val="203"/>
        </w:trPr>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9"/>
              </w:rPr>
              <w:t>$ 6,261</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$ 5,517</w:t>
            </w:r>
          </w:p>
        </w:tc>
      </w:tr>
      <w:tr>
        <w:trPr>
          <w:trHeight w:val="20"/>
        </w:trPr>
        <w:tc>
          <w:tcPr>
            <w:tcW w:w="9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ind w:left="120" w:right="7620" w:hanging="4"/>
        <w:spacing w:after="0" w:line="381" w:lineRule="auto"/>
        <w:tabs>
          <w:tab w:leader="none" w:pos="66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License and Collaboration Agreements</w:t>
      </w:r>
    </w:p>
    <w:p>
      <w:pPr>
        <w:ind w:left="120" w:right="20" w:firstLine="551"/>
        <w:spacing w:after="0" w:line="242" w:lineRule="auto"/>
        <w:rPr>
          <w:sz w:val="20"/>
          <w:szCs w:val="20"/>
          <w:color w:val="auto"/>
        </w:rPr>
      </w:pPr>
      <w:r>
        <w:rPr>
          <w:rFonts w:ascii="Arial" w:cs="Arial" w:eastAsia="Arial" w:hAnsi="Arial"/>
          <w:sz w:val="18"/>
          <w:szCs w:val="18"/>
          <w:color w:val="auto"/>
        </w:rPr>
        <w:t>The Company has entered into various license agreements for certain technology. The Company is obligated to pay annual maintenance payments from zero to $40,000 per year to certain of the licensors, which will be recognized as research and development expense. The Company could be required to make clinical development and regulatory milestones of up to $3.5 million and low single-digit royalty payments to licensors based on the net sales of the licensed products. To date, the Company has incurred $0.1 million upfront and milestone payments under these agreements. The Company may cancel these agreements at any time by providing 30 to 90 days’ notice to the other party.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2"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In connection with the IFM acquisition, the Company is required to make future payments to the shareholders of IFM based on the occurrence of certain development, commercial, regulatory and sales milestones described above.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In connection with the Rahko acquisition, the Company has a contingent payment obligation to the shareholders of Rahko upon the occurrence of certain qualifying events. No qualifying event has occurred as of December 31, 2023.</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2" w:lineRule="exact"/>
        <w:rPr>
          <w:sz w:val="20"/>
          <w:szCs w:val="20"/>
          <w:color w:val="auto"/>
        </w:rPr>
      </w:pPr>
    </w:p>
    <w:p>
      <w:pPr>
        <w:jc w:val="both"/>
        <w:ind w:left="120" w:right="140" w:firstLine="551"/>
        <w:spacing w:after="0" w:line="253"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spacing w:after="0" w:line="317" w:lineRule="exact"/>
        <w:rPr>
          <w:sz w:val="20"/>
          <w:szCs w:val="20"/>
          <w:color w:val="auto"/>
        </w:rPr>
      </w:pPr>
    </w:p>
    <w:p>
      <w:pPr>
        <w:ind w:left="660" w:hanging="544"/>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04"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w:t>
      </w:r>
    </w:p>
    <w:p>
      <w:pPr>
        <w:spacing w:after="0" w:line="322" w:lineRule="exact"/>
        <w:rPr>
          <w:sz w:val="20"/>
          <w:szCs w:val="20"/>
          <w:color w:val="auto"/>
        </w:rPr>
      </w:pPr>
    </w:p>
    <w:p>
      <w:pPr>
        <w:ind w:left="660" w:hanging="544"/>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loss before income taxes: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415"/>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(126,831)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(125,505)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1,340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300" w:type="dxa"/>
            <w:vAlign w:val="bottom"/>
            <w:gridSpan w:val="6"/>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5"/>
              </w:rPr>
              <w:t>   (125,491)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      (124,318)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540"/>
              <w:spacing w:after="0"/>
              <w:rPr>
                <w:sz w:val="20"/>
                <w:szCs w:val="20"/>
                <w:color w:val="auto"/>
              </w:rPr>
            </w:pPr>
            <w:r>
              <w:rPr>
                <w:rFonts w:ascii="Arial" w:cs="Arial" w:eastAsia="Arial" w:hAnsi="Arial"/>
                <w:sz w:val="18"/>
                <w:szCs w:val="18"/>
                <w:color w:val="auto"/>
              </w:rPr>
              <w:t>The income tax provision (benefit) are as follows:</w:t>
            </w: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1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6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5"/>
                <w:szCs w:val="5"/>
                <w:b w:val="1"/>
                <w:bCs w:val="1"/>
                <w:color w:val="auto"/>
                <w:w w:val="79"/>
              </w:rPr>
              <w:t> </w:t>
            </w:r>
          </w:p>
        </w:tc>
        <w:tc>
          <w:tcPr>
            <w:tcW w:w="880" w:type="dxa"/>
            <w:vAlign w:val="bottom"/>
            <w:tcBorders>
              <w:top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b w:val="1"/>
                <w:bCs w:val="1"/>
                <w:color w:val="auto"/>
                <w:w w:val="79"/>
              </w:rPr>
              <w:t>2023 </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w w:val="85"/>
              </w:rPr>
              <w:t> </w:t>
            </w:r>
          </w:p>
        </w:tc>
        <w:tc>
          <w:tcPr>
            <w:tcW w:w="560" w:type="dxa"/>
            <w:vAlign w:val="bottom"/>
            <w:tcBorders>
              <w:top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75"/>
              </w:rPr>
              <w:t>2022 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Current income tax provision:</w:t>
            </w:r>
          </w:p>
        </w:tc>
        <w:tc>
          <w:tcPr>
            <w:tcW w:w="17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U.S. state</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6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Deferred income tax provision:</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Total tax provision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xml:space="preserve">$  </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447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xml:space="preserve">$  </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 is subject to taxation in the U.S and in various state, local and foreign jurisdictions. The Company’s tax returns for years 2021 through present are open to tax examinations by U.S. federal, state, local and foreign tax authorities. For federal, state, local and foreign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 is recorded when it is more likely than not that some portion or all of the deferred tax assets will not be realized. As of December 31, 2023 and 2022, the Company performed an evaluation to determine whether a valuation allowance was needed. The Company considered all available evidence, both positive and negative, which included the results of operations for the current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5"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and preceding years. The Company determined that it was more likely than not that the deferred tax assets in the U.S. and at Odyssey Therapeutics UK Limited will not be realized. Accordingly, the Company recorded a valuation allowance of $82.5 million and $36.9 million as of December 31, 2023 and 2022, respectively.</w:t>
      </w:r>
    </w:p>
    <w:p>
      <w:pPr>
        <w:spacing w:after="0" w:line="169"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The tax positions taken or expected to be taken in the course of preparing the Company tax returns are required to be evaluated to determine whether the tax positions are “more-likely-than-not” of being sustained by the applicable tax authority. Tax positions not deemed to meet a more-likely-than-not threshold would be recorded as a tax expense in the current year. There were no uncertain tax positions that require accrual or disclosure in the consolidated financial statements as of December 31, 2023 and 2022.</w:t>
      </w:r>
    </w:p>
    <w:p>
      <w:pPr>
        <w:spacing w:after="0" w:line="174"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color w:val="auto"/>
        </w:rPr>
        <w:t>A reconciliation of income tax expense computed at the statutory federal income tax rate and statutory federal income tax rate to the income tax provision included in the accompanying consolidated statements of operations and comprehensive loss for the Company and effective income tax rate is as follows: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20" w:type="dxa"/>
            <w:vAlign w:val="bottom"/>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4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 at the statutory federal income tax rate</w:t>
            </w:r>
          </w:p>
        </w:tc>
        <w:tc>
          <w:tcPr>
            <w:tcW w:w="9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21.0%</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9.9%</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non-U.S. earnings</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-36.3%</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stock-based compensation</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-0.6%</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-0.1%</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GILTI inclusion</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Return to provision true-up</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0.9%</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Income tax provision and effective income tax rate</w:t>
            </w: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vMerge w:val="continue"/>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firstLine="551"/>
        <w:spacing w:after="0" w:line="271" w:lineRule="auto"/>
        <w:rPr>
          <w:sz w:val="20"/>
          <w:szCs w:val="20"/>
          <w:color w:val="auto"/>
        </w:rPr>
      </w:pPr>
      <w:r>
        <w:rPr>
          <w:rFonts w:ascii="Arial" w:cs="Arial" w:eastAsia="Arial" w:hAnsi="Arial"/>
          <w:sz w:val="18"/>
          <w:szCs w:val="18"/>
          <w:color w:val="auto"/>
        </w:rPr>
        <w:t>The effective income tax rate differs from the U.S. federal statutory rate of 21.0% primarily due to state income taxes, research and development credits, and the valuation allowance maintained against the Company’s net deferred tax assets.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change in its valuation allowance account with respect to deferred tax assets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0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0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 xml:space="preserve">2023    </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 xml:space="preserve">   </w:t>
            </w:r>
          </w:p>
        </w:tc>
        <w:tc>
          <w:tcPr>
            <w:tcW w:w="64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 xml:space="preserve">2022    </w:t>
            </w:r>
          </w:p>
        </w:tc>
        <w:tc>
          <w:tcPr>
            <w:tcW w:w="120" w:type="dxa"/>
            <w:vAlign w:val="bottom"/>
          </w:tcPr>
          <w:p>
            <w:pPr>
              <w:spacing w:after="0"/>
              <w:rPr>
                <w:sz w:val="13"/>
                <w:szCs w:val="13"/>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89"/>
              </w:rPr>
              <w:t>(36,918)</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center"/>
              <w:ind w:left="247"/>
              <w:spacing w:after="0" w:line="196" w:lineRule="exact"/>
              <w:rPr>
                <w:sz w:val="20"/>
                <w:szCs w:val="20"/>
                <w:color w:val="auto"/>
              </w:rPr>
            </w:pPr>
            <w:r>
              <w:rPr>
                <w:rFonts w:ascii="Arial" w:cs="Arial" w:eastAsia="Arial" w:hAnsi="Arial"/>
                <w:sz w:val="18"/>
                <w:szCs w:val="18"/>
                <w:color w:val="auto"/>
                <w:w w:val="88"/>
              </w:rPr>
              <w:t>— </w:t>
            </w:r>
          </w:p>
        </w:tc>
        <w:tc>
          <w:tcPr>
            <w:tcW w:w="120" w:type="dxa"/>
            <w:vAlign w:val="bottom"/>
            <w:tcBorders>
              <w:top w:val="single" w:sz="8" w:color="CCEEFF"/>
            </w:tcBorders>
            <w:shd w:val="clear" w:color="auto" w:fill="CCEEFF"/>
          </w:tcPr>
          <w:p>
            <w:pPr>
              <w:spacing w:after="0"/>
              <w:rPr>
                <w:sz w:val="17"/>
                <w:szCs w:val="17"/>
                <w:color w:val="auto"/>
              </w:rPr>
            </w:pPr>
          </w:p>
        </w:tc>
      </w:tr>
      <w:tr>
        <w:trPr>
          <w:trHeight w:val="184"/>
        </w:trPr>
        <w:tc>
          <w:tcPr>
            <w:tcW w:w="5060" w:type="dxa"/>
            <w:vAlign w:val="bottom"/>
          </w:tcPr>
          <w:p>
            <w:pPr>
              <w:spacing w:after="0" w:line="183" w:lineRule="exact"/>
              <w:rPr>
                <w:sz w:val="20"/>
                <w:szCs w:val="20"/>
                <w:color w:val="auto"/>
              </w:rPr>
            </w:pPr>
            <w:r>
              <w:rPr>
                <w:rFonts w:ascii="Arial" w:cs="Arial" w:eastAsia="Arial" w:hAnsi="Arial"/>
                <w:sz w:val="18"/>
                <w:szCs w:val="18"/>
                <w:color w:val="auto"/>
              </w:rPr>
              <w:t>Additions</w:t>
            </w:r>
          </w:p>
        </w:tc>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460"/>
              <w:spacing w:after="0" w:line="183"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left="127"/>
              <w:spacing w:after="0"/>
              <w:rPr>
                <w:sz w:val="20"/>
                <w:szCs w:val="20"/>
                <w:color w:val="auto"/>
              </w:rPr>
            </w:pPr>
            <w:r>
              <w:rPr>
                <w:rFonts w:ascii="Arial" w:cs="Arial" w:eastAsia="Arial" w:hAnsi="Arial"/>
                <w:sz w:val="4"/>
                <w:szCs w:val="4"/>
                <w:color w:val="auto"/>
                <w:w w:val="98"/>
              </w:rPr>
              <w:t> </w:t>
            </w:r>
          </w:p>
        </w:tc>
      </w:tr>
      <w:tr>
        <w:trPr>
          <w:trHeight w:val="221"/>
        </w:trPr>
        <w:tc>
          <w:tcPr>
            <w:tcW w:w="5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(45,586)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(36,918)</w:t>
            </w:r>
          </w:p>
        </w:tc>
      </w:tr>
      <w:tr>
        <w:trPr>
          <w:trHeight w:val="27"/>
        </w:trPr>
        <w:tc>
          <w:tcPr>
            <w:tcW w:w="5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5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(82,504)</w:t>
            </w:r>
          </w:p>
        </w:tc>
        <w:tc>
          <w:tcPr>
            <w:tcW w:w="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(36,918)</w:t>
            </w:r>
          </w:p>
        </w:tc>
      </w:tr>
      <w:tr>
        <w:trPr>
          <w:trHeight w:val="20"/>
        </w:trPr>
        <w:tc>
          <w:tcPr>
            <w:tcW w:w="5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551"/>
        <w:spacing w:after="0" w:line="301" w:lineRule="auto"/>
        <w:rPr>
          <w:sz w:val="20"/>
          <w:szCs w:val="20"/>
          <w:color w:val="auto"/>
        </w:rPr>
      </w:pPr>
      <w:r>
        <w:rPr>
          <w:rFonts w:ascii="Arial" w:cs="Arial" w:eastAsia="Arial" w:hAnsi="Arial"/>
          <w:sz w:val="17"/>
          <w:szCs w:val="17"/>
          <w:color w:val="auto"/>
        </w:rPr>
        <w:t>The valuation allowance increased during the year ended December 31, 2023 primarily as a result of the U.S. operating losses incurred and an increase in the deferred tax asset related to capitalized research and development costs, and tax credits generated.</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9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83"/>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15,019</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10,987</w:t>
            </w:r>
          </w:p>
        </w:tc>
      </w:tr>
      <w:tr>
        <w:trPr>
          <w:trHeight w:val="202"/>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 carryforwards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10,872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3,342</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Capitalized research and development costs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52,142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19,489</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1,415</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633</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254</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426</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liability</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8,666</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Other temporary differences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deferred tax assets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91,830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45,320</w:t>
            </w:r>
          </w:p>
        </w:tc>
      </w:tr>
      <w:tr>
        <w:trPr>
          <w:trHeight w:val="217"/>
        </w:trPr>
        <w:tc>
          <w:tcPr>
            <w:tcW w:w="89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(82,504)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(36,918)</w:t>
            </w:r>
          </w:p>
        </w:tc>
        <w:tc>
          <w:tcPr>
            <w:tcW w:w="120" w:type="dxa"/>
            <w:vAlign w:val="bottom"/>
          </w:tcPr>
          <w:p>
            <w:pPr>
              <w:spacing w:after="0"/>
              <w:rPr>
                <w:sz w:val="18"/>
                <w:szCs w:val="18"/>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deferred tax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9,326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8,402</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(8,016)</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Other deferred tax liabilities</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r>
      <w:tr>
        <w:trPr>
          <w:trHeight w:val="27"/>
        </w:trPr>
        <w:tc>
          <w:tcPr>
            <w:tcW w:w="8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deferred tax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(9,326)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(8,372)</w:t>
            </w:r>
          </w:p>
        </w:tc>
      </w:tr>
      <w:tr>
        <w:trPr>
          <w:trHeight w:val="210"/>
        </w:trPr>
        <w:tc>
          <w:tcPr>
            <w:tcW w:w="8980" w:type="dxa"/>
            <w:vAlign w:val="bottom"/>
          </w:tcPr>
          <w:p>
            <w:pPr>
              <w:spacing w:after="0"/>
              <w:rPr>
                <w:sz w:val="20"/>
                <w:szCs w:val="20"/>
                <w:color w:val="auto"/>
              </w:rPr>
            </w:pPr>
            <w:r>
              <w:rPr>
                <w:rFonts w:ascii="Arial" w:cs="Arial" w:eastAsia="Arial" w:hAnsi="Arial"/>
                <w:sz w:val="18"/>
                <w:szCs w:val="18"/>
                <w:b w:val="1"/>
                <w:bCs w:val="1"/>
                <w:color w:val="auto"/>
              </w:rPr>
              <w:t>Total net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The Tax Cuts and Jobs Act of 2017 requires taxpayers to capitalize and amortize, rather than deduct, research and development expenditures under Section 174 for tax years beginning after December 31, 2021. These rules became effective for the Company during the year ended December 31, 2022. As a result, the Company has capitalized research and development costs of $128.7 million and $94.6 million for the years ended December 31, 2023 and December 31, 2022, respectively. The Company will amortize these costs for tax purposes over 5 years if the research and development was performed in the U.S. and over 15 years if the research and development was performed outside the U.S.</w:t>
      </w:r>
    </w:p>
    <w:p>
      <w:pPr>
        <w:spacing w:after="0" w:line="179"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Through December 31, 2023, for income tax reporting purposes, the Company had U.S. federal net operating loss carryforwards of approximately $57.7 million and research and development credits of approximately $8.4 million that can be carried forward and offset against taxable income. For state purposes, the Company had state net operating loss carryforwards of approximately $44.5 million and research and development credits of approximately $3.2 million, that can be carried forward and offset against taxable income. Federal net operating losses can be carried forward indefinitely and can be utilized to offset taxable income subject to an 80% taxable income limitation. Federal research and development credits of $ 8.4 million can be carried forward 20 years and begin to expire in 2043. State net operating losses of $44.5 million begin to expire in 2043. State research and development credits of $3.2 million begin to expire in 2038. The Company has net operating loss carryforwards in the United Kingdom of $0.3 million which can be carried forward indefinitely. Utilization of net operating losses and credits may be subject to substantial annual limitations due to the “change in ownership” provisions of the Internal Revenue Code of 1986, and similar state provisions. The annual limitations may result in the expiration of net operating losses before utilization.</w:t>
      </w:r>
    </w:p>
    <w:p>
      <w:pPr>
        <w:spacing w:after="0" w:line="186"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net operating loss carryforwards and other pre-change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tax attributes to offset its post-change income may be limited. The Company has not completed a study to assess whether an “ownership change” has occurred or whether there have been multiple ownership changes since we became a “loss corporation” as defined in Section 382. Future changes in the Company’s stock ownership, which may be outside of the Company’s control, may trigger an “ownership change.” In addition, future equity offerings or acquisitions that have equity as a component of the purchase price could result in an “ownership change.” If an “ownership change” has occurred or does occur in the future, utilization of the net operating loss carryforwards or other tax attributes may be limited, which could potentially result in increased future tax liability to the Company. In addition, at the state level, there may be periods during which the use of net operating loss carryforwards is suspended or otherwise limited, which could accelerate or permanently increase the Company’s state taxes owed. As a result, even if profitability is attained, the Company may be unable to use all or a material portion of the net operating loss carryforwards and other tax attributes, which could adversely affect future cash flows.</w:t>
      </w:r>
    </w:p>
    <w:p>
      <w:pPr>
        <w:spacing w:after="0" w:line="180"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color w:val="auto"/>
        </w:rPr>
        <w:t>The Company has not provided for deferred income taxes on the undistributed earnings of foreign subsidiaries. The amount the Company would expect to repatriate is based on a variety of factors including current year earnings of the foreign subsidiaries, foreign investment needs, and U.S. cash flow considerations. The Company considers the remaining undistributed foreign earnings that are not specifically identified to be indefinitely reinvested. As of December 31, 2023, the Company does not accrue taxes of foreign earnings which remain indefinitely reinvested outside the U.S.</w:t>
      </w:r>
    </w:p>
    <w:p>
      <w:pPr>
        <w:spacing w:after="0" w:line="325" w:lineRule="exact"/>
        <w:rPr>
          <w:sz w:val="20"/>
          <w:szCs w:val="20"/>
          <w:color w:val="auto"/>
        </w:rPr>
      </w:pPr>
    </w:p>
    <w:p>
      <w:pPr>
        <w:ind w:left="660" w:hanging="544"/>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4"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 (in thousands, except share and per share amounts):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6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(125,938)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(124,665)</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Deemed dividend upon convertible preferred stock down round adjustment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(4,982)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8600" w:type="dxa"/>
            <w:vAlign w:val="bottom"/>
          </w:tcPr>
          <w:p>
            <w:pPr>
              <w:ind w:left="7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(130,920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line="183" w:lineRule="exact"/>
              <w:rPr>
                <w:sz w:val="20"/>
                <w:szCs w:val="20"/>
                <w:color w:val="auto"/>
              </w:rPr>
            </w:pPr>
            <w:r>
              <w:rPr>
                <w:rFonts w:ascii="Arial" w:cs="Arial" w:eastAsia="Arial" w:hAnsi="Arial"/>
                <w:sz w:val="18"/>
                <w:szCs w:val="18"/>
                <w:color w:val="auto"/>
              </w:rPr>
              <w:t>Weighted-average number of shares used in computing net loss, basic and diluted per share—basic</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60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20" w:type="dxa"/>
            <w:vAlign w:val="bottom"/>
          </w:tcPr>
          <w:p>
            <w:pPr>
              <w:spacing w:after="0"/>
              <w:rPr>
                <w:sz w:val="19"/>
                <w:szCs w:val="19"/>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w w:val="97"/>
              </w:rPr>
              <w:t>6,296,641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4,351,269</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1"/>
              <w:spacing w:after="0" w:line="196" w:lineRule="exact"/>
              <w:rPr>
                <w:sz w:val="20"/>
                <w:szCs w:val="20"/>
                <w:color w:val="auto"/>
              </w:rPr>
            </w:pPr>
            <w:r>
              <w:rPr>
                <w:rFonts w:ascii="Arial" w:cs="Arial" w:eastAsia="Arial" w:hAnsi="Arial"/>
                <w:sz w:val="18"/>
                <w:szCs w:val="18"/>
                <w:color w:val="auto"/>
              </w:rPr>
              <w:t>(20.79)</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5320"/>
              <w:spacing w:after="0"/>
              <w:rPr>
                <w:sz w:val="20"/>
                <w:szCs w:val="20"/>
                <w:color w:val="auto"/>
              </w:rPr>
            </w:pPr>
            <w:r>
              <w:rPr>
                <w:rFonts w:ascii="Arial" w:cs="Arial" w:eastAsia="Arial" w:hAnsi="Arial"/>
                <w:sz w:val="18"/>
                <w:szCs w:val="18"/>
                <w:color w:val="auto"/>
              </w:rPr>
              <w:t>F-37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attributable to common stockholders, as their effect is antidilutive: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6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6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3"/>
                <w:szCs w:val="13"/>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11,017,701</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10,539,347</w:t>
            </w:r>
          </w:p>
        </w:tc>
        <w:tc>
          <w:tcPr>
            <w:tcW w:w="8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1,602,520</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3,027,841</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convertible preferred stock (as converted to common stock)</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30,039,874</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30,039,874</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Series A-1 convertible preferred stock (as converted to common stock)</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7,776,904</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7,575,753</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A-2 convertible preferred stock (as converted to common stock)</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8,065,324</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7,799,055</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Series B convertible preferred stock (as converted to common stock)</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27,613,212</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26,601,360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convertible preferred stock (as converted to common stock)</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19,426,000</w:t>
            </w: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Series A-2 warrants (as converted to common stock)</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16,803</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16,248</w:t>
            </w:r>
          </w:p>
        </w:tc>
      </w:tr>
      <w:tr>
        <w:trPr>
          <w:trHeight w:val="27"/>
        </w:trPr>
        <w:tc>
          <w:tcPr>
            <w:tcW w:w="8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105,558,338</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85,599,478</w:t>
            </w:r>
          </w:p>
        </w:tc>
      </w:tr>
      <w:tr>
        <w:trPr>
          <w:trHeight w:val="20"/>
        </w:trPr>
        <w:tc>
          <w:tcPr>
            <w:tcW w:w="8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9" w:lineRule="exact"/>
        <w:rPr>
          <w:sz w:val="20"/>
          <w:szCs w:val="20"/>
          <w:color w:val="auto"/>
        </w:rPr>
      </w:pPr>
    </w:p>
    <w:p>
      <w:pPr>
        <w:ind w:left="660" w:hanging="544"/>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The Company’s CEO is the Chairman of IFM Therapeutics, LLC’s board of directors. In May 2022, the Company acquired all of the membership interests in IFM (see Note 13), which did not include IFM Therapeutics, LLC. The acquisition was conducted in the normal course of business on an arm’s length basis with the Company’s CEO recusing himself from all transaction negotiations. The Company has incurred laboratory supplies and facility-related costs related to the IFM acquisition of $0.3 million for the years ended December 31, 2023 and 2022. There was zero and $0.1 million related to the IFM acquisition in accounts payable and accrued expenses as of December 31, 2023 and 2022, respectively.</w:t>
      </w:r>
    </w:p>
    <w:p>
      <w:pPr>
        <w:spacing w:after="0" w:line="327" w:lineRule="exact"/>
        <w:rPr>
          <w:sz w:val="20"/>
          <w:szCs w:val="20"/>
          <w:color w:val="auto"/>
        </w:rPr>
      </w:pPr>
    </w:p>
    <w:p>
      <w:pPr>
        <w:ind w:left="660" w:hanging="544"/>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sz w:val="20"/>
          <w:szCs w:val="20"/>
          <w:color w:val="auto"/>
        </w:rPr>
      </w:pPr>
    </w:p>
    <w:p>
      <w:pPr>
        <w:jc w:val="both"/>
        <w:ind w:left="120" w:right="200" w:firstLine="551"/>
        <w:spacing w:after="0" w:line="253" w:lineRule="auto"/>
        <w:rPr>
          <w:sz w:val="20"/>
          <w:szCs w:val="20"/>
          <w:color w:val="auto"/>
        </w:rPr>
      </w:pPr>
      <w:r>
        <w:rPr>
          <w:rFonts w:ascii="Arial" w:cs="Arial" w:eastAsia="Arial" w:hAnsi="Arial"/>
          <w:sz w:val="18"/>
          <w:szCs w:val="18"/>
          <w:color w:val="auto"/>
        </w:rPr>
        <w:t>The Company has evaluated subsequent events through October 4, 2024, the date these consolidated financial statements were available to be issued. There were no subsequent events that require adjustments to or disclosure in the financial statements, except for the following: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J&amp;J Strategic Collaboration, Option, and License Agreement</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On March 29, 2024, the Company entered into a strategic collaboration, option and license agreement with Janssen Pharmaceutica NV, a Johnson &amp; Johnson company (“J&amp;J”) to jointly discover and optimize small molecule medicines against select therapeutic targets using the Company’s artificial intelligence and machine learning capabilities. The Company received a one-time, nonrefundable upfront payment of $6.5 million, and may be eligible to receive additional payments of approximately $839.0 million based on the achievement of research, development, commercialization approval and sales milestones and the option exercise described in the agreement. In the event of commercialization by J&amp;J of certain products arising from the collaboration, the Company is also eligible to receive tiered royalties based on low to mid-single digits on future net sales (subject to certain deductions).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Terray Collaboration Agreement</w:t>
      </w:r>
    </w:p>
    <w:p>
      <w:pPr>
        <w:spacing w:after="0" w:line="102" w:lineRule="exact"/>
        <w:rPr>
          <w:sz w:val="20"/>
          <w:szCs w:val="20"/>
          <w:color w:val="auto"/>
        </w:rPr>
      </w:pPr>
    </w:p>
    <w:p>
      <w:pPr>
        <w:ind w:left="120" w:right="280" w:firstLine="551"/>
        <w:spacing w:after="0" w:line="242" w:lineRule="auto"/>
        <w:rPr>
          <w:sz w:val="20"/>
          <w:szCs w:val="20"/>
          <w:color w:val="auto"/>
        </w:rPr>
      </w:pPr>
      <w:r>
        <w:rPr>
          <w:rFonts w:ascii="Arial" w:cs="Arial" w:eastAsia="Arial" w:hAnsi="Arial"/>
          <w:sz w:val="18"/>
          <w:szCs w:val="18"/>
          <w:color w:val="auto"/>
        </w:rPr>
        <w:t>On September 11, 2024, the Company entered into a collaboration and license agreement with Terray Therapeutics, Inc. (the “Terray Agreement”) in which the Company and Terray granted to each other certain royalty-free, fully paid-up, co-exclusive licenses in order to collaborate to discover, develop, and commercialize or out-license products directed to IRF5 under a profit and loss share arrangement. The activities performed under the Terray Agreement are governed by a joint steering committee, made up of two employees designated by each party. No upfront payments were made upon the execution of the Terray Agreement in consideration for the grant of the licenses.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02"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Since December 31, 2023, the Company has sold 4,016,000 shares of Series C convertible preferred stock for total proceeds of $20.1 million (see Note 12).</w:t>
      </w:r>
    </w:p>
    <w:p>
      <w:pPr>
        <w:spacing w:after="0" w:line="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820"/>
          </w:cols>
          <w:pgMar w:left="320" w:top="455" w:right="7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2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39,435</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52,545</w:t>
            </w:r>
          </w:p>
        </w:tc>
        <w:tc>
          <w:tcPr>
            <w:tcW w:w="0" w:type="dxa"/>
            <w:vAlign w:val="bottom"/>
          </w:tcPr>
          <w:p>
            <w:pPr>
              <w:spacing w:after="0"/>
              <w:rPr>
                <w:sz w:val="1"/>
                <w:szCs w:val="1"/>
                <w:color w:val="auto"/>
              </w:rPr>
            </w:pPr>
          </w:p>
        </w:tc>
      </w:tr>
      <w:tr>
        <w:trPr>
          <w:trHeight w:val="189"/>
        </w:trPr>
        <w:tc>
          <w:tcPr>
            <w:tcW w:w="8260" w:type="dxa"/>
            <w:vAlign w:val="bottom"/>
          </w:tcPr>
          <w:p>
            <w:pPr>
              <w:ind w:left="320"/>
              <w:spacing w:after="0"/>
              <w:rPr>
                <w:sz w:val="20"/>
                <w:szCs w:val="20"/>
                <w:color w:val="auto"/>
              </w:rPr>
            </w:pPr>
            <w:r>
              <w:rPr>
                <w:rFonts w:ascii="Arial" w:cs="Arial" w:eastAsia="Arial" w:hAnsi="Arial"/>
                <w:sz w:val="16"/>
                <w:szCs w:val="16"/>
                <w:color w:val="auto"/>
              </w:rPr>
              <w:t>Short-term marketable securities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115,469</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134,452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4,929</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5,539</w:t>
            </w:r>
          </w:p>
        </w:tc>
        <w:tc>
          <w:tcPr>
            <w:tcW w:w="0" w:type="dxa"/>
            <w:vAlign w:val="bottom"/>
          </w:tcPr>
          <w:p>
            <w:pPr>
              <w:spacing w:after="0"/>
              <w:rPr>
                <w:sz w:val="1"/>
                <w:szCs w:val="1"/>
                <w:color w:val="auto"/>
              </w:rPr>
            </w:pPr>
          </w:p>
        </w:tc>
      </w:tr>
      <w:tr>
        <w:trPr>
          <w:trHeight w:val="196"/>
        </w:trPr>
        <w:tc>
          <w:tcPr>
            <w:tcW w:w="826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159,833</w:t>
            </w:r>
          </w:p>
        </w:tc>
        <w:tc>
          <w:tcPr>
            <w:tcW w:w="7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192,536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12,863</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15,976</w:t>
            </w:r>
          </w:p>
        </w:tc>
        <w:tc>
          <w:tcPr>
            <w:tcW w:w="0" w:type="dxa"/>
            <w:vAlign w:val="bottom"/>
          </w:tcPr>
          <w:p>
            <w:pPr>
              <w:spacing w:after="0"/>
              <w:rPr>
                <w:sz w:val="1"/>
                <w:szCs w:val="1"/>
                <w:color w:val="auto"/>
              </w:rPr>
            </w:pPr>
          </w:p>
        </w:tc>
      </w:tr>
      <w:tr>
        <w:trPr>
          <w:trHeight w:val="189"/>
        </w:trPr>
        <w:tc>
          <w:tcPr>
            <w:tcW w:w="8260" w:type="dxa"/>
            <w:vAlign w:val="bottom"/>
          </w:tcPr>
          <w:p>
            <w:pPr>
              <w:spacing w:after="0"/>
              <w:rPr>
                <w:sz w:val="20"/>
                <w:szCs w:val="20"/>
                <w:color w:val="auto"/>
              </w:rPr>
            </w:pPr>
            <w:r>
              <w:rPr>
                <w:rFonts w:ascii="Arial" w:cs="Arial" w:eastAsia="Arial" w:hAnsi="Arial"/>
                <w:sz w:val="16"/>
                <w:szCs w:val="16"/>
                <w:color w:val="auto"/>
              </w:rPr>
              <w:t>Right-of-use assets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28,406</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30,757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14,253</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13,554</w:t>
            </w:r>
          </w:p>
        </w:tc>
        <w:tc>
          <w:tcPr>
            <w:tcW w:w="0" w:type="dxa"/>
            <w:vAlign w:val="bottom"/>
          </w:tcPr>
          <w:p>
            <w:pPr>
              <w:spacing w:after="0"/>
              <w:rPr>
                <w:sz w:val="1"/>
                <w:szCs w:val="1"/>
                <w:color w:val="auto"/>
              </w:rPr>
            </w:pPr>
          </w:p>
        </w:tc>
      </w:tr>
      <w:tr>
        <w:trPr>
          <w:trHeight w:val="189"/>
        </w:trPr>
        <w:tc>
          <w:tcPr>
            <w:tcW w:w="8260" w:type="dxa"/>
            <w:vAlign w:val="bottom"/>
          </w:tcPr>
          <w:p>
            <w:pPr>
              <w:spacing w:after="0"/>
              <w:rPr>
                <w:sz w:val="20"/>
                <w:szCs w:val="20"/>
                <w:color w:val="auto"/>
              </w:rPr>
            </w:pPr>
            <w:r>
              <w:rPr>
                <w:rFonts w:ascii="Arial" w:cs="Arial" w:eastAsia="Arial" w:hAnsi="Arial"/>
                <w:sz w:val="16"/>
                <w:szCs w:val="16"/>
                <w:color w:val="auto"/>
              </w:rPr>
              <w:t>Intangible asset</w:t>
            </w:r>
          </w:p>
        </w:tc>
        <w:tc>
          <w:tcPr>
            <w:tcW w:w="200" w:type="dxa"/>
            <w:vAlign w:val="bottom"/>
          </w:tcPr>
          <w:p>
            <w:pPr>
              <w:spacing w:after="0"/>
              <w:rPr>
                <w:sz w:val="16"/>
                <w:szCs w:val="16"/>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6"/>
                <w:szCs w:val="16"/>
                <w:color w:val="auto"/>
              </w:rPr>
              <w:t>696</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Long-term marketable securities</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29,102</w:t>
            </w:r>
          </w:p>
        </w:tc>
        <w:tc>
          <w:tcPr>
            <w:tcW w:w="0" w:type="dxa"/>
            <w:vAlign w:val="bottom"/>
          </w:tcPr>
          <w:p>
            <w:pPr>
              <w:spacing w:after="0"/>
              <w:rPr>
                <w:sz w:val="1"/>
                <w:szCs w:val="1"/>
                <w:color w:val="auto"/>
              </w:rPr>
            </w:pPr>
          </w:p>
        </w:tc>
      </w:tr>
      <w:tr>
        <w:trPr>
          <w:trHeight w:val="189"/>
        </w:trPr>
        <w:tc>
          <w:tcPr>
            <w:tcW w:w="82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16"/>
                <w:szCs w:val="16"/>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6"/>
                <w:szCs w:val="16"/>
                <w:color w:val="auto"/>
              </w:rPr>
              <w:t>5,484</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221,535</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286,521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6"/>
                <w:szCs w:val="16"/>
                <w:color w:val="auto"/>
              </w:rPr>
              <w:t>5,325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7,729</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15,329</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10,501</w:t>
            </w:r>
          </w:p>
        </w:tc>
        <w:tc>
          <w:tcPr>
            <w:tcW w:w="0" w:type="dxa"/>
            <w:vAlign w:val="bottom"/>
          </w:tcPr>
          <w:p>
            <w:pPr>
              <w:spacing w:after="0"/>
              <w:rPr>
                <w:sz w:val="1"/>
                <w:szCs w:val="1"/>
                <w:color w:val="auto"/>
              </w:rPr>
            </w:pPr>
          </w:p>
        </w:tc>
      </w:tr>
      <w:tr>
        <w:trPr>
          <w:trHeight w:val="189"/>
        </w:trPr>
        <w:tc>
          <w:tcPr>
            <w:tcW w:w="8260" w:type="dxa"/>
            <w:vAlign w:val="bottom"/>
          </w:tcPr>
          <w:p>
            <w:pPr>
              <w:ind w:left="320"/>
              <w:spacing w:after="0"/>
              <w:rPr>
                <w:sz w:val="20"/>
                <w:szCs w:val="20"/>
                <w:color w:val="auto"/>
              </w:rPr>
            </w:pPr>
            <w:r>
              <w:rPr>
                <w:rFonts w:ascii="Arial" w:cs="Arial" w:eastAsia="Arial" w:hAnsi="Arial"/>
                <w:sz w:val="16"/>
                <w:szCs w:val="16"/>
                <w:color w:val="auto"/>
              </w:rPr>
              <w:t>Lease liabilities, current</w:t>
            </w:r>
          </w:p>
        </w:tc>
        <w:tc>
          <w:tcPr>
            <w:tcW w:w="200" w:type="dxa"/>
            <w:vAlign w:val="bottom"/>
          </w:tcPr>
          <w:p>
            <w:pPr>
              <w:spacing w:after="0"/>
              <w:rPr>
                <w:sz w:val="16"/>
                <w:szCs w:val="16"/>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6"/>
                <w:szCs w:val="16"/>
                <w:color w:val="auto"/>
              </w:rPr>
              <w:t>4,452</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25,106</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22,087</w:t>
            </w:r>
          </w:p>
        </w:tc>
        <w:tc>
          <w:tcPr>
            <w:tcW w:w="0" w:type="dxa"/>
            <w:vAlign w:val="bottom"/>
          </w:tcPr>
          <w:p>
            <w:pPr>
              <w:spacing w:after="0"/>
              <w:rPr>
                <w:sz w:val="1"/>
                <w:szCs w:val="1"/>
                <w:color w:val="auto"/>
              </w:rPr>
            </w:pPr>
          </w:p>
        </w:tc>
      </w:tr>
      <w:tr>
        <w:trPr>
          <w:trHeight w:val="189"/>
        </w:trPr>
        <w:tc>
          <w:tcPr>
            <w:tcW w:w="8260" w:type="dxa"/>
            <w:vAlign w:val="bottom"/>
          </w:tcPr>
          <w:p>
            <w:pPr>
              <w:spacing w:after="0"/>
              <w:rPr>
                <w:sz w:val="20"/>
                <w:szCs w:val="20"/>
                <w:color w:val="auto"/>
              </w:rPr>
            </w:pPr>
            <w:r>
              <w:rPr>
                <w:rFonts w:ascii="Arial" w:cs="Arial" w:eastAsia="Arial" w:hAnsi="Arial"/>
                <w:sz w:val="16"/>
                <w:szCs w:val="16"/>
                <w:color w:val="auto"/>
              </w:rPr>
              <w:t>Contingent consideration and warrant liability</w:t>
            </w:r>
          </w:p>
        </w:tc>
        <w:tc>
          <w:tcPr>
            <w:tcW w:w="200" w:type="dxa"/>
            <w:vAlign w:val="bottom"/>
          </w:tcPr>
          <w:p>
            <w:pPr>
              <w:spacing w:after="0"/>
              <w:rPr>
                <w:sz w:val="16"/>
                <w:szCs w:val="16"/>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6"/>
                <w:szCs w:val="16"/>
                <w:color w:val="auto"/>
              </w:rPr>
              <w:t>9,841</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8,414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non-current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27,642</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30,523</w:t>
            </w:r>
          </w:p>
        </w:tc>
        <w:tc>
          <w:tcPr>
            <w:tcW w:w="0" w:type="dxa"/>
            <w:vAlign w:val="bottom"/>
          </w:tcPr>
          <w:p>
            <w:pPr>
              <w:spacing w:after="0"/>
              <w:rPr>
                <w:sz w:val="1"/>
                <w:szCs w:val="1"/>
                <w:color w:val="auto"/>
              </w:rPr>
            </w:pPr>
          </w:p>
        </w:tc>
      </w:tr>
      <w:tr>
        <w:trPr>
          <w:trHeight w:val="196"/>
        </w:trPr>
        <w:tc>
          <w:tcPr>
            <w:tcW w:w="826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62,589</w:t>
            </w:r>
          </w:p>
        </w:tc>
        <w:tc>
          <w:tcPr>
            <w:tcW w:w="7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(see Note 14)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60" w:type="dxa"/>
            <w:vAlign w:val="bottom"/>
          </w:tcPr>
          <w:p>
            <w:pPr>
              <w:spacing w:after="0" w:line="175" w:lineRule="exact"/>
              <w:rPr>
                <w:sz w:val="20"/>
                <w:szCs w:val="20"/>
                <w:color w:val="auto"/>
              </w:rPr>
            </w:pPr>
            <w:r>
              <w:rPr>
                <w:rFonts w:ascii="Arial" w:cs="Arial" w:eastAsia="Arial" w:hAnsi="Arial"/>
                <w:sz w:val="16"/>
                <w:szCs w:val="16"/>
                <w:color w:val="auto"/>
              </w:rPr>
              <w:t>Series A convertible preferred stock, net of issuance costs, $0.0001 par value: 45,430,930 shares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160"/>
              <w:spacing w:after="0"/>
              <w:rPr>
                <w:sz w:val="20"/>
                <w:szCs w:val="20"/>
                <w:color w:val="auto"/>
              </w:rPr>
            </w:pPr>
            <w:r>
              <w:rPr>
                <w:rFonts w:ascii="Arial" w:cs="Arial" w:eastAsia="Arial" w:hAnsi="Arial"/>
                <w:sz w:val="16"/>
                <w:szCs w:val="16"/>
                <w:color w:val="auto"/>
              </w:rPr>
              <w:t>authorized and 45,414,682 shares issued and outstanding (liquidation preference $224,193)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223,869</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223,869</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Series B convertible preferred stock, net of issuance costs, $0.0001 par value: 26,601,360 shares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 and 26,601,360 shares issued and outstanding (liquidation preference $168,010)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167,765</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167,765</w:t>
            </w:r>
          </w:p>
        </w:tc>
        <w:tc>
          <w:tcPr>
            <w:tcW w:w="0" w:type="dxa"/>
            <w:vAlign w:val="bottom"/>
          </w:tcPr>
          <w:p>
            <w:pPr>
              <w:spacing w:after="0"/>
              <w:rPr>
                <w:sz w:val="1"/>
                <w:szCs w:val="1"/>
                <w:color w:val="auto"/>
              </w:rPr>
            </w:pPr>
          </w:p>
        </w:tc>
      </w:tr>
      <w:tr>
        <w:trPr>
          <w:trHeight w:val="175"/>
        </w:trPr>
        <w:tc>
          <w:tcPr>
            <w:tcW w:w="8260" w:type="dxa"/>
            <w:vAlign w:val="bottom"/>
          </w:tcPr>
          <w:p>
            <w:pPr>
              <w:spacing w:after="0" w:line="175" w:lineRule="exact"/>
              <w:rPr>
                <w:sz w:val="20"/>
                <w:szCs w:val="20"/>
                <w:color w:val="auto"/>
              </w:rPr>
            </w:pPr>
            <w:r>
              <w:rPr>
                <w:rFonts w:ascii="Arial" w:cs="Arial" w:eastAsia="Arial" w:hAnsi="Arial"/>
                <w:sz w:val="16"/>
                <w:szCs w:val="16"/>
                <w:color w:val="auto"/>
              </w:rPr>
              <w:t>Series C convertible preferred stock, net of issuance costs, $0.0001 par value: 24,216,000 shares and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60"/>
              <w:spacing w:after="0"/>
              <w:rPr>
                <w:sz w:val="20"/>
                <w:szCs w:val="20"/>
                <w:color w:val="auto"/>
              </w:rPr>
            </w:pPr>
            <w:r>
              <w:rPr>
                <w:rFonts w:ascii="Arial" w:cs="Arial" w:eastAsia="Arial" w:hAnsi="Arial"/>
                <w:sz w:val="16"/>
                <w:szCs w:val="16"/>
                <w:color w:val="auto"/>
              </w:rPr>
              <w:t>20,200,000 shares authorized as of September 30, 2024 and December 31, 2023, respectively, and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60"/>
              <w:spacing w:after="0"/>
              <w:rPr>
                <w:sz w:val="20"/>
                <w:szCs w:val="20"/>
                <w:color w:val="auto"/>
              </w:rPr>
            </w:pPr>
            <w:r>
              <w:rPr>
                <w:rFonts w:ascii="Arial" w:cs="Arial" w:eastAsia="Arial" w:hAnsi="Arial"/>
                <w:sz w:val="16"/>
                <w:szCs w:val="16"/>
                <w:color w:val="auto"/>
              </w:rPr>
              <w:t>23,442,000 shares and 19,426,000 shares issued and outstanding as of September 30, 2024 and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60"/>
              <w:spacing w:after="0"/>
              <w:rPr>
                <w:sz w:val="20"/>
                <w:szCs w:val="20"/>
                <w:color w:val="auto"/>
              </w:rPr>
            </w:pPr>
            <w:r>
              <w:rPr>
                <w:rFonts w:ascii="Arial" w:cs="Arial" w:eastAsia="Arial" w:hAnsi="Arial"/>
                <w:sz w:val="16"/>
                <w:szCs w:val="16"/>
                <w:color w:val="auto"/>
              </w:rPr>
              <w:t>December 31, 2023, respectively (liquidation preference $117,210 and $97,130 as of September 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160"/>
              <w:spacing w:after="0"/>
              <w:rPr>
                <w:sz w:val="20"/>
                <w:szCs w:val="20"/>
                <w:color w:val="auto"/>
              </w:rPr>
            </w:pPr>
            <w:r>
              <w:rPr>
                <w:rFonts w:ascii="Arial" w:cs="Arial" w:eastAsia="Arial" w:hAnsi="Arial"/>
                <w:sz w:val="16"/>
                <w:szCs w:val="16"/>
                <w:color w:val="auto"/>
              </w:rPr>
              <w:t>2024 and December 31, 2023, respectively)</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116,578</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96,571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20"/>
              <w:spacing w:after="0" w:line="175" w:lineRule="exact"/>
              <w:rPr>
                <w:sz w:val="20"/>
                <w:szCs w:val="20"/>
                <w:color w:val="auto"/>
              </w:rPr>
            </w:pPr>
            <w:r>
              <w:rPr>
                <w:rFonts w:ascii="Arial" w:cs="Arial" w:eastAsia="Arial" w:hAnsi="Arial"/>
                <w:sz w:val="16"/>
                <w:szCs w:val="16"/>
                <w:color w:val="auto"/>
              </w:rPr>
              <w:t>Common stock, $0.0001 par value: 128,667,240 shares and 100,450,000 shares authorized as of</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480"/>
              <w:spacing w:after="0"/>
              <w:rPr>
                <w:sz w:val="20"/>
                <w:szCs w:val="20"/>
                <w:color w:val="auto"/>
              </w:rPr>
            </w:pPr>
            <w:r>
              <w:rPr>
                <w:rFonts w:ascii="Arial" w:cs="Arial" w:eastAsia="Arial" w:hAnsi="Arial"/>
                <w:sz w:val="16"/>
                <w:szCs w:val="16"/>
                <w:color w:val="auto"/>
              </w:rPr>
              <w:t>September 30, 2024 and December 31, 2023, respectively; 8,203,007 shares and 7,124,496 shares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480"/>
              <w:spacing w:after="0"/>
              <w:rPr>
                <w:sz w:val="20"/>
                <w:szCs w:val="20"/>
                <w:color w:val="auto"/>
              </w:rPr>
            </w:pPr>
            <w:r>
              <w:rPr>
                <w:rFonts w:ascii="Arial" w:cs="Arial" w:eastAsia="Arial" w:hAnsi="Arial"/>
                <w:sz w:val="16"/>
                <w:szCs w:val="16"/>
                <w:color w:val="auto"/>
              </w:rPr>
              <w:t>issued and outstanding as of September 30, 2024 and December 31, 2023, respectively</w:t>
            </w:r>
          </w:p>
        </w:tc>
        <w:tc>
          <w:tcPr>
            <w:tcW w:w="200" w:type="dxa"/>
            <w:vAlign w:val="bottom"/>
          </w:tcPr>
          <w:p>
            <w:pPr>
              <w:spacing w:after="0"/>
              <w:rPr>
                <w:sz w:val="17"/>
                <w:szCs w:val="17"/>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33,591</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27,240</w:t>
            </w:r>
          </w:p>
        </w:tc>
        <w:tc>
          <w:tcPr>
            <w:tcW w:w="0" w:type="dxa"/>
            <w:vAlign w:val="bottom"/>
          </w:tcPr>
          <w:p>
            <w:pPr>
              <w:spacing w:after="0"/>
              <w:rPr>
                <w:sz w:val="1"/>
                <w:szCs w:val="1"/>
                <w:color w:val="auto"/>
              </w:rPr>
            </w:pPr>
          </w:p>
        </w:tc>
      </w:tr>
      <w:tr>
        <w:trPr>
          <w:trHeight w:val="189"/>
        </w:trPr>
        <w:tc>
          <w:tcPr>
            <w:tcW w:w="826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6"/>
                <w:szCs w:val="16"/>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6"/>
                <w:szCs w:val="16"/>
                <w:color w:val="auto"/>
              </w:rPr>
              <w:t>(382,656)</w:t>
            </w: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(289,091)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(202)</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03"/>
        </w:trPr>
        <w:tc>
          <w:tcPr>
            <w:tcW w:w="8260" w:type="dxa"/>
            <w:vAlign w:val="bottom"/>
          </w:tcPr>
          <w:p>
            <w:pPr>
              <w:ind w:left="640"/>
              <w:spacing w:after="0"/>
              <w:rPr>
                <w:sz w:val="20"/>
                <w:szCs w:val="20"/>
                <w:color w:val="auto"/>
              </w:rPr>
            </w:pPr>
            <w:r>
              <w:rPr>
                <w:rFonts w:ascii="Arial" w:cs="Arial" w:eastAsia="Arial" w:hAnsi="Arial"/>
                <w:sz w:val="16"/>
                <w:szCs w:val="16"/>
                <w:color w:val="auto"/>
              </w:rPr>
              <w:t>Total stockholders’ deficit</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(349,266)</w:t>
            </w:r>
          </w:p>
        </w:tc>
        <w:tc>
          <w:tcPr>
            <w:tcW w:w="7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(262,708)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221,535</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286,521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8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2,717</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81,100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86,480</w:t>
            </w:r>
          </w:p>
        </w:tc>
        <w:tc>
          <w:tcPr>
            <w:tcW w:w="0" w:type="dxa"/>
            <w:vAlign w:val="bottom"/>
          </w:tcPr>
          <w:p>
            <w:pPr>
              <w:spacing w:after="0"/>
              <w:rPr>
                <w:sz w:val="1"/>
                <w:szCs w:val="1"/>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1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19,719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1,415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7"/>
        </w:trPr>
        <w:tc>
          <w:tcPr>
            <w:tcW w:w="8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(99,517)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(102,546)</w:t>
            </w:r>
          </w:p>
        </w:tc>
        <w:tc>
          <w:tcPr>
            <w:tcW w:w="0" w:type="dxa"/>
            <w:vAlign w:val="bottom"/>
          </w:tcPr>
          <w:p>
            <w:pPr>
              <w:spacing w:after="0"/>
              <w:rPr>
                <w:sz w:val="1"/>
                <w:szCs w:val="1"/>
                <w:color w:val="auto"/>
              </w:rPr>
            </w:pPr>
          </w:p>
        </w:tc>
      </w:tr>
      <w:tr>
        <w:trPr>
          <w:trHeight w:val="209"/>
        </w:trPr>
        <w:tc>
          <w:tcPr>
            <w:tcW w:w="8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6,716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1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7"/>
        </w:trPr>
        <w:tc>
          <w:tcPr>
            <w:tcW w:w="842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(92,967)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(96,729)</w:t>
            </w:r>
          </w:p>
        </w:tc>
        <w:tc>
          <w:tcPr>
            <w:tcW w:w="0" w:type="dxa"/>
            <w:vAlign w:val="bottom"/>
          </w:tcPr>
          <w:p>
            <w:pPr>
              <w:spacing w:after="0"/>
              <w:rPr>
                <w:sz w:val="1"/>
                <w:szCs w:val="1"/>
                <w:color w:val="auto"/>
              </w:rPr>
            </w:pPr>
          </w:p>
        </w:tc>
      </w:tr>
      <w:tr>
        <w:trPr>
          <w:trHeight w:val="217"/>
        </w:trPr>
        <w:tc>
          <w:tcPr>
            <w:tcW w:w="84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(93,389)</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(97,080)</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(819)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Unrealized gain/(loss) on marketable securities, net of tax</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comprehensive loss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842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(94,045</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common stockholders (see Note 17)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1"/>
              <w:spacing w:after="0" w:line="196" w:lineRule="exact"/>
              <w:rPr>
                <w:sz w:val="20"/>
                <w:szCs w:val="20"/>
                <w:color w:val="auto"/>
              </w:rPr>
            </w:pPr>
            <w:r>
              <w:rPr>
                <w:rFonts w:ascii="Arial" w:cs="Arial" w:eastAsia="Arial" w:hAnsi="Arial"/>
                <w:sz w:val="18"/>
                <w:szCs w:val="18"/>
                <w:color w:val="auto"/>
              </w:rPr>
              <w:t>(93,565)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(97,080)</w:t>
            </w:r>
          </w:p>
        </w:tc>
        <w:tc>
          <w:tcPr>
            <w:tcW w:w="0" w:type="dxa"/>
            <w:vAlign w:val="bottom"/>
          </w:tcPr>
          <w:p>
            <w:pPr>
              <w:spacing w:after="0"/>
              <w:rPr>
                <w:sz w:val="1"/>
                <w:szCs w:val="1"/>
                <w:color w:val="auto"/>
              </w:rPr>
            </w:pPr>
          </w:p>
        </w:tc>
      </w:tr>
      <w:tr>
        <w:trPr>
          <w:trHeight w:val="217"/>
        </w:trPr>
        <w:tc>
          <w:tcPr>
            <w:tcW w:w="84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stock outstanding, basic and diluted</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7,659,394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6,107,685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w:t>
      </w: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6"/>
              </w:rPr>
              <w:t>Series A</w:t>
            </w:r>
          </w:p>
        </w:tc>
        <w:tc>
          <w:tcPr>
            <w:tcW w:w="15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6"/>
              </w:rPr>
              <w:t>Series B</w:t>
            </w:r>
          </w:p>
        </w:tc>
        <w:tc>
          <w:tcPr>
            <w:tcW w:w="1520" w:type="dxa"/>
            <w:vAlign w:val="bottom"/>
            <w:tcBorders>
              <w:right w:val="single" w:sz="8" w:color="auto"/>
            </w:tcBorders>
            <w:gridSpan w:val="5"/>
            <w:vMerge w:val="restart"/>
          </w:tcPr>
          <w:p>
            <w:pPr>
              <w:jc w:val="right"/>
              <w:ind w:right="108"/>
              <w:spacing w:after="0"/>
              <w:rPr>
                <w:sz w:val="20"/>
                <w:szCs w:val="20"/>
                <w:color w:val="auto"/>
              </w:rPr>
            </w:pPr>
            <w:r>
              <w:rPr>
                <w:rFonts w:ascii="Arial" w:cs="Arial" w:eastAsia="Arial" w:hAnsi="Arial"/>
                <w:sz w:val="13"/>
                <w:szCs w:val="13"/>
                <w:b w:val="1"/>
                <w:bCs w:val="1"/>
                <w:color w:val="auto"/>
              </w:rPr>
              <w:t>Series C convertible</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5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15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1520" w:type="dxa"/>
            <w:vAlign w:val="bottom"/>
            <w:tcBorders>
              <w:right w:val="single" w:sz="8" w:color="auto"/>
            </w:tcBorders>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7"/>
              </w:rPr>
              <w:t>preferred stock</w:t>
            </w:r>
          </w:p>
        </w:tc>
        <w:tc>
          <w:tcPr>
            <w:tcW w:w="15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preferred stock</w:t>
            </w:r>
          </w:p>
        </w:tc>
        <w:tc>
          <w:tcPr>
            <w:tcW w:w="1520" w:type="dxa"/>
            <w:vAlign w:val="bottom"/>
            <w:tcBorders>
              <w:right w:val="single" w:sz="8" w:color="auto"/>
            </w:tcBorders>
            <w:gridSpan w:val="5"/>
          </w:tcPr>
          <w:p>
            <w:pPr>
              <w:jc w:val="right"/>
              <w:ind w:right="268"/>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2"/>
                <w:szCs w:val="12"/>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86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6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8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6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8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right w:val="single" w:sz="8" w:color="auto"/>
            </w:tcBorders>
            <w:gridSpan w:val="2"/>
          </w:tcPr>
          <w:p>
            <w:pPr>
              <w:jc w:val="right"/>
              <w:ind w:right="68"/>
              <w:spacing w:after="0" w:line="129"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1"/>
                <w:szCs w:val="11"/>
                <w:color w:val="auto"/>
              </w:rPr>
            </w:pPr>
          </w:p>
        </w:tc>
        <w:tc>
          <w:tcPr>
            <w:tcW w:w="8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1"/>
                <w:szCs w:val="11"/>
                <w:color w:val="auto"/>
              </w:rPr>
            </w:pP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92"/>
              </w:rPr>
              <w:t>loss</w:t>
            </w:r>
          </w:p>
        </w:tc>
        <w:tc>
          <w:tcPr>
            <w:tcW w:w="140" w:type="dxa"/>
            <w:vAlign w:val="bottom"/>
          </w:tcPr>
          <w:p>
            <w:pPr>
              <w:spacing w:after="0"/>
              <w:rPr>
                <w:sz w:val="11"/>
                <w:szCs w:val="11"/>
                <w:color w:val="auto"/>
              </w:rPr>
            </w:pP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33"/>
        </w:trPr>
        <w:tc>
          <w:tcPr>
            <w:tcW w:w="13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Balance as of</w:t>
            </w: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2024</w:t>
            </w: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45,414,682</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$223,869</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26,601,360</w:t>
            </w: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$167,765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19,426,000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96,571</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7,124,496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27,240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(289,091)</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(858)</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(262,708)</w:t>
            </w:r>
          </w:p>
        </w:tc>
        <w:tc>
          <w:tcPr>
            <w:tcW w:w="0" w:type="dxa"/>
            <w:vAlign w:val="bottom"/>
          </w:tcPr>
          <w:p>
            <w:pPr>
              <w:spacing w:after="0"/>
              <w:rPr>
                <w:sz w:val="1"/>
                <w:szCs w:val="1"/>
                <w:color w:val="auto"/>
              </w:rPr>
            </w:pPr>
          </w:p>
        </w:tc>
      </w:tr>
      <w:tr>
        <w:trPr>
          <w:trHeight w:val="153"/>
        </w:trPr>
        <w:tc>
          <w:tcPr>
            <w:tcW w:w="1300" w:type="dxa"/>
            <w:vAlign w:val="bottom"/>
          </w:tcPr>
          <w:p>
            <w:pPr>
              <w:spacing w:after="0" w:line="153" w:lineRule="exact"/>
              <w:rPr>
                <w:sz w:val="20"/>
                <w:szCs w:val="20"/>
                <w:color w:val="auto"/>
              </w:rPr>
            </w:pPr>
            <w:r>
              <w:rPr>
                <w:rFonts w:ascii="Arial" w:cs="Arial" w:eastAsia="Arial" w:hAnsi="Arial"/>
                <w:sz w:val="14"/>
                <w:szCs w:val="14"/>
                <w:color w:val="auto"/>
              </w:rPr>
              <w:t>Exercises of</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ind w:left="140"/>
              <w:spacing w:after="0"/>
              <w:rPr>
                <w:sz w:val="20"/>
                <w:szCs w:val="20"/>
                <w:color w:val="auto"/>
              </w:rPr>
            </w:pPr>
            <w:r>
              <w:rPr>
                <w:rFonts w:ascii="Arial" w:cs="Arial" w:eastAsia="Arial" w:hAnsi="Arial"/>
                <w:sz w:val="14"/>
                <w:szCs w:val="14"/>
                <w:color w:val="auto"/>
              </w:rPr>
              <w:t>options</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55,423</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Vesting of</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1,023,088</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442</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53"/>
        </w:trPr>
        <w:tc>
          <w:tcPr>
            <w:tcW w:w="1300" w:type="dxa"/>
            <w:vAlign w:val="bottom"/>
          </w:tcPr>
          <w:p>
            <w:pPr>
              <w:spacing w:after="0" w:line="153" w:lineRule="exact"/>
              <w:rPr>
                <w:sz w:val="20"/>
                <w:szCs w:val="20"/>
                <w:color w:val="auto"/>
              </w:rPr>
            </w:pPr>
            <w:r>
              <w:rPr>
                <w:rFonts w:ascii="Arial" w:cs="Arial" w:eastAsia="Arial" w:hAnsi="Arial"/>
                <w:sz w:val="14"/>
                <w:szCs w:val="14"/>
                <w:color w:val="auto"/>
              </w:rPr>
              <w:t>Stock-based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ind w:left="140"/>
              <w:spacing w:after="0"/>
              <w:rPr>
                <w:sz w:val="20"/>
                <w:szCs w:val="20"/>
                <w:color w:val="auto"/>
              </w:rPr>
            </w:pPr>
            <w:r>
              <w:rPr>
                <w:rFonts w:ascii="Arial" w:cs="Arial" w:eastAsia="Arial" w:hAnsi="Arial"/>
                <w:sz w:val="14"/>
                <w:szCs w:val="14"/>
                <w:color w:val="auto"/>
              </w:rPr>
              <w:t>expense</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5,580</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5,580</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Issuance of Series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 convertible</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of issuance</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$73</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4,016,000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20,007</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300" w:type="dxa"/>
            <w:vAlign w:val="bottom"/>
          </w:tcPr>
          <w:p>
            <w:pPr>
              <w:spacing w:after="0" w:line="153" w:lineRule="exact"/>
              <w:rPr>
                <w:sz w:val="20"/>
                <w:szCs w:val="20"/>
                <w:color w:val="auto"/>
              </w:rPr>
            </w:pPr>
            <w:r>
              <w:rPr>
                <w:rFonts w:ascii="Arial" w:cs="Arial" w:eastAsia="Arial" w:hAnsi="Arial"/>
                <w:sz w:val="14"/>
                <w:szCs w:val="14"/>
                <w:color w:val="auto"/>
              </w:rPr>
              <w:t>Deemed dividend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upon convertible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down round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ind w:left="140"/>
              <w:spacing w:after="0"/>
              <w:rPr>
                <w:sz w:val="20"/>
                <w:szCs w:val="20"/>
                <w:color w:val="auto"/>
              </w:rPr>
            </w:pPr>
            <w:r>
              <w:rPr>
                <w:rFonts w:ascii="Arial" w:cs="Arial" w:eastAsia="Arial" w:hAnsi="Arial"/>
                <w:sz w:val="14"/>
                <w:szCs w:val="14"/>
                <w:color w:val="auto"/>
              </w:rPr>
              <w:t>adjustment</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176</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(176)</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Other</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income—foreign</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 net</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tax</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819</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53"/>
        </w:trPr>
        <w:tc>
          <w:tcPr>
            <w:tcW w:w="1300" w:type="dxa"/>
            <w:vAlign w:val="bottom"/>
          </w:tcPr>
          <w:p>
            <w:pPr>
              <w:spacing w:after="0" w:line="153" w:lineRule="exact"/>
              <w:rPr>
                <w:sz w:val="20"/>
                <w:szCs w:val="20"/>
                <w:color w:val="auto"/>
              </w:rPr>
            </w:pPr>
            <w:r>
              <w:rPr>
                <w:rFonts w:ascii="Arial" w:cs="Arial" w:eastAsia="Arial" w:hAnsi="Arial"/>
                <w:sz w:val="14"/>
                <w:szCs w:val="14"/>
                <w:color w:val="auto"/>
              </w:rPr>
              <w:t>Other</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comprehensive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unrealized gain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on marketable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ind w:left="140"/>
              <w:spacing w:after="0"/>
              <w:rPr>
                <w:sz w:val="20"/>
                <w:szCs w:val="20"/>
                <w:color w:val="auto"/>
              </w:rPr>
            </w:pPr>
            <w:r>
              <w:rPr>
                <w:rFonts w:ascii="Arial" w:cs="Arial" w:eastAsia="Arial" w:hAnsi="Arial"/>
                <w:sz w:val="14"/>
                <w:szCs w:val="14"/>
                <w:color w:val="auto"/>
              </w:rPr>
              <w:t>securities, net</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(163)</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(93,389)</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(93,389)</w:t>
            </w:r>
          </w:p>
        </w:tc>
        <w:tc>
          <w:tcPr>
            <w:tcW w:w="0" w:type="dxa"/>
            <w:vAlign w:val="bottom"/>
          </w:tcPr>
          <w:p>
            <w:pPr>
              <w:spacing w:after="0"/>
              <w:rPr>
                <w:sz w:val="1"/>
                <w:szCs w:val="1"/>
                <w:color w:val="auto"/>
              </w:rPr>
            </w:pPr>
          </w:p>
        </w:tc>
      </w:tr>
      <w:tr>
        <w:trPr>
          <w:trHeight w:val="160"/>
        </w:trPr>
        <w:tc>
          <w:tcPr>
            <w:tcW w:w="1300" w:type="dxa"/>
            <w:vAlign w:val="bottom"/>
          </w:tcPr>
          <w:p>
            <w:pPr>
              <w:spacing w:after="0" w:line="160" w:lineRule="exact"/>
              <w:rPr>
                <w:sz w:val="20"/>
                <w:szCs w:val="20"/>
                <w:color w:val="auto"/>
              </w:rPr>
            </w:pPr>
            <w:r>
              <w:rPr>
                <w:rFonts w:ascii="Arial" w:cs="Arial" w:eastAsia="Arial" w:hAnsi="Arial"/>
                <w:sz w:val="14"/>
                <w:szCs w:val="14"/>
                <w:b w:val="1"/>
                <w:bCs w:val="1"/>
                <w:color w:val="auto"/>
              </w:rPr>
              <w:t>Balance as of</w:t>
            </w: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2024</w:t>
            </w:r>
          </w:p>
        </w:tc>
        <w:tc>
          <w:tcPr>
            <w:tcW w:w="760" w:type="dxa"/>
            <w:vAlign w:val="bottom"/>
          </w:tcPr>
          <w:p>
            <w:pPr>
              <w:ind w:left="40"/>
              <w:spacing w:after="0"/>
              <w:rPr>
                <w:sz w:val="20"/>
                <w:szCs w:val="20"/>
                <w:color w:val="auto"/>
              </w:rPr>
            </w:pPr>
            <w:r>
              <w:rPr>
                <w:rFonts w:ascii="Arial" w:cs="Arial" w:eastAsia="Arial" w:hAnsi="Arial"/>
                <w:sz w:val="14"/>
                <w:szCs w:val="14"/>
                <w:color w:val="auto"/>
                <w:w w:val="99"/>
              </w:rPr>
              <w:t>45,414,682</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223,869</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26,601,360</w:t>
            </w:r>
          </w:p>
        </w:tc>
        <w:tc>
          <w:tcPr>
            <w:tcW w:w="70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167,765</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23,442,000</w:t>
            </w:r>
          </w:p>
        </w:tc>
        <w:tc>
          <w:tcPr>
            <w:tcW w:w="1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4"/>
              </w:rPr>
              <w:t>116,578</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8,203,007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1</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33,591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(382,656)</w:t>
            </w: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(349,266)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9"/>
              </w:rPr>
              <w:t>Series A</w:t>
            </w:r>
          </w:p>
        </w:tc>
        <w:tc>
          <w:tcPr>
            <w:tcW w:w="15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6"/>
              </w:rPr>
              <w:t>Series B</w:t>
            </w:r>
          </w:p>
        </w:tc>
        <w:tc>
          <w:tcPr>
            <w:tcW w:w="760" w:type="dxa"/>
            <w:vAlign w:val="bottom"/>
            <w:gridSpan w:val="3"/>
          </w:tcPr>
          <w:p>
            <w:pPr>
              <w:jc w:val="center"/>
              <w:ind w:left="151"/>
              <w:spacing w:after="0"/>
              <w:rPr>
                <w:sz w:val="20"/>
                <w:szCs w:val="20"/>
                <w:color w:val="auto"/>
              </w:rPr>
            </w:pPr>
            <w:r>
              <w:rPr>
                <w:rFonts w:ascii="Arial" w:cs="Arial" w:eastAsia="Arial" w:hAnsi="Arial"/>
                <w:sz w:val="13"/>
                <w:szCs w:val="13"/>
                <w:b w:val="1"/>
                <w:bCs w:val="1"/>
                <w:color w:val="auto"/>
                <w:w w:val="96"/>
              </w:rPr>
              <w:t>Series C</w:t>
            </w: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5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convertible</w:t>
            </w:r>
          </w:p>
        </w:tc>
        <w:tc>
          <w:tcPr>
            <w:tcW w:w="158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1060" w:type="dxa"/>
            <w:vAlign w:val="bottom"/>
            <w:tcBorders>
              <w:right w:val="single" w:sz="8" w:color="auto"/>
            </w:tcBorders>
            <w:gridSpan w:val="4"/>
          </w:tcPr>
          <w:p>
            <w:pPr>
              <w:jc w:val="center"/>
              <w:spacing w:after="0" w:line="135" w:lineRule="exact"/>
              <w:rPr>
                <w:sz w:val="20"/>
                <w:szCs w:val="20"/>
                <w:color w:val="auto"/>
              </w:rPr>
            </w:pPr>
            <w:r>
              <w:rPr>
                <w:rFonts w:ascii="Arial" w:cs="Arial" w:eastAsia="Arial" w:hAnsi="Arial"/>
                <w:sz w:val="13"/>
                <w:szCs w:val="13"/>
                <w:b w:val="1"/>
                <w:bCs w:val="1"/>
                <w:color w:val="auto"/>
                <w:w w:val="97"/>
              </w:rPr>
              <w:t>convertible</w:t>
            </w:r>
          </w:p>
        </w:tc>
        <w:tc>
          <w:tcPr>
            <w:tcW w:w="60" w:type="dxa"/>
            <w:vAlign w:val="bottom"/>
          </w:tcPr>
          <w:p>
            <w:pPr>
              <w:spacing w:after="0"/>
              <w:rPr>
                <w:sz w:val="11"/>
                <w:szCs w:val="11"/>
                <w:color w:val="auto"/>
              </w:rPr>
            </w:pPr>
          </w:p>
        </w:tc>
        <w:tc>
          <w:tcPr>
            <w:tcW w:w="1360" w:type="dxa"/>
            <w:vAlign w:val="bottom"/>
            <w:gridSpan w:val="6"/>
            <w:vMerge w:val="restart"/>
          </w:tcPr>
          <w:p>
            <w:pPr>
              <w:ind w:left="160"/>
              <w:spacing w:after="0"/>
              <w:rPr>
                <w:sz w:val="20"/>
                <w:szCs w:val="20"/>
                <w:color w:val="auto"/>
              </w:rPr>
            </w:pPr>
            <w:r>
              <w:rPr>
                <w:rFonts w:ascii="Arial" w:cs="Arial" w:eastAsia="Arial" w:hAnsi="Arial"/>
                <w:sz w:val="13"/>
                <w:szCs w:val="13"/>
                <w:b w:val="1"/>
                <w:bCs w:val="1"/>
                <w:color w:val="auto"/>
              </w:rPr>
              <w:t>Common Stock</w:t>
            </w:r>
          </w:p>
        </w:tc>
        <w:tc>
          <w:tcPr>
            <w:tcW w:w="6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preferred stock</w:t>
            </w:r>
          </w:p>
        </w:tc>
        <w:tc>
          <w:tcPr>
            <w:tcW w:w="15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preferred stock</w:t>
            </w:r>
          </w:p>
        </w:tc>
        <w:tc>
          <w:tcPr>
            <w:tcW w:w="1060" w:type="dxa"/>
            <w:vAlign w:val="bottom"/>
            <w:tcBorders>
              <w:right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60" w:type="dxa"/>
            <w:vAlign w:val="bottom"/>
          </w:tcPr>
          <w:p>
            <w:pPr>
              <w:spacing w:after="0"/>
              <w:rPr>
                <w:sz w:val="12"/>
                <w:szCs w:val="12"/>
                <w:color w:val="auto"/>
              </w:rPr>
            </w:pPr>
          </w:p>
        </w:tc>
        <w:tc>
          <w:tcPr>
            <w:tcW w:w="13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8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8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6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92"/>
              </w:rPr>
              <w:t>Shares</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right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360"/>
              <w:spacing w:after="0" w:line="129" w:lineRule="exact"/>
              <w:rPr>
                <w:sz w:val="20"/>
                <w:szCs w:val="20"/>
                <w:color w:val="auto"/>
              </w:rPr>
            </w:pPr>
            <w:r>
              <w:rPr>
                <w:rFonts w:ascii="Arial" w:cs="Arial" w:eastAsia="Arial" w:hAnsi="Arial"/>
                <w:sz w:val="13"/>
                <w:szCs w:val="13"/>
                <w:b w:val="1"/>
                <w:bCs w:val="1"/>
                <w:color w:val="auto"/>
                <w:w w:val="99"/>
              </w:rPr>
              <w:t>loss</w:t>
            </w:r>
          </w:p>
        </w:tc>
        <w:tc>
          <w:tcPr>
            <w:tcW w:w="140" w:type="dxa"/>
            <w:vAlign w:val="bottom"/>
          </w:tcPr>
          <w:p>
            <w:pPr>
              <w:spacing w:after="0"/>
              <w:rPr>
                <w:sz w:val="11"/>
                <w:szCs w:val="11"/>
                <w:color w:val="auto"/>
              </w:rPr>
            </w:pP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33"/>
        </w:trPr>
        <w:tc>
          <w:tcPr>
            <w:tcW w:w="17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Balance as of</w:t>
            </w: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2023</w:t>
            </w:r>
          </w:p>
        </w:tc>
        <w:tc>
          <w:tcPr>
            <w:tcW w:w="7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45,414,682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$223,869</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26,601,360</w:t>
            </w: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$167,765</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85"/>
              </w:rPr>
              <w:t>— </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5,477,613</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15,733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(158,171)</w:t>
            </w: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(2,183)</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(144,620)</w:t>
            </w:r>
          </w:p>
        </w:tc>
        <w:tc>
          <w:tcPr>
            <w:tcW w:w="0" w:type="dxa"/>
            <w:vAlign w:val="bottom"/>
          </w:tcPr>
          <w:p>
            <w:pPr>
              <w:spacing w:after="0"/>
              <w:rPr>
                <w:sz w:val="1"/>
                <w:szCs w:val="1"/>
                <w:color w:val="auto"/>
              </w:rPr>
            </w:pPr>
          </w:p>
        </w:tc>
      </w:tr>
      <w:tr>
        <w:trPr>
          <w:trHeight w:val="153"/>
        </w:trPr>
        <w:tc>
          <w:tcPr>
            <w:tcW w:w="1720" w:type="dxa"/>
            <w:vAlign w:val="bottom"/>
          </w:tcPr>
          <w:p>
            <w:pPr>
              <w:spacing w:after="0" w:line="153" w:lineRule="exact"/>
              <w:rPr>
                <w:sz w:val="20"/>
                <w:szCs w:val="20"/>
                <w:color w:val="auto"/>
              </w:rPr>
            </w:pPr>
            <w:r>
              <w:rPr>
                <w:rFonts w:ascii="Arial" w:cs="Arial" w:eastAsia="Arial" w:hAnsi="Arial"/>
                <w:sz w:val="14"/>
                <w:szCs w:val="14"/>
                <w:color w:val="auto"/>
              </w:rPr>
              <w:t>Exercises of common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420" w:type="dxa"/>
            <w:vAlign w:val="bottom"/>
          </w:tcPr>
          <w:p>
            <w:pPr>
              <w:ind w:left="220"/>
              <w:spacing w:after="0"/>
              <w:rPr>
                <w:sz w:val="20"/>
                <w:szCs w:val="20"/>
                <w:color w:val="auto"/>
              </w:rPr>
            </w:pPr>
            <w:r>
              <w:rPr>
                <w:rFonts w:ascii="Arial" w:cs="Arial" w:eastAsia="Arial" w:hAnsi="Arial"/>
                <w:sz w:val="14"/>
                <w:szCs w:val="14"/>
                <w:color w:val="auto"/>
                <w:w w:val="85"/>
              </w:rPr>
              <w:t>— 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87,875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238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Vesting of restricted</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85"/>
              </w:rPr>
              <w:t>— 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1,084,292</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53"/>
        </w:trPr>
        <w:tc>
          <w:tcPr>
            <w:tcW w:w="1720" w:type="dxa"/>
            <w:vAlign w:val="bottom"/>
          </w:tcPr>
          <w:p>
            <w:pPr>
              <w:spacing w:after="0" w:line="153"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140"/>
              <w:spacing w:after="0"/>
              <w:rPr>
                <w:sz w:val="20"/>
                <w:szCs w:val="20"/>
                <w:color w:val="auto"/>
              </w:rPr>
            </w:pPr>
            <w:r>
              <w:rPr>
                <w:rFonts w:ascii="Arial" w:cs="Arial" w:eastAsia="Arial" w:hAnsi="Arial"/>
                <w:sz w:val="14"/>
                <w:szCs w:val="14"/>
                <w:color w:val="auto"/>
              </w:rPr>
              <w:t>compensation expense</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420" w:type="dxa"/>
            <w:vAlign w:val="bottom"/>
          </w:tcPr>
          <w:p>
            <w:pPr>
              <w:ind w:left="220"/>
              <w:spacing w:after="0"/>
              <w:rPr>
                <w:sz w:val="20"/>
                <w:szCs w:val="20"/>
                <w:color w:val="auto"/>
              </w:rPr>
            </w:pPr>
            <w:r>
              <w:rPr>
                <w:rFonts w:ascii="Arial" w:cs="Arial" w:eastAsia="Arial" w:hAnsi="Arial"/>
                <w:sz w:val="14"/>
                <w:szCs w:val="14"/>
                <w:color w:val="auto"/>
                <w:w w:val="85"/>
              </w:rPr>
              <w:t>— 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3,704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Other comprehensive</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income—foreign</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 net of tax</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85"/>
              </w:rPr>
              <w:t>— 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3"/>
        </w:trPr>
        <w:tc>
          <w:tcPr>
            <w:tcW w:w="1720" w:type="dxa"/>
            <w:vAlign w:val="bottom"/>
          </w:tcPr>
          <w:p>
            <w:pPr>
              <w:spacing w:after="0" w:line="153" w:lineRule="exact"/>
              <w:rPr>
                <w:sz w:val="20"/>
                <w:szCs w:val="20"/>
                <w:color w:val="auto"/>
              </w:rPr>
            </w:pPr>
            <w:r>
              <w:rPr>
                <w:rFonts w:ascii="Arial" w:cs="Arial" w:eastAsia="Arial" w:hAnsi="Arial"/>
                <w:sz w:val="14"/>
                <w:szCs w:val="14"/>
                <w:color w:val="auto"/>
              </w:rPr>
              <w:t>Other comprehensive</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rPr>
                <w:sz w:val="20"/>
                <w:szCs w:val="20"/>
                <w:color w:val="auto"/>
              </w:rPr>
            </w:pPr>
            <w:r>
              <w:rPr>
                <w:rFonts w:ascii="Arial" w:cs="Arial" w:eastAsia="Arial" w:hAnsi="Arial"/>
                <w:sz w:val="14"/>
                <w:szCs w:val="14"/>
                <w:color w:val="auto"/>
              </w:rPr>
              <w:t>income—unrealized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rPr>
                <w:sz w:val="20"/>
                <w:szCs w:val="20"/>
                <w:color w:val="auto"/>
              </w:rPr>
            </w:pPr>
            <w:r>
              <w:rPr>
                <w:rFonts w:ascii="Arial" w:cs="Arial" w:eastAsia="Arial" w:hAnsi="Arial"/>
                <w:sz w:val="14"/>
                <w:szCs w:val="14"/>
                <w:color w:val="auto"/>
              </w:rPr>
              <w:t>loss on marketable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140"/>
              <w:spacing w:after="0"/>
              <w:rPr>
                <w:sz w:val="20"/>
                <w:szCs w:val="20"/>
                <w:color w:val="auto"/>
              </w:rPr>
            </w:pPr>
            <w:r>
              <w:rPr>
                <w:rFonts w:ascii="Arial" w:cs="Arial" w:eastAsia="Arial" w:hAnsi="Arial"/>
                <w:sz w:val="14"/>
                <w:szCs w:val="14"/>
                <w:color w:val="auto"/>
              </w:rPr>
              <w:t>securities, net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420" w:type="dxa"/>
            <w:vAlign w:val="bottom"/>
          </w:tcPr>
          <w:p>
            <w:pPr>
              <w:ind w:left="220"/>
              <w:spacing w:after="0"/>
              <w:rPr>
                <w:sz w:val="20"/>
                <w:szCs w:val="20"/>
                <w:color w:val="auto"/>
              </w:rPr>
            </w:pPr>
            <w:r>
              <w:rPr>
                <w:rFonts w:ascii="Arial" w:cs="Arial" w:eastAsia="Arial" w:hAnsi="Arial"/>
                <w:sz w:val="14"/>
                <w:szCs w:val="14"/>
                <w:color w:val="auto"/>
                <w:w w:val="85"/>
              </w:rPr>
              <w:t>— 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85"/>
              </w:rPr>
              <w:t>— 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(97,080)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(97,080)</w:t>
            </w:r>
          </w:p>
        </w:tc>
        <w:tc>
          <w:tcPr>
            <w:tcW w:w="0" w:type="dxa"/>
            <w:vAlign w:val="bottom"/>
          </w:tcPr>
          <w:p>
            <w:pPr>
              <w:spacing w:after="0"/>
              <w:rPr>
                <w:sz w:val="1"/>
                <w:szCs w:val="1"/>
                <w:color w:val="auto"/>
              </w:rPr>
            </w:pPr>
          </w:p>
        </w:tc>
      </w:tr>
      <w:tr>
        <w:trPr>
          <w:trHeight w:val="160"/>
        </w:trPr>
        <w:tc>
          <w:tcPr>
            <w:tcW w:w="1720" w:type="dxa"/>
            <w:vAlign w:val="bottom"/>
          </w:tcPr>
          <w:p>
            <w:pPr>
              <w:spacing w:after="0" w:line="160" w:lineRule="exact"/>
              <w:rPr>
                <w:sz w:val="20"/>
                <w:szCs w:val="20"/>
                <w:color w:val="auto"/>
              </w:rPr>
            </w:pPr>
            <w:r>
              <w:rPr>
                <w:rFonts w:ascii="Arial" w:cs="Arial" w:eastAsia="Arial" w:hAnsi="Arial"/>
                <w:sz w:val="14"/>
                <w:szCs w:val="14"/>
                <w:b w:val="1"/>
                <w:bCs w:val="1"/>
                <w:color w:val="auto"/>
              </w:rPr>
              <w:t>Balance as of</w:t>
            </w: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140"/>
              <w:spacing w:after="0"/>
              <w:rPr>
                <w:sz w:val="20"/>
                <w:szCs w:val="20"/>
                <w:color w:val="auto"/>
              </w:rPr>
            </w:pPr>
            <w:r>
              <w:rPr>
                <w:rFonts w:ascii="Arial" w:cs="Arial" w:eastAsia="Arial" w:hAnsi="Arial"/>
                <w:sz w:val="14"/>
                <w:szCs w:val="14"/>
                <w:b w:val="1"/>
                <w:bCs w:val="1"/>
                <w:color w:val="auto"/>
              </w:rPr>
              <w:t>September 30, 2023</w:t>
            </w:r>
          </w:p>
        </w:tc>
        <w:tc>
          <w:tcPr>
            <w:tcW w:w="780" w:type="dxa"/>
            <w:vAlign w:val="bottom"/>
          </w:tcPr>
          <w:p>
            <w:pPr>
              <w:ind w:left="60"/>
              <w:spacing w:after="0"/>
              <w:rPr>
                <w:sz w:val="20"/>
                <w:szCs w:val="20"/>
                <w:color w:val="auto"/>
              </w:rPr>
            </w:pPr>
            <w:r>
              <w:rPr>
                <w:rFonts w:ascii="Arial" w:cs="Arial" w:eastAsia="Arial" w:hAnsi="Arial"/>
                <w:sz w:val="14"/>
                <w:szCs w:val="14"/>
                <w:color w:val="auto"/>
                <w:w w:val="99"/>
              </w:rPr>
              <w:t>45,414,682</w:t>
            </w: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223,869</w:t>
            </w: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26,601,360</w:t>
            </w:r>
          </w:p>
        </w:tc>
        <w:tc>
          <w:tcPr>
            <w:tcW w:w="70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167,765</w:t>
            </w:r>
          </w:p>
        </w:tc>
        <w:tc>
          <w:tcPr>
            <w:tcW w:w="420" w:type="dxa"/>
            <w:vAlign w:val="bottom"/>
          </w:tcPr>
          <w:p>
            <w:pPr>
              <w:ind w:left="220"/>
              <w:spacing w:after="0"/>
              <w:rPr>
                <w:sz w:val="20"/>
                <w:szCs w:val="20"/>
                <w:color w:val="auto"/>
              </w:rPr>
            </w:pPr>
            <w:r>
              <w:rPr>
                <w:rFonts w:ascii="Arial" w:cs="Arial" w:eastAsia="Arial" w:hAnsi="Arial"/>
                <w:sz w:val="14"/>
                <w:szCs w:val="14"/>
                <w:color w:val="auto"/>
                <w:w w:val="85"/>
              </w:rPr>
              <w:t>— </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6,649,780</w:t>
            </w: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20,265</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(255,251)</w:t>
            </w:r>
          </w:p>
        </w:tc>
        <w:tc>
          <w:tcPr>
            <w:tcW w:w="240" w:type="dxa"/>
            <w:vAlign w:val="bottom"/>
            <w:gridSpan w:val="2"/>
          </w:tcPr>
          <w:p>
            <w:pPr>
              <w:jc w:val="right"/>
              <w:ind w:right="57"/>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(2,025)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(237,010)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88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(93,389)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(97,080)</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3,900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Loss from disposal of property and equipment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8860" w:type="dxa"/>
            <w:vAlign w:val="bottom"/>
          </w:tcPr>
          <w:p>
            <w:pPr>
              <w:ind w:left="720"/>
              <w:spacing w:after="0" w:line="202" w:lineRule="exact"/>
              <w:rPr>
                <w:sz w:val="20"/>
                <w:szCs w:val="20"/>
                <w:color w:val="auto"/>
              </w:rPr>
            </w:pPr>
            <w:r>
              <w:rPr>
                <w:rFonts w:ascii="Arial" w:cs="Arial" w:eastAsia="Arial" w:hAnsi="Arial"/>
                <w:sz w:val="18"/>
                <w:szCs w:val="18"/>
                <w:color w:val="auto"/>
              </w:rPr>
              <w:t>Accretion of discount on marketable securities</w:t>
            </w: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(2,200)</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6,022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03"/>
        </w:trPr>
        <w:tc>
          <w:tcPr>
            <w:tcW w:w="8860" w:type="dxa"/>
            <w:vAlign w:val="bottom"/>
          </w:tcPr>
          <w:p>
            <w:pPr>
              <w:ind w:left="720"/>
              <w:spacing w:after="0" w:line="202" w:lineRule="exact"/>
              <w:rPr>
                <w:sz w:val="20"/>
                <w:szCs w:val="20"/>
                <w:color w:val="auto"/>
              </w:rPr>
            </w:pPr>
            <w:r>
              <w:rPr>
                <w:rFonts w:ascii="Arial" w:cs="Arial" w:eastAsia="Arial" w:hAnsi="Arial"/>
                <w:sz w:val="18"/>
                <w:szCs w:val="18"/>
                <w:color w:val="auto"/>
              </w:rPr>
              <w:t>Non-cash rent expense</w:t>
            </w: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1,821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fair value of contingent consideration and warrant liability</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03"/>
        </w:trPr>
        <w:tc>
          <w:tcPr>
            <w:tcW w:w="8860" w:type="dxa"/>
            <w:vAlign w:val="bottom"/>
          </w:tcPr>
          <w:p>
            <w:pPr>
              <w:ind w:left="720"/>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(2,045)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(2,405)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3"/>
        </w:trPr>
        <w:tc>
          <w:tcPr>
            <w:tcW w:w="8860" w:type="dxa"/>
            <w:vAlign w:val="bottom"/>
          </w:tcPr>
          <w:p>
            <w:pPr>
              <w:ind w:left="720"/>
              <w:spacing w:after="0" w:line="202" w:lineRule="exact"/>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(1,757)</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termination liability</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3"/>
        </w:trPr>
        <w:tc>
          <w:tcPr>
            <w:tcW w:w="88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4,828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(83,183)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(87,077)</w:t>
            </w:r>
          </w:p>
        </w:tc>
        <w:tc>
          <w:tcPr>
            <w:tcW w:w="0" w:type="dxa"/>
            <w:vAlign w:val="bottom"/>
          </w:tcPr>
          <w:p>
            <w:pPr>
              <w:spacing w:after="0"/>
              <w:rPr>
                <w:sz w:val="1"/>
                <w:szCs w:val="1"/>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Maturities of marketable securities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106,833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35,915</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line="202" w:lineRule="exact"/>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(56,690)</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(120,214)</w:t>
            </w:r>
          </w:p>
        </w:tc>
        <w:tc>
          <w:tcPr>
            <w:tcW w:w="0" w:type="dxa"/>
            <w:vAlign w:val="bottom"/>
          </w:tcPr>
          <w:p>
            <w:pPr>
              <w:spacing w:after="0"/>
              <w:rPr>
                <w:sz w:val="1"/>
                <w:szCs w:val="1"/>
                <w:color w:val="auto"/>
              </w:rPr>
            </w:pPr>
          </w:p>
        </w:tc>
      </w:tr>
      <w:tr>
        <w:trPr>
          <w:trHeight w:val="202"/>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10"/>
        </w:trPr>
        <w:tc>
          <w:tcPr>
            <w:tcW w:w="8860" w:type="dxa"/>
            <w:vAlign w:val="bottom"/>
          </w:tcPr>
          <w:p>
            <w:pPr>
              <w:ind w:left="360"/>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49,644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(86,466)</w:t>
            </w:r>
          </w:p>
        </w:tc>
        <w:tc>
          <w:tcPr>
            <w:tcW w:w="0" w:type="dxa"/>
            <w:vAlign w:val="bottom"/>
          </w:tcPr>
          <w:p>
            <w:pPr>
              <w:spacing w:after="0"/>
              <w:rPr>
                <w:sz w:val="1"/>
                <w:szCs w:val="1"/>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the issuance of convertible preferred stock, net of issuance costs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20,007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153</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 loan payable, net of issuance costs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886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20,160</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8860" w:type="dxa"/>
            <w:vAlign w:val="bottom"/>
          </w:tcPr>
          <w:p>
            <w:pPr>
              <w:ind w:left="1080"/>
              <w:spacing w:after="0"/>
              <w:rPr>
                <w:sz w:val="20"/>
                <w:szCs w:val="20"/>
                <w:color w:val="auto"/>
              </w:rPr>
            </w:pPr>
            <w:r>
              <w:rPr>
                <w:rFonts w:ascii="Arial" w:cs="Arial" w:eastAsia="Arial" w:hAnsi="Arial"/>
                <w:sz w:val="18"/>
                <w:szCs w:val="18"/>
                <w:color w:val="auto"/>
              </w:rPr>
              <w:t>Decrease in cash, cash equivalents and restricted cash</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(13,359)</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(178,026)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56,004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241,671</w:t>
            </w:r>
          </w:p>
        </w:tc>
        <w:tc>
          <w:tcPr>
            <w:tcW w:w="0" w:type="dxa"/>
            <w:vAlign w:val="bottom"/>
          </w:tcPr>
          <w:p>
            <w:pPr>
              <w:spacing w:after="0"/>
              <w:rPr>
                <w:sz w:val="1"/>
                <w:szCs w:val="1"/>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42,645</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39,435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60,186</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Restricted cash, included in other non-current assets, end of period</w:t>
            </w: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3,210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cash equivalents and restricted cash,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42,645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63,645</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886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8860" w:type="dxa"/>
            <w:vAlign w:val="bottom"/>
          </w:tcPr>
          <w:p>
            <w:pPr>
              <w:ind w:left="5320"/>
              <w:spacing w:after="0"/>
              <w:rPr>
                <w:sz w:val="20"/>
                <w:szCs w:val="20"/>
                <w:color w:val="auto"/>
              </w:rPr>
            </w:pPr>
            <w:r>
              <w:rPr>
                <w:rFonts w:ascii="Arial" w:cs="Arial" w:eastAsia="Arial" w:hAnsi="Arial"/>
                <w:sz w:val="18"/>
                <w:szCs w:val="18"/>
                <w:color w:val="auto"/>
              </w:rPr>
              <w:t>F-44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93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r>
      <w:tr>
        <w:trPr>
          <w:trHeight w:val="183"/>
        </w:trPr>
        <w:tc>
          <w:tcPr>
            <w:tcW w:w="93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Supplemental disclosure of non-cash financing and investing activities: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320" w:type="dxa"/>
            <w:vAlign w:val="bottom"/>
          </w:tcPr>
          <w:p>
            <w:pPr>
              <w:ind w:left="360"/>
              <w:spacing w:after="0" w:line="202" w:lineRule="exact"/>
              <w:rPr>
                <w:sz w:val="20"/>
                <w:szCs w:val="20"/>
                <w:color w:val="auto"/>
              </w:rPr>
            </w:pPr>
            <w:r>
              <w:rPr>
                <w:rFonts w:ascii="Arial" w:cs="Arial" w:eastAsia="Arial" w:hAnsi="Arial"/>
                <w:sz w:val="18"/>
                <w:szCs w:val="18"/>
                <w:color w:val="auto"/>
              </w:rPr>
              <w:t>Unpaid deferred offering costs (presented as part of other non-current assets) included in accounts payable</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1,981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 xml:space="preserve">—   </w:t>
            </w:r>
          </w:p>
        </w:tc>
      </w:tr>
      <w:tr>
        <w:trPr>
          <w:trHeight w:val="27"/>
        </w:trPr>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Remeasurement of right-of-use assets and lease liabilities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(1,097)</w:t>
            </w:r>
          </w:p>
        </w:tc>
      </w:tr>
      <w:tr>
        <w:trPr>
          <w:trHeight w:val="217"/>
        </w:trPr>
        <w:tc>
          <w:tcPr>
            <w:tcW w:w="9320" w:type="dxa"/>
            <w:vAlign w:val="bottom"/>
          </w:tcPr>
          <w:p>
            <w:pPr>
              <w:ind w:left="360"/>
              <w:spacing w:after="0"/>
              <w:rPr>
                <w:sz w:val="20"/>
                <w:szCs w:val="20"/>
                <w:color w:val="auto"/>
              </w:rPr>
            </w:pPr>
            <w:r>
              <w:rPr>
                <w:rFonts w:ascii="Arial" w:cs="Arial" w:eastAsia="Arial" w:hAnsi="Arial"/>
                <w:sz w:val="18"/>
                <w:szCs w:val="18"/>
                <w:color w:val="auto"/>
              </w:rPr>
              <w:t>Unrealized gain/(loss) on marketable securities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9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Right-of-use assets obtained in exchange for lease liabilities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 </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1,373</w:t>
            </w:r>
          </w:p>
        </w:tc>
      </w:tr>
      <w:tr>
        <w:trPr>
          <w:trHeight w:val="191"/>
        </w:trPr>
        <w:tc>
          <w:tcPr>
            <w:tcW w:w="9320" w:type="dxa"/>
            <w:vAlign w:val="bottom"/>
          </w:tcPr>
          <w:p>
            <w:pPr>
              <w:ind w:left="360"/>
              <w:spacing w:after="0" w:line="191" w:lineRule="exact"/>
              <w:rPr>
                <w:sz w:val="20"/>
                <w:szCs w:val="20"/>
                <w:color w:val="auto"/>
              </w:rPr>
            </w:pPr>
            <w:r>
              <w:rPr>
                <w:rFonts w:ascii="Arial" w:cs="Arial" w:eastAsia="Arial" w:hAnsi="Arial"/>
                <w:sz w:val="18"/>
                <w:szCs w:val="18"/>
                <w:color w:val="auto"/>
              </w:rPr>
              <w:t>Unpaid deferred financing costs (presented as part of prepaid expenses and other current assets) included</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9320" w:type="dxa"/>
            <w:vAlign w:val="bottom"/>
          </w:tcPr>
          <w:p>
            <w:pPr>
              <w:ind w:left="540"/>
              <w:spacing w:after="0"/>
              <w:rPr>
                <w:sz w:val="20"/>
                <w:szCs w:val="20"/>
                <w:color w:val="auto"/>
              </w:rPr>
            </w:pPr>
            <w:r>
              <w:rPr>
                <w:rFonts w:ascii="Arial" w:cs="Arial" w:eastAsia="Arial" w:hAnsi="Arial"/>
                <w:sz w:val="18"/>
                <w:szCs w:val="18"/>
                <w:color w:val="auto"/>
              </w:rPr>
              <w:t>in accounts payable</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5" w:right="4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21" w:lineRule="exact"/>
        <w:rPr>
          <w:sz w:val="20"/>
          <w:szCs w:val="20"/>
          <w:color w:val="auto"/>
        </w:rPr>
      </w:pPr>
    </w:p>
    <w:p>
      <w:pPr>
        <w:ind w:left="120" w:right="7240" w:hanging="4"/>
        <w:spacing w:after="0" w:line="360" w:lineRule="auto"/>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Liquidity </w:t>
      </w:r>
      <w:r>
        <w:rPr>
          <w:rFonts w:ascii="Arial" w:cs="Arial" w:eastAsia="Arial" w:hAnsi="Arial"/>
          <w:sz w:val="18"/>
          <w:szCs w:val="18"/>
          <w:b w:val="1"/>
          <w:bCs w:val="1"/>
          <w:i w:val="1"/>
          <w:iCs w:val="1"/>
          <w:color w:val="auto"/>
        </w:rPr>
        <w:t>Business</w:t>
      </w:r>
    </w:p>
    <w:p>
      <w:pPr>
        <w:jc w:val="both"/>
        <w:ind w:left="120" w:right="280" w:firstLine="551"/>
        <w:spacing w:after="0" w:line="253" w:lineRule="auto"/>
        <w:rPr>
          <w:sz w:val="20"/>
          <w:szCs w:val="20"/>
          <w:color w:val="auto"/>
        </w:rPr>
      </w:pPr>
      <w:r>
        <w:rPr>
          <w:rFonts w:ascii="Arial" w:cs="Arial" w:eastAsia="Arial" w:hAnsi="Arial"/>
          <w:sz w:val="18"/>
          <w:szCs w:val="18"/>
          <w:color w:val="auto"/>
        </w:rPr>
        <w:t>Odyssey Therapeutics, Inc. (the “Company”) is a clinical-stage biopharmaceutical company seeking to transform the standard of care for patients suffering from autoimmune and inflammatory diseases. To accomplish this, the Company is developing medicines that are designed to precisely target disease pathology with an initial emphasis on the innate immune system.</w:t>
      </w:r>
    </w:p>
    <w:p>
      <w:pPr>
        <w:spacing w:after="0" w:line="169"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completion of preclinical studies and clinical trials, obtaining regulatory approval for product candidates, development by competitors of new technological innovations, dependence on key personnel, protection of proprietary technology, compliance with government regulations and ability to secure additional capital to fund operations. Product candidates currently under development by the Company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and reporting capabilities. Even if product development efforts are successful, it is uncertain when, if ever, the Company will realize significant revenue from product sales.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Since its inception, the Company has devoted substantially all of its resources to business planning, research and development activities, recruiting management and technical staff, raising capital, producing materials for preclinical studies and clinical trials, developing and establishing the Company’s intellectual property portfolio, entering into collaboration agreements, acquiring companies or assets to further the Company’s development programs and building infrastructure to support such activities. The Company has financed its operations primarily through the sale of shares of convertible preferred stock and the proceeds from research collaborations and license agreements.</w:t>
      </w:r>
    </w:p>
    <w:p>
      <w:pPr>
        <w:spacing w:after="0" w:line="179"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color w:val="auto"/>
        </w:rPr>
        <w:t>The Company has incurred losses each year since inception and expects that operating losses and negative cash flows will continue for the foreseeable future as the Company continues to develop its product candidates.</w:t>
      </w:r>
    </w:p>
    <w:p>
      <w:pPr>
        <w:spacing w:after="0" w:line="15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condensed consolidated financial statements have been prepared assuming that the Company will continue as a going concern. The Company had cash, cash equivalents, and marketable securities of $154.9 million as of September 30, 2024, and expects that its existing cash, cash equivalents, and marketable securities will enable the Company to fund its expected operating expenses and capital expenditure requirements for at least twelve months from the date these condensed consolidated financial statements are available to be issued.</w:t>
      </w:r>
    </w:p>
    <w:p>
      <w:pPr>
        <w:spacing w:after="0" w:line="325" w:lineRule="exact"/>
        <w:rPr>
          <w:sz w:val="20"/>
          <w:szCs w:val="20"/>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04" w:lineRule="exact"/>
        <w:rPr>
          <w:sz w:val="20"/>
          <w:szCs w:val="20"/>
          <w:color w:val="auto"/>
        </w:rPr>
      </w:pPr>
    </w:p>
    <w:p>
      <w:pPr>
        <w:ind w:left="120" w:right="480" w:firstLine="551"/>
        <w:spacing w:after="0" w:line="247" w:lineRule="auto"/>
        <w:rPr>
          <w:sz w:val="20"/>
          <w:szCs w:val="20"/>
          <w:color w:val="auto"/>
        </w:rPr>
      </w:pPr>
      <w:r>
        <w:rPr>
          <w:rFonts w:ascii="Arial" w:cs="Arial" w:eastAsia="Arial" w:hAnsi="Arial"/>
          <w:sz w:val="18"/>
          <w:szCs w:val="18"/>
          <w:color w:val="auto"/>
        </w:rPr>
        <w:t>The Company’s significant accounting policies are disclosed in Note 2, “Basis of Presentation and Summary of Significant Accounting Policies,” in the audited consolidated financial statements for the years ended December 31, 2023 and 2022 included elsewhere in this prospectus. Since the date of those financial statements, there have been no changes to the Company’s significant accounting policies, except as noted below.</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for interim reporting and as required by Regulation S-X, Rule 10-01 under the Securities Exchange Act of 1934, as amended. The unaudited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condensed consolidated balance sheet as of September 30, 2024, and the condensed consolidated statements of operations and comprehensive loss, the condensed consolidated statements of convertible preferred stock and stockholders’ deficit, and the condensed consolidated statements of cash flows for the nine months ended September 30, 2024 and 2023. The financial data and other information disclosed in these notes related to the nine months ended September 30, 2024 and 2023 are unaudited. The financial results for the nine months ended September 30, 2024 are not necessarily indicative of results to be expected for the year ending December 31, 2024, or for any other subsequent period.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Company capitalizes certain legal, professional accounting and other third-party fees that are direct and incremental costs associated with the in-process public equity financing as deferred offering costs until such financing is consummated. After the consummation of such equity financing, these costs are recorded as a reduction of the proceeds generated as a result of the offering within additional paid-in capital. Should the planned equity financing be abandoned, the deferred offering costs, currently recorded within other assets, will be expensed immediately as a charge to operating expenses in the statements of operations. The Company recorded $2.0 million of deferred offering costs within other non-current assets as of September 30, 2024 and no deferred offering costs as of December 31, 2023.</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and Issued Accounting Pronouncements</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the Company adopts such pronouncements as of the specified effective date. Unless otherwise discussed below, the Company does not believe that the adoption of recently issued standards has had or may have a material impact on the Company’s condensed consolidated financial statements or disclosures.</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In November 2023, the FASB issued Accounting Standard Update, or ASU, 2023-07, </w:t>
      </w:r>
      <w:r>
        <w:rPr>
          <w:rFonts w:ascii="Arial" w:cs="Arial" w:eastAsia="Arial" w:hAnsi="Arial"/>
          <w:sz w:val="18"/>
          <w:szCs w:val="18"/>
          <w:i w:val="1"/>
          <w:iCs w:val="1"/>
          <w:color w:val="auto"/>
        </w:rPr>
        <w:t>Segment Reporting (Topic 280):</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is intended to improve reportable segment disclosure requirements,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additional disclosures about significant segment expenses.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currently evaluating the impact ASU 2023-07 may have on its condensed consolidated financial statements.</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Improvements to Income Tax Disclosures. This amended guidance applies to all entities and broadly aims to enhance the transparency and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is currently analyzing the impact that ASU No. 2023-09 will have on the condensed consolidated financial statements.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5" w:right="47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w:t>
      </w:r>
    </w:p>
    <w:p>
      <w:pPr>
        <w:spacing w:after="0" w:line="104"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Company’s goodwill and intangible asset relate to the purchase of Rahko Limited (“Rahko”) in 2021, which was accounted for as a business combination.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8080" w:type="dxa"/>
            <w:vAlign w:val="bottom"/>
          </w:tcPr>
          <w:p>
            <w:pPr>
              <w:ind w:left="540"/>
              <w:spacing w:after="0"/>
              <w:rPr>
                <w:sz w:val="20"/>
                <w:szCs w:val="20"/>
                <w:color w:val="auto"/>
              </w:rPr>
            </w:pPr>
            <w:r>
              <w:rPr>
                <w:rFonts w:ascii="Arial" w:cs="Arial" w:eastAsia="Arial" w:hAnsi="Arial"/>
                <w:sz w:val="18"/>
                <w:szCs w:val="18"/>
                <w:color w:val="auto"/>
              </w:rPr>
              <w:t>Goodwill and the effect of foreign currency translation is as follows:</w:t>
            </w:r>
          </w:p>
        </w:tc>
        <w:tc>
          <w:tcPr>
            <w:tcW w:w="2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8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balance as of January 1, 2024</w:t>
            </w:r>
          </w:p>
        </w:tc>
        <w:tc>
          <w:tcPr>
            <w:tcW w:w="2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$13,554</w:t>
            </w:r>
          </w:p>
        </w:tc>
      </w:tr>
      <w:tr>
        <w:trPr>
          <w:trHeight w:val="209"/>
        </w:trPr>
        <w:tc>
          <w:tcPr>
            <w:tcW w:w="8080" w:type="dxa"/>
            <w:vAlign w:val="bottom"/>
          </w:tcPr>
          <w:p>
            <w:pPr>
              <w:spacing w:after="0" w:line="202" w:lineRule="exact"/>
              <w:rPr>
                <w:sz w:val="20"/>
                <w:szCs w:val="20"/>
                <w:color w:val="auto"/>
              </w:rPr>
            </w:pPr>
            <w:r>
              <w:rPr>
                <w:rFonts w:ascii="Arial" w:cs="Arial" w:eastAsia="Arial" w:hAnsi="Arial"/>
                <w:sz w:val="18"/>
                <w:szCs w:val="18"/>
                <w:color w:val="auto"/>
              </w:rPr>
              <w:t>Effect of foreign currency translation</w:t>
            </w:r>
          </w:p>
        </w:tc>
        <w:tc>
          <w:tcPr>
            <w:tcW w:w="222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balance as of September 30, 2024</w:t>
            </w:r>
          </w:p>
        </w:tc>
        <w:tc>
          <w:tcPr>
            <w:tcW w:w="2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14,253</w:t>
            </w:r>
          </w:p>
        </w:tc>
      </w:tr>
      <w:tr>
        <w:trPr>
          <w:trHeight w:val="20"/>
        </w:trPr>
        <w:tc>
          <w:tcPr>
            <w:tcW w:w="8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w:t>
      </w:r>
    </w:p>
    <w:p>
      <w:pPr>
        <w:spacing w:after="0" w:line="102" w:lineRule="exact"/>
        <w:rPr>
          <w:sz w:val="20"/>
          <w:szCs w:val="20"/>
          <w:color w:val="auto"/>
        </w:rPr>
      </w:pPr>
    </w:p>
    <w:p>
      <w:pPr>
        <w:jc w:val="both"/>
        <w:ind w:left="120" w:right="80" w:firstLine="551"/>
        <w:spacing w:after="0" w:line="271" w:lineRule="auto"/>
        <w:rPr>
          <w:sz w:val="20"/>
          <w:szCs w:val="20"/>
          <w:color w:val="auto"/>
        </w:rPr>
      </w:pPr>
      <w:r>
        <w:rPr>
          <w:rFonts w:ascii="Arial" w:cs="Arial" w:eastAsia="Arial" w:hAnsi="Arial"/>
          <w:sz w:val="18"/>
          <w:szCs w:val="18"/>
          <w:color w:val="auto"/>
        </w:rPr>
        <w:t>The Company’s intangible asset is comprised solely of developed technology and is being amortized using the straight-line method which reflects the pattern in which the economic benefits of the asset are consumed, over its estimated useful life of five years.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intangible asset, current and future amortization, and the effect of foreign currency translation: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 balance as of January 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1,655</w:t>
            </w:r>
          </w:p>
        </w:tc>
        <w:tc>
          <w:tcPr>
            <w:tcW w:w="440" w:type="dxa"/>
            <w:vAlign w:val="bottom"/>
            <w:gridSpan w:val="2"/>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Effect of foreign currency translation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85</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balance as of period end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1,740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696</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Future amortization:</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Remainder of 2024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color w:val="auto"/>
              </w:rPr>
              <w:t>Total future amortization</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120" w:right="7140" w:hanging="4"/>
        <w:spacing w:after="0" w:line="360" w:lineRule="auto"/>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and License Agreements </w:t>
      </w:r>
      <w:r>
        <w:rPr>
          <w:rFonts w:ascii="Arial" w:cs="Arial" w:eastAsia="Arial" w:hAnsi="Arial"/>
          <w:sz w:val="18"/>
          <w:szCs w:val="18"/>
          <w:i w:val="1"/>
          <w:iCs w:val="1"/>
          <w:color w:val="auto"/>
        </w:rPr>
        <w:t>Pfizer MTA</w:t>
      </w:r>
    </w:p>
    <w:p>
      <w:pPr>
        <w:ind w:left="120" w:right="160" w:firstLine="551"/>
        <w:spacing w:after="0" w:line="247" w:lineRule="auto"/>
        <w:rPr>
          <w:sz w:val="20"/>
          <w:szCs w:val="20"/>
          <w:color w:val="auto"/>
        </w:rPr>
      </w:pPr>
      <w:r>
        <w:rPr>
          <w:rFonts w:ascii="Arial" w:cs="Arial" w:eastAsia="Arial" w:hAnsi="Arial"/>
          <w:sz w:val="18"/>
          <w:szCs w:val="18"/>
          <w:color w:val="auto"/>
        </w:rPr>
        <w:t>In December 2022, the Company entered into a material transfer and evaluation agreement (the “Pfizer MTA”) with Pfizer, Inc. (“Pfizer”) in which the Company granted to Pfizer a nonexclusive license to access the Company’s intellectual property. Under the Pfizer MTA, the Company and Pfizer will jointly conduct research to identify novel hits using the Company’s natural product platform to initiate a preclinical drug discovery program against an oncogenic transcription factor.</w:t>
      </w:r>
    </w:p>
    <w:p>
      <w:pPr>
        <w:spacing w:after="0" w:line="174" w:lineRule="exact"/>
        <w:rPr>
          <w:sz w:val="20"/>
          <w:szCs w:val="20"/>
          <w:color w:val="auto"/>
        </w:rPr>
      </w:pPr>
    </w:p>
    <w:p>
      <w:pPr>
        <w:jc w:val="both"/>
        <w:ind w:left="120" w:right="200" w:firstLine="551"/>
        <w:spacing w:after="0" w:line="247" w:lineRule="auto"/>
        <w:rPr>
          <w:sz w:val="20"/>
          <w:szCs w:val="20"/>
          <w:color w:val="auto"/>
        </w:rPr>
      </w:pPr>
      <w:r>
        <w:rPr>
          <w:rFonts w:ascii="Arial" w:cs="Arial" w:eastAsia="Arial" w:hAnsi="Arial"/>
          <w:sz w:val="18"/>
          <w:szCs w:val="18"/>
          <w:color w:val="auto"/>
        </w:rPr>
        <w:t>The Company determined that the Pfizer MTA represents a contract with a customer and consists of one combined performance obligation for the nonexclusive license and the promise to provide research and development services (“R&amp;D services”) to Pfizer, as the license and promise are not capable of being distinct in the context of the contract. The Pfizer MTA is for an initial period of two and one-half years or upon completion of the research if completed or terminated earlier. In addition, the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5" w:right="4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Pfizer MTA contains two options that require the Company to provide further R&amp;D services to Pfizer (the “First Pfizer Option” and “Second Pfizer Option”, collectively the “Pfizer Options”). The Company evaluated the options to continue the R&amp;D services and concluded that these options did not represent material rights, as they were deemed to be for additional R&amp;D services that are at their standalone selling price.</w:t>
      </w:r>
    </w:p>
    <w:p>
      <w:pPr>
        <w:spacing w:after="0" w:line="174"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In 2023, Pfizer paid the Company a nonrefundable upfront payment of $ 1.0 million in exchange for the nonexclusive license as well as R&amp;D services performed by the Company over the initial period. In addition, the Company is eligible to receive contingent payments of up to $985 thousand following the completion of additional R&amp;D services under the Pfizer MTA.</w:t>
      </w:r>
    </w:p>
    <w:p>
      <w:pPr>
        <w:spacing w:after="0" w:line="169"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The Company determined the transaction price at inception to be the upfront payment of $1.0 million, as the variable consideration for additional R&amp;D services was subject to constraint at contract inception. At each reporting period, the Company will reevaluate the variable consideration subject to constraint and, if necessary, will adjust its estimate of the overall transaction price.</w:t>
      </w:r>
    </w:p>
    <w:p>
      <w:pPr>
        <w:spacing w:after="0" w:line="169"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In December 2023, the First Pfizer Option was exercised and the Company subsequently invoiced $0.4 million under the terms of the Pfizer MTA. As such, the Company updated the estimated transaction price to be $1.4 million as the uncertainty related to the First Pfizer Option was resolved and will recognize the associated revenue over the remaining performance period according to its measure of progress. The adjustment to revenue upon updating the estimated transaction price was de minimis.</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Revenue from the Pfizer MTA is recognized over the estimated performance of the R&amp;D services using the time-elapsed input method which the Company believes best depicts the transfer of control to Pfizer. The Company recognized $0.3 million and $0.8 million of revenue associated with the Pfizer MTA during the nine months ended September 30, 2024 and 2023, respectively, which is included in collaboration revenue on the condensed consolidated statements of operations and comprehensive loss. As of September 30, 2024 and December 31, 2023, the Company recorded deferred revenue of $0.2 million and $0.4 million, respectively, within accrued expenses on the condensed consolidated balance sheet. As of September 30, 2024, the Company expects to recognize the remaining deferred revenue payment over the remaining estimated research and development period of approximately 2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Strategic Collaboration, Option, and License Agreement</w:t>
      </w:r>
    </w:p>
    <w:p>
      <w:pPr>
        <w:spacing w:after="0" w:line="102"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On March 29, 2024, the Company entered into a strategic collaboration, option and license agreement (the “J&amp;J Agreement”) with Janssen Pharmaceutica NV, a Johnson &amp; Johnson company (“J&amp;J”) to jointly discover and optimize small molecule medicines against select therapeutic targets using the Company’s artificial intelligence and machine learning capability.</w:t>
      </w:r>
    </w:p>
    <w:p>
      <w:pPr>
        <w:spacing w:after="0" w:line="16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Each party granted to the other party a non-exclusive, royalty-free, worldwide license (the “Research License”) to certain intellectual property in connection with the other party’s research activities under the J&amp;J Agreement (the “Initial R&amp;D Services”). The Company also granted J&amp;J an exclusive option to obtain a commercial license with respect to each program within a specified time period. On a program-by-program basis, if J&amp;J elects to exercise such option or if J&amp;J initiates certain research activities for a program (without exercising such option), the Company would be entitled to a payment in the mid-single digit millions of dollars. J&amp;J may elect up to four replacement targets prior to the earlier of the end of the research term or exercise of the option to obtain a commercial license.</w:t>
      </w:r>
    </w:p>
    <w:p>
      <w:pPr>
        <w:spacing w:after="0" w:line="179"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J&amp;J paid the Company a nonrefundable upfront payment of $6.5 million in connection with the entry into the J&amp;J Agreement and is also eligible to receive reimbursement for additional R&amp;D services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5" w:right="4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conducted incremental to the initial R&amp;D services. The Company will be eligible to receive, subject to the achievement of certain research, development, commercialization approval and sales milestones and the option exercise described below, additional milestone payments in an aggregate amount of approximately $839.0 million from J&amp;J. The Company will also be eligible to receive low to mid-single digit percentage in tiered royalties based on the aggregate net sales of certain products that arise from the J&amp;J Agreement, if approved (subject to certain deductions). The applicable royalties will be payable to the Company in a given country commencing on the date of first commercial sale of a royalty product in such country and ending upon the latest of (i) the date of expiration of the last-to-expire valid claim included in certain intellectual property, (ii) a designated period of time following the first commercial sale in such country and (iii) the date of expiration of certain regulatory exclusivity for the applicable product in such country.</w:t>
      </w:r>
    </w:p>
    <w:p>
      <w:pPr>
        <w:spacing w:after="0" w:line="180"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The J&amp;J Agreement is managed by a joint research committee (the “JRC”), in which both parties are represented equally. The JRC is tasked with the oversight and decision-making in relation to the activities to be conducted by the parties to the J&amp;J Agreement. The JRC also oversees the progress under the development plan and budget.</w:t>
      </w:r>
    </w:p>
    <w:p>
      <w:pPr>
        <w:spacing w:after="0" w:line="169" w:lineRule="exact"/>
        <w:rPr>
          <w:sz w:val="20"/>
          <w:szCs w:val="20"/>
          <w:color w:val="auto"/>
        </w:rPr>
      </w:pPr>
    </w:p>
    <w:p>
      <w:pPr>
        <w:ind w:left="120" w:right="60" w:firstLine="551"/>
        <w:spacing w:after="0" w:line="259" w:lineRule="auto"/>
        <w:rPr>
          <w:sz w:val="20"/>
          <w:szCs w:val="20"/>
          <w:color w:val="auto"/>
        </w:rPr>
      </w:pPr>
      <w:r>
        <w:rPr>
          <w:rFonts w:ascii="Arial" w:cs="Arial" w:eastAsia="Arial" w:hAnsi="Arial"/>
          <w:sz w:val="17"/>
          <w:szCs w:val="17"/>
          <w:color w:val="auto"/>
        </w:rPr>
        <w:t xml:space="preserve">The Company determined that the J&amp;J Agreement represents a contract with a customer under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and consists of the following two distinct performance obligations at contract inception as determined under ASC 606:</w:t>
      </w:r>
    </w:p>
    <w:p>
      <w:pPr>
        <w:spacing w:after="0" w:line="1" w:lineRule="exact"/>
        <w:rPr>
          <w:sz w:val="20"/>
          <w:szCs w:val="20"/>
          <w:color w:val="auto"/>
        </w:rPr>
      </w:pPr>
    </w:p>
    <w:p>
      <w:pPr>
        <w:ind w:left="120" w:right="40" w:hanging="4"/>
        <w:spacing w:after="0" w:line="236" w:lineRule="auto"/>
        <w:tabs>
          <w:tab w:leader="none" w:pos="3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grant of the research licenses, the transfer of the research materials, project governance through the JRC and the promise to provide certain research services which are combined as a single performance obligation (the “First Performance Obligation”) and (ii) the grant of the research licenses, the transfer of research materials, project governance through the JRC and the promise to provide certain other research services which are combined as a single performance obligation (the “Second Performance Obligation”). For both performance obligations, the grant of the research licenses, project governance through the JRC, transfer of the research materials and providing of research services were combined as a single performance obligation as these obligations were determined to be highly interdependent and are not capable of being distinct within the context of the contract. The research services provided under the First Performance Obligation and the Second Performance Obligation are not highly interdependent and are capable of being distinct within the context of the contract. The research services to be provided under the First Performance Obligation and Second Performance Obligation are expected to be performed over a period of twelve months and nine months, respectively, from the contract execution date. The Company evaluated the option to provide the exclusive commercial license and concluded that the option does not represent a material right, as the option exercise fee is not offered at a significant and incremental discount. The Company also evaluated the right to the election of a replacement target and concluded that the right does not represent a material right, as the replacement target does not provide J&amp;J with a significant and incremental discount.</w:t>
      </w:r>
    </w:p>
    <w:p>
      <w:pPr>
        <w:spacing w:after="0" w:line="18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Company determined the transaction price at inception to be the up-front payment of $6.5 million, as the variable consideration for research reimbursement on additional R&amp;D services and development milestones were subject to constraint at contract inception. Research reimbursement on additional R&amp;D services will be included in the transaction price as related costs are incurred. Development milestones will be included in the transaction price when achievement of the applicable milestone is considered probable. At each reporting period, the Company will reevaluate the variable consideration subject to constraint and, if necessary, will adjust its estimate of the overall transaction price. At contract inception, the Company allocated the transaction price of $6.5 million between the two performance obligations based on their relative standalone selling price, using an expected cost plus margin approach, resulting in $3.3 million being allocated to the First Performance Obligation and $3.2 million being allocated to the Second Performance Obligation.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Revenue from the J&amp;J Agreement is recognized over the estimated performance of the initial research and development services using the cost incurred input method, which the Company believes best depicts the transfer of control to J&amp;J. The Company recognized $2.4 million of revenue associated with the J&amp;J Agreement during the nine months ended September 30, 2024, of which $0.8 million is related to the First Performance Obligation and $1.6 million is related to the Second Performance Obligation, and is recorded as collaboration revenue on the condensed consolidated statements of operations and comprehensive loss. As of September 30, 2024 the Company has recorded $4.0 million of deferred revenue within accrued expenses on the condensed consolidated balance sheet, of which $2.6 million is related to the First Performance Obligation and $1.4 million is related to the Second Performance Obligation. The deferred revenue for the First Performance Obligation and the Second Performance Obligation is expected to be recognized over the next twelve months. During the nine months ended September 30, 2024, there have been no development, commercial, and sales-based milestone payments or royalties based on sales of the program milestones achieved under the J&amp;J Agreement.</w:t>
      </w:r>
    </w:p>
    <w:p>
      <w:pPr>
        <w:spacing w:after="0" w:line="180"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Deferred revenue associated with our collaboration and license agreements is recorded within accrued expenses on the condensed consolidated balance sheets (see Note 8). The following table summarizes the changes in deferred revenue: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7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406</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ind w:right="920"/>
              <w:spacing w:after="0" w:line="202" w:lineRule="exact"/>
              <w:rPr>
                <w:sz w:val="20"/>
                <w:szCs w:val="20"/>
                <w:color w:val="auto"/>
              </w:rPr>
            </w:pPr>
            <w:r>
              <w:rPr>
                <w:rFonts w:ascii="Arial" w:cs="Arial" w:eastAsia="Arial" w:hAnsi="Arial"/>
                <w:sz w:val="18"/>
                <w:szCs w:val="18"/>
                <w:color w:val="auto"/>
              </w:rPr>
              <w:t>6,500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(2,717)</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w:t>
            </w: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4,189</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551"/>
        </w:trPr>
        <w:tc>
          <w:tcPr>
            <w:tcW w:w="7740" w:type="dxa"/>
            <w:vAlign w:val="bottom"/>
          </w:tcPr>
          <w:p>
            <w:pPr>
              <w:ind w:left="540"/>
              <w:spacing w:after="0"/>
              <w:rPr>
                <w:sz w:val="20"/>
                <w:szCs w:val="20"/>
                <w:color w:val="auto"/>
              </w:rPr>
            </w:pPr>
            <w:r>
              <w:rPr>
                <w:rFonts w:ascii="Arial" w:cs="Arial" w:eastAsia="Arial" w:hAnsi="Arial"/>
                <w:sz w:val="18"/>
                <w:szCs w:val="18"/>
                <w:color w:val="auto"/>
              </w:rPr>
              <w:t>The following table summarizes the change in accounts receivable: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7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6,500</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(6,943)</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60" w:type="dxa"/>
            <w:vAlign w:val="bottom"/>
            <w:gridSpan w:val="2"/>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the following revenues as a result of changes in the deferred revenue balance:</w:t>
      </w:r>
    </w:p>
    <w:p>
      <w:pPr>
        <w:spacing w:after="0" w:line="248"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6350</wp:posOffset>
            </wp:positionV>
            <wp:extent cx="20148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4" w:lineRule="exact"/>
        <w:rPr>
          <w:sz w:val="20"/>
          <w:szCs w:val="20"/>
          <w:color w:val="auto"/>
        </w:rPr>
      </w:pPr>
    </w:p>
    <w:p>
      <w:pPr>
        <w:ind w:left="8240"/>
        <w:spacing w:after="0"/>
        <w:tabs>
          <w:tab w:leader="none" w:pos="104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ind w:left="120"/>
        <w:spacing w:after="0"/>
        <w:tabs>
          <w:tab w:leader="none" w:pos="7880" w:val="left"/>
          <w:tab w:leader="none" w:pos="8580" w:val="left"/>
          <w:tab w:leader="none" w:pos="10040" w:val="left"/>
          <w:tab w:leader="none" w:pos="10760" w:val="left"/>
        </w:tabs>
        <w:rPr>
          <w:sz w:val="20"/>
          <w:szCs w:val="20"/>
          <w:color w:val="auto"/>
        </w:rPr>
      </w:pPr>
      <w:r>
        <w:rPr>
          <w:rFonts w:ascii="Arial" w:cs="Arial" w:eastAsia="Arial" w:hAnsi="Arial"/>
          <w:sz w:val="18"/>
          <w:szCs w:val="18"/>
          <w:color w:val="auto"/>
        </w:rPr>
        <w:t>Amounts included in deferred revenue as of the beginning of the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Terray Collaboration Agreement</w:t>
      </w:r>
    </w:p>
    <w:p>
      <w:pPr>
        <w:spacing w:after="0" w:line="102" w:lineRule="exact"/>
        <w:rPr>
          <w:sz w:val="20"/>
          <w:szCs w:val="20"/>
          <w:color w:val="auto"/>
        </w:rPr>
      </w:pPr>
    </w:p>
    <w:p>
      <w:pPr>
        <w:ind w:left="120" w:right="360" w:firstLine="551"/>
        <w:spacing w:after="0" w:line="275" w:lineRule="auto"/>
        <w:rPr>
          <w:sz w:val="20"/>
          <w:szCs w:val="20"/>
          <w:color w:val="auto"/>
        </w:rPr>
      </w:pPr>
      <w:r>
        <w:rPr>
          <w:rFonts w:ascii="Arial" w:cs="Arial" w:eastAsia="Arial" w:hAnsi="Arial"/>
          <w:sz w:val="17"/>
          <w:szCs w:val="17"/>
          <w:color w:val="auto"/>
        </w:rPr>
        <w:t>On September 11, 2024, the Company entered into a collaboration and license agreement with Terray Therapeutics, Inc. (the “Terray Agreement”) in which the Company and Terray granted to each other certain royalty-free, fully paid-up, co-exclusive licenses in order to collaborate to discover, develop, and commercialize or out-license products directed to interferon regulatory factor 5 (“IRF5”)</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47" w:lineRule="auto"/>
        <w:rPr>
          <w:sz w:val="20"/>
          <w:szCs w:val="20"/>
          <w:color w:val="auto"/>
        </w:rPr>
      </w:pPr>
      <w:r>
        <w:rPr>
          <w:rFonts w:ascii="Arial" w:cs="Arial" w:eastAsia="Arial" w:hAnsi="Arial"/>
          <w:sz w:val="18"/>
          <w:szCs w:val="18"/>
          <w:color w:val="auto"/>
        </w:rPr>
        <w:t>under a profit and loss share arrangement. The activities performed under the Terray Agreement are governed by a joint steering committee, made up of two employees designated by each party. No upfront payments were made upon the execution of the Terray Agreement in consideration for the grant of the licenses and no activities under the Terray Agreement have commenced as of September 30, 2024.</w:t>
      </w:r>
    </w:p>
    <w:p>
      <w:pPr>
        <w:spacing w:after="0" w:line="322"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The following table sets forth by level, within the fair value hierarchy, the financial assets and liabilities carried at fair value on a recurring basis: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active markets</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for identical</w:t>
            </w:r>
          </w:p>
        </w:tc>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assets (Level 1)</w:t>
            </w:r>
          </w:p>
        </w:tc>
        <w:tc>
          <w:tcPr>
            <w:tcW w:w="14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3"/>
        </w:trPr>
        <w:tc>
          <w:tcPr>
            <w:tcW w:w="5060" w:type="dxa"/>
            <w:vAlign w:val="bottom"/>
            <w:tcBorders>
              <w:top w:val="single" w:sz="8" w:color="CCEEFF"/>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28,772</w:t>
            </w:r>
          </w:p>
        </w:tc>
        <w:tc>
          <w:tcPr>
            <w:tcW w:w="4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28,772</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— </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28,772</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28,772</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U.S. treasury bills and U.S. treasury notes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115,469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w:t>
            </w:r>
          </w:p>
        </w:tc>
        <w:tc>
          <w:tcPr>
            <w:tcW w:w="580" w:type="dxa"/>
            <w:vAlign w:val="bottom"/>
          </w:tcPr>
          <w:p>
            <w:pPr>
              <w:spacing w:after="0"/>
              <w:rPr>
                <w:sz w:val="17"/>
                <w:szCs w:val="17"/>
                <w:color w:val="auto"/>
              </w:rPr>
            </w:pP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115,469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w w:val="96"/>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115,469</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115,469</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9,796</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10"/>
        </w:trPr>
        <w:tc>
          <w:tcPr>
            <w:tcW w:w="506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9,841</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active markets</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for identical</w:t>
            </w:r>
          </w:p>
        </w:tc>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assets (Level 1)</w:t>
            </w:r>
          </w:p>
        </w:tc>
        <w:tc>
          <w:tcPr>
            <w:tcW w:w="14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3"/>
        </w:trPr>
        <w:tc>
          <w:tcPr>
            <w:tcW w:w="5060" w:type="dxa"/>
            <w:vAlign w:val="bottom"/>
            <w:tcBorders>
              <w:top w:val="single" w:sz="8" w:color="CCEEFF"/>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36,145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36,145</w:t>
            </w:r>
          </w:p>
        </w:tc>
        <w:tc>
          <w:tcPr>
            <w:tcW w:w="580" w:type="dxa"/>
            <w:vAlign w:val="bottom"/>
          </w:tcPr>
          <w:p>
            <w:pPr>
              <w:spacing w:after="0"/>
              <w:rPr>
                <w:sz w:val="17"/>
                <w:szCs w:val="17"/>
                <w:color w:val="auto"/>
              </w:rPr>
            </w:pP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30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0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36,145</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36,145</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U.S. treasury bills and U.S. treasury notes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168,534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w:t>
            </w:r>
          </w:p>
        </w:tc>
        <w:tc>
          <w:tcPr>
            <w:tcW w:w="580" w:type="dxa"/>
            <w:vAlign w:val="bottom"/>
          </w:tcPr>
          <w:p>
            <w:pPr>
              <w:spacing w:after="0"/>
              <w:rPr>
                <w:sz w:val="17"/>
                <w:szCs w:val="17"/>
                <w:color w:val="auto"/>
              </w:rPr>
            </w:pP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168,534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w w:val="96"/>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168,534</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168,534</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8,381</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10"/>
        </w:trPr>
        <w:tc>
          <w:tcPr>
            <w:tcW w:w="506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8,414</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in valuation techniques or transfers between Levels 1, 2 or 3 for the periods presented.</w:t>
      </w:r>
    </w:p>
    <w:p>
      <w:pPr>
        <w:spacing w:after="0" w:line="212"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Marketable securities classified as Level 2 within the valuation hierarchy generally consist of U.S. treasury bills and treasury notes. The Company estimates the fair values of marketable securities by taking into consideration valuations obtained from third-party pricing sources.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5" w:right="4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The Company’s other financial instruments not carried at fair value consist primarily of cash and cash equivalents (except investments in money market funds, as disclosed above), accounts payable and accrued expenses, for which fair values approximate their carrying amounts, due to the short-term nature of these instruments.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Contingent Consideration</w:t>
      </w:r>
    </w:p>
    <w:p>
      <w:pPr>
        <w:spacing w:after="0" w:line="10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The contingent consideration in the below tables relates to the estimated fair value of future payments that may be made by the Company to the shareholders of IFM Discovery, LLC (“IFM”) and Rahko as described below. The fair value of the contingent consideration was determined based on significant inputs not observable in the market, which represent Level 3 measurements.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IFM</w:t>
      </w:r>
    </w:p>
    <w:p>
      <w:pPr>
        <w:spacing w:after="0" w:line="10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May 2022, the Company acquired all of the membership interests in IFM Discovery, LLC (“IFM”). The total purchase consideration was $ 3.1 million, which consisted of the following: (i) 81,240 shares of non-voting common stock at closing with the estimated fair value of $0.2 million, (ii) cash consideration of $0.9 million at closing, (iii) a deferred payment of $ 0.9 million, which was paid in June 2022 and (iv) contingent consideration in cash of up to $30.0 million, payable once for each of the NLR family pyrin domain containing 1 (“NLRP1”) and melanoma differentiation-associated protein 5 (“MDA5”) programs upon the first achievement of certain development, commercial, regulatory and sales milestones related to each such program. The estimated fair value of the contingent consideration was determined to be $1.1 million on the acquisition date. The contingent consideration is remeasured at each balance sheet date.</w:t>
      </w:r>
    </w:p>
    <w:p>
      <w:pPr>
        <w:spacing w:after="0" w:line="18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fair value of the contingent consideration related to development, commercial, regulatory and sales milestones was based on the discounted cash flow valuation technique. The technique considered the following assumptions: (i) the probability and timing of achieving the specified milestones as of the valuation date and (ii) the market-based discount rates, with the most significant assumptions being the timing of the projected milestones and the probability of the milestones being achieved. The fair value of the contingent consideration could change in future periods depending on the prospects for the Company’s MDA5 and NLRP1 drug discovery programs acquired as part of the IFM transaction achieving development, commercial, regulatory and sales milestones. The estimated contingent consideration as of September 30, 2024 and December 31, 2023, related to the IFM acquisition, was $1.4 million.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significant inputs to the discounted cash flow technique used to value contingent consideration for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IFM as of September 30, 2024 and December 31, 2023:</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20"/>
                <w:szCs w:val="20"/>
                <w:color w:val="auto"/>
              </w:rPr>
            </w:pPr>
            <w:r>
              <w:rPr>
                <w:rFonts w:ascii="Arial" w:cs="Arial" w:eastAsia="Arial" w:hAnsi="Arial"/>
                <w:sz w:val="14"/>
                <w:szCs w:val="14"/>
                <w:b w:val="1"/>
                <w:bCs w:val="1"/>
                <w:color w:val="auto"/>
              </w:rPr>
              <w:t>Significant Unobservable Inputs</w:t>
            </w:r>
          </w:p>
        </w:tc>
        <w:tc>
          <w:tcPr>
            <w:tcW w:w="214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 2024</w:t>
            </w:r>
          </w:p>
        </w:tc>
        <w:tc>
          <w:tcPr>
            <w:tcW w:w="1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1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2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Projected milestone timing</w:t>
            </w:r>
          </w:p>
        </w:tc>
        <w:tc>
          <w:tcPr>
            <w:tcW w:w="21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2.25 to 12.25 Years</w:t>
            </w: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 to 13 Years</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Probability of milestone achievement - NLRP1 program</w:t>
            </w:r>
          </w:p>
        </w:tc>
        <w:tc>
          <w:tcPr>
            <w:tcW w:w="2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5.0% - 35.0%</w:t>
            </w: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 - 35.0%</w:t>
            </w:r>
          </w:p>
        </w:tc>
      </w:tr>
      <w:tr>
        <w:trPr>
          <w:trHeight w:val="239"/>
        </w:trPr>
        <w:tc>
          <w:tcPr>
            <w:tcW w:w="7260" w:type="dxa"/>
            <w:vAlign w:val="bottom"/>
          </w:tcPr>
          <w:p>
            <w:pPr>
              <w:spacing w:after="0"/>
              <w:rPr>
                <w:sz w:val="20"/>
                <w:szCs w:val="20"/>
                <w:color w:val="auto"/>
              </w:rPr>
            </w:pPr>
            <w:r>
              <w:rPr>
                <w:rFonts w:ascii="Arial" w:cs="Arial" w:eastAsia="Arial" w:hAnsi="Arial"/>
                <w:sz w:val="18"/>
                <w:szCs w:val="18"/>
                <w:color w:val="auto"/>
              </w:rPr>
              <w:t>Probability of milestone achievement - MDA5 program</w:t>
            </w:r>
          </w:p>
        </w:tc>
        <w:tc>
          <w:tcPr>
            <w:tcW w:w="2140" w:type="dxa"/>
            <w:vAlign w:val="bottom"/>
            <w:gridSpan w:val="2"/>
          </w:tcPr>
          <w:p>
            <w:pPr>
              <w:jc w:val="right"/>
              <w:ind w:right="260"/>
              <w:spacing w:after="0"/>
              <w:rPr>
                <w:sz w:val="20"/>
                <w:szCs w:val="20"/>
                <w:color w:val="auto"/>
              </w:rPr>
            </w:pPr>
            <w:r>
              <w:rPr>
                <w:rFonts w:ascii="Arial" w:cs="Arial" w:eastAsia="Arial" w:hAnsi="Arial"/>
                <w:sz w:val="18"/>
                <w:szCs w:val="18"/>
                <w:color w:val="auto"/>
              </w:rPr>
              <w:t>5.0% - 35.0%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5.0% - 35.0%</w:t>
            </w:r>
          </w:p>
        </w:tc>
      </w:tr>
    </w:tbl>
    <w:p>
      <w:pPr>
        <w:spacing w:after="0" w:line="161" w:lineRule="exact"/>
        <w:rPr>
          <w:sz w:val="20"/>
          <w:szCs w:val="20"/>
          <w:color w:val="auto"/>
        </w:rPr>
      </w:pPr>
    </w:p>
    <w:p>
      <w:pPr>
        <w:ind w:left="120" w:right="860" w:firstLine="551"/>
        <w:spacing w:after="0" w:line="271" w:lineRule="auto"/>
        <w:rPr>
          <w:sz w:val="20"/>
          <w:szCs w:val="20"/>
          <w:color w:val="auto"/>
        </w:rPr>
      </w:pPr>
      <w:r>
        <w:rPr>
          <w:rFonts w:ascii="Arial" w:cs="Arial" w:eastAsia="Arial" w:hAnsi="Arial"/>
          <w:sz w:val="18"/>
          <w:szCs w:val="18"/>
          <w:color w:val="auto"/>
        </w:rPr>
        <w:t>Significant increases or decreases in these inputs could result in a significantly lower or higher fair value measurement of the contingent consideration liability.</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Rahko</w:t>
      </w:r>
    </w:p>
    <w:p>
      <w:pPr>
        <w:spacing w:after="0" w:line="102"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Rahko acquisition included additional consideration payable of up to $30.0 million to the previous shareholders of Rahko upon the achievement of certain qualifying events, including</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hanging="4"/>
        <w:spacing w:after="0" w:line="254" w:lineRule="auto"/>
        <w:tabs>
          <w:tab w:leader="none" w:pos="39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following the Company’s completion of an initial public offering (“IPO”) or public listing of the Company’s shares on certain designated exchanges, upon the first occurrence of the total market capitalization of the Company being equal to or in excess of $1.5 billion, or (b) an exit event such as (i) a transaction or transactions by which more than 50% of the combined voting power of then outstanding voting securities of the Company are acquired, (ii) consolidation or merger of the Company into another entity, or (iii) sale or disposition of substantially all of the assets of the Company, in each case for which the potential proceeds are equal to or in excess of $1.5 billion. The fair value of the contingent consideration was determined based on a Monte-Carlo simulation model that utilizes a geometric Brownian motion to estimate the equity value of the Company at expected qualifying event dates. The Company applied risk-free rate, volatility and discount rate to simulate the expected equity value of the Company as of the expected qualifying event dates. The risk-free rate was based upon the interest rates corresponding to the time period for U.S. Treasury notes published by the U.S. Federal Reserve. The volatility was estimated based on equity volatility indications from the guideline public companies and the capital structure of the Company.</w:t>
      </w:r>
    </w:p>
    <w:p>
      <w:pPr>
        <w:spacing w:after="0" w:line="172" w:lineRule="exact"/>
        <w:rPr>
          <w:sz w:val="20"/>
          <w:szCs w:val="20"/>
          <w:color w:val="auto"/>
        </w:rPr>
      </w:pPr>
    </w:p>
    <w:p>
      <w:pPr>
        <w:ind w:left="120" w:right="460" w:firstLine="551"/>
        <w:spacing w:after="0" w:line="244" w:lineRule="auto"/>
        <w:rPr>
          <w:sz w:val="20"/>
          <w:szCs w:val="20"/>
          <w:color w:val="auto"/>
        </w:rPr>
      </w:pPr>
      <w:r>
        <w:rPr>
          <w:rFonts w:ascii="Arial" w:cs="Arial" w:eastAsia="Arial" w:hAnsi="Arial"/>
          <w:sz w:val="18"/>
          <w:szCs w:val="18"/>
          <w:color w:val="auto"/>
        </w:rPr>
        <w:t>The contingent consideration as of the date when the Company has met the certain market capitalization threshold following a certain qualifying event was discounted to the measurement date using a discount rate that is based on the risk-free rate and the Company’s credit spread. The discounted amount of contingent consideration and the equity values are subject to the Monte-Carlo simulations for 100,000 trials to derive the fair value of the contingent consideration. The estimated contingent consideration as of September 30, 2024 and December 31, 2023, related to the Rahko acquisition was $8.4 million and $6.9 million, respectively.</w:t>
      </w:r>
    </w:p>
    <w:p>
      <w:pPr>
        <w:spacing w:after="0" w:line="176" w:lineRule="exact"/>
        <w:rPr>
          <w:sz w:val="20"/>
          <w:szCs w:val="20"/>
          <w:color w:val="auto"/>
        </w:rPr>
      </w:pPr>
    </w:p>
    <w:p>
      <w:pPr>
        <w:ind w:left="120" w:right="460" w:firstLine="551"/>
        <w:spacing w:after="0" w:line="253" w:lineRule="auto"/>
        <w:rPr>
          <w:sz w:val="20"/>
          <w:szCs w:val="20"/>
          <w:color w:val="auto"/>
        </w:rPr>
      </w:pPr>
      <w:r>
        <w:rPr>
          <w:rFonts w:ascii="Arial" w:cs="Arial" w:eastAsia="Arial" w:hAnsi="Arial"/>
          <w:sz w:val="18"/>
          <w:szCs w:val="18"/>
          <w:color w:val="auto"/>
        </w:rPr>
        <w:t>The following table sets forth the probability of completing an IPO (measured as a standalone metric separate from the other necessary triggers for the contingent consideration related to the Rahko acquisition), which was a significant input to the Monte-Carlo simulation used to value such contingent consideration: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of September 30, 2024</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6"/>
        </w:trPr>
        <w:tc>
          <w:tcPr>
            <w:tcW w:w="128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2"/>
          </w:tcPr>
          <w:p>
            <w:pPr>
              <w:jc w:val="center"/>
              <w:ind w:right="740"/>
              <w:spacing w:after="0" w:line="147" w:lineRule="exact"/>
              <w:rPr>
                <w:sz w:val="20"/>
                <w:szCs w:val="20"/>
                <w:color w:val="auto"/>
              </w:rPr>
            </w:pPr>
            <w:r>
              <w:rPr>
                <w:rFonts w:ascii="Arial" w:cs="Arial" w:eastAsia="Arial" w:hAnsi="Arial"/>
                <w:sz w:val="14"/>
                <w:szCs w:val="14"/>
                <w:b w:val="1"/>
                <w:bCs w:val="1"/>
                <w:color w:val="auto"/>
              </w:rPr>
              <w:t>Risk Free Rate</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Expected IPO Date</w:t>
            </w:r>
          </w:p>
        </w:tc>
        <w:tc>
          <w:tcPr>
            <w:tcW w:w="2640" w:type="dxa"/>
            <w:vAlign w:val="bottom"/>
            <w:vMerge w:val="restart"/>
          </w:tcPr>
          <w:p>
            <w:pPr>
              <w:spacing w:after="0"/>
              <w:rPr>
                <w:sz w:val="14"/>
                <w:szCs w:val="14"/>
                <w:color w:val="auto"/>
              </w:rPr>
            </w:pPr>
          </w:p>
        </w:tc>
        <w:tc>
          <w:tcPr>
            <w:tcW w:w="21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Probability of IPO</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Applied to Equity</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80" w:type="dxa"/>
            <w:vAlign w:val="bottom"/>
            <w:tcBorders>
              <w:bottom w:val="single" w:sz="8" w:color="auto"/>
            </w:tcBorders>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2100" w:type="dxa"/>
            <w:vAlign w:val="bottom"/>
            <w:gridSpan w:val="2"/>
          </w:tcPr>
          <w:p>
            <w:pPr>
              <w:jc w:val="right"/>
              <w:ind w:right="1300"/>
              <w:spacing w:after="0" w:line="158" w:lineRule="exact"/>
              <w:rPr>
                <w:sz w:val="20"/>
                <w:szCs w:val="20"/>
                <w:color w:val="auto"/>
              </w:rPr>
            </w:pPr>
            <w:r>
              <w:rPr>
                <w:rFonts w:ascii="Arial" w:cs="Arial" w:eastAsia="Arial" w:hAnsi="Arial"/>
                <w:sz w:val="14"/>
                <w:szCs w:val="14"/>
                <w:b w:val="1"/>
                <w:bCs w:val="1"/>
                <w:color w:val="auto"/>
              </w:rPr>
              <w:t>Event</w:t>
            </w:r>
          </w:p>
        </w:tc>
        <w:tc>
          <w:tcPr>
            <w:tcW w:w="1920" w:type="dxa"/>
            <w:vAlign w:val="bottom"/>
            <w:gridSpan w:val="2"/>
          </w:tcPr>
          <w:p>
            <w:pPr>
              <w:jc w:val="right"/>
              <w:ind w:right="880"/>
              <w:spacing w:after="0" w:line="158" w:lineRule="exact"/>
              <w:rPr>
                <w:sz w:val="20"/>
                <w:szCs w:val="20"/>
                <w:color w:val="auto"/>
              </w:rPr>
            </w:pPr>
            <w:r>
              <w:rPr>
                <w:rFonts w:ascii="Arial" w:cs="Arial" w:eastAsia="Arial" w:hAnsi="Arial"/>
                <w:sz w:val="14"/>
                <w:szCs w:val="14"/>
                <w:b w:val="1"/>
                <w:bCs w:val="1"/>
                <w:color w:val="auto"/>
              </w:rPr>
              <w:t>Discount Rates</w:t>
            </w:r>
          </w:p>
        </w:tc>
        <w:tc>
          <w:tcPr>
            <w:tcW w:w="194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6"/>
              </w:rPr>
              <w:t>Value</w:t>
            </w:r>
          </w:p>
        </w:tc>
        <w:tc>
          <w:tcPr>
            <w:tcW w:w="11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Equity Volatility</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January 15, 2025</w:t>
            </w:r>
          </w:p>
        </w:tc>
        <w:tc>
          <w:tcPr>
            <w:tcW w:w="12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20" w:type="dxa"/>
            <w:vAlign w:val="bottom"/>
            <w:gridSpan w:val="2"/>
            <w:vMerge w:val="continue"/>
            <w:shd w:val="clear" w:color="auto" w:fill="CCEEFF"/>
          </w:tcPr>
          <w:p>
            <w:pPr>
              <w:spacing w:after="0"/>
              <w:rPr>
                <w:sz w:val="16"/>
                <w:szCs w:val="16"/>
                <w:color w:val="auto"/>
              </w:rPr>
            </w:pPr>
          </w:p>
        </w:tc>
        <w:tc>
          <w:tcPr>
            <w:tcW w:w="210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8"/>
                <w:szCs w:val="18"/>
                <w:color w:val="auto"/>
              </w:rPr>
              <w:t>20%</w:t>
            </w:r>
          </w:p>
        </w:tc>
        <w:tc>
          <w:tcPr>
            <w:tcW w:w="192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8"/>
                <w:szCs w:val="18"/>
                <w:color w:val="auto"/>
              </w:rPr>
              <w:t>13.0%</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w:t>
            </w:r>
          </w:p>
        </w:tc>
        <w:tc>
          <w:tcPr>
            <w:tcW w:w="740" w:type="dxa"/>
            <w:vAlign w:val="bottom"/>
            <w:vMerge w:val="continue"/>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April 30, 2025</w:t>
            </w:r>
          </w:p>
        </w:tc>
        <w:tc>
          <w:tcPr>
            <w:tcW w:w="21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15%</w:t>
            </w:r>
          </w:p>
        </w:tc>
        <w:tc>
          <w:tcPr>
            <w:tcW w:w="19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13.0%</w:t>
            </w:r>
          </w:p>
        </w:tc>
        <w:tc>
          <w:tcPr>
            <w:tcW w:w="19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3.8%</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15, 2026</w:t>
            </w:r>
          </w:p>
        </w:tc>
        <w:tc>
          <w:tcPr>
            <w:tcW w:w="21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7.5%</w:t>
            </w:r>
          </w:p>
        </w:tc>
        <w:tc>
          <w:tcPr>
            <w:tcW w:w="19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13.0%</w:t>
            </w:r>
          </w:p>
        </w:tc>
        <w:tc>
          <w:tcPr>
            <w:tcW w:w="19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3.9%</w:t>
            </w:r>
          </w:p>
        </w:tc>
        <w:tc>
          <w:tcPr>
            <w:tcW w:w="11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August 15, 2026</w:t>
            </w:r>
          </w:p>
        </w:tc>
        <w:tc>
          <w:tcPr>
            <w:tcW w:w="21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7.5%</w:t>
            </w:r>
          </w:p>
        </w:tc>
        <w:tc>
          <w:tcPr>
            <w:tcW w:w="19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13.0%</w:t>
            </w:r>
          </w:p>
        </w:tc>
        <w:tc>
          <w:tcPr>
            <w:tcW w:w="19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50%</w:t>
            </w:r>
          </w:p>
        </w:tc>
        <w:tc>
          <w:tcPr>
            <w:tcW w:w="19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13.0%</w:t>
            </w:r>
          </w:p>
        </w:tc>
        <w:tc>
          <w:tcPr>
            <w:tcW w:w="19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Varies</w:t>
            </w:r>
          </w:p>
        </w:tc>
        <w:tc>
          <w:tcPr>
            <w:tcW w:w="11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Varies</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40" w:right="360" w:hanging="324"/>
        <w:spacing w:after="0" w:line="285"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Reflects the probability weighted expected term of the remaining scenarios between October 2025 and August 2026 with each scenario weighted 5% overall for an aggregate probability weight of 50%.</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As of December 31, 2023</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6"/>
        </w:trPr>
        <w:tc>
          <w:tcPr>
            <w:tcW w:w="128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2"/>
          </w:tcPr>
          <w:p>
            <w:pPr>
              <w:jc w:val="center"/>
              <w:ind w:right="840"/>
              <w:spacing w:after="0" w:line="147" w:lineRule="exact"/>
              <w:rPr>
                <w:sz w:val="20"/>
                <w:szCs w:val="20"/>
                <w:color w:val="auto"/>
              </w:rPr>
            </w:pPr>
            <w:r>
              <w:rPr>
                <w:rFonts w:ascii="Arial" w:cs="Arial" w:eastAsia="Arial" w:hAnsi="Arial"/>
                <w:sz w:val="14"/>
                <w:szCs w:val="14"/>
                <w:b w:val="1"/>
                <w:bCs w:val="1"/>
                <w:color w:val="auto"/>
              </w:rPr>
              <w:t>Risk Free Rate</w:t>
            </w: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Expected IPO Date</w:t>
            </w:r>
          </w:p>
        </w:tc>
        <w:tc>
          <w:tcPr>
            <w:tcW w:w="2680" w:type="dxa"/>
            <w:vAlign w:val="bottom"/>
            <w:vMerge w:val="restart"/>
          </w:tcPr>
          <w:p>
            <w:pPr>
              <w:spacing w:after="0"/>
              <w:rPr>
                <w:sz w:val="14"/>
                <w:szCs w:val="14"/>
                <w:color w:val="auto"/>
              </w:rPr>
            </w:pPr>
          </w:p>
        </w:tc>
        <w:tc>
          <w:tcPr>
            <w:tcW w:w="20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Probability of IPO</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Applied to Equity</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206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9"/>
              </w:rPr>
              <w:t>Event</w:t>
            </w:r>
          </w:p>
        </w:tc>
        <w:tc>
          <w:tcPr>
            <w:tcW w:w="188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rPr>
              <w:t>Discount Rates</w:t>
            </w:r>
          </w:p>
        </w:tc>
        <w:tc>
          <w:tcPr>
            <w:tcW w:w="204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6"/>
              </w:rPr>
              <w:t>Value</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Equity Volatility</w:t>
            </w:r>
          </w:p>
        </w:tc>
        <w:tc>
          <w:tcPr>
            <w:tcW w:w="0" w:type="dxa"/>
            <w:vAlign w:val="bottom"/>
          </w:tcPr>
          <w:p>
            <w:pPr>
              <w:spacing w:after="0"/>
              <w:rPr>
                <w:sz w:val="1"/>
                <w:szCs w:val="1"/>
                <w:color w:val="auto"/>
              </w:rPr>
            </w:pPr>
          </w:p>
        </w:tc>
      </w:tr>
      <w:tr>
        <w:trPr>
          <w:trHeight w:val="190"/>
        </w:trPr>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September 30, 2024</w:t>
            </w:r>
          </w:p>
        </w:tc>
        <w:tc>
          <w:tcPr>
            <w:tcW w:w="12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25%</w:t>
            </w:r>
          </w:p>
        </w:tc>
        <w:tc>
          <w:tcPr>
            <w:tcW w:w="8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13.0%</w:t>
            </w:r>
          </w:p>
        </w:tc>
        <w:tc>
          <w:tcPr>
            <w:tcW w:w="8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5.0%</w:t>
            </w: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239"/>
        </w:trPr>
        <w:tc>
          <w:tcPr>
            <w:tcW w:w="3960" w:type="dxa"/>
            <w:vAlign w:val="bottom"/>
            <w:gridSpan w:val="2"/>
          </w:tcPr>
          <w:p>
            <w:pPr>
              <w:spacing w:after="0"/>
              <w:rPr>
                <w:sz w:val="20"/>
                <w:szCs w:val="20"/>
                <w:color w:val="auto"/>
              </w:rPr>
            </w:pPr>
            <w:r>
              <w:rPr>
                <w:rFonts w:ascii="Arial" w:cs="Arial" w:eastAsia="Arial" w:hAnsi="Arial"/>
                <w:sz w:val="18"/>
                <w:szCs w:val="18"/>
                <w:color w:val="auto"/>
              </w:rPr>
              <w:t>June 30, 2025</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8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13.0%</w:t>
            </w:r>
          </w:p>
        </w:tc>
        <w:tc>
          <w:tcPr>
            <w:tcW w:w="8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4.5%</w:t>
            </w:r>
          </w:p>
        </w:tc>
        <w:tc>
          <w:tcPr>
            <w:tcW w:w="8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860" w:firstLine="551"/>
        <w:spacing w:after="0" w:line="271" w:lineRule="auto"/>
        <w:rPr>
          <w:sz w:val="20"/>
          <w:szCs w:val="20"/>
          <w:color w:val="auto"/>
        </w:rPr>
      </w:pPr>
      <w:r>
        <w:rPr>
          <w:rFonts w:ascii="Arial" w:cs="Arial" w:eastAsia="Arial" w:hAnsi="Arial"/>
          <w:sz w:val="18"/>
          <w:szCs w:val="18"/>
          <w:color w:val="auto"/>
        </w:rPr>
        <w:t>Significant increases or decreases in these inputs could result in a significantly lower or higher fair value measurement of the contingent consideration liability.</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LSA Warrant Liability</w:t>
      </w:r>
    </w:p>
    <w:p>
      <w:pPr>
        <w:spacing w:after="0" w:line="102" w:lineRule="exact"/>
        <w:rPr>
          <w:sz w:val="20"/>
          <w:szCs w:val="20"/>
          <w:color w:val="auto"/>
        </w:rPr>
      </w:pPr>
    </w:p>
    <w:p>
      <w:pPr>
        <w:ind w:left="120" w:right="20" w:firstLine="551"/>
        <w:spacing w:after="0" w:line="281" w:lineRule="auto"/>
        <w:rPr>
          <w:sz w:val="20"/>
          <w:szCs w:val="20"/>
          <w:color w:val="auto"/>
        </w:rPr>
      </w:pPr>
      <w:r>
        <w:rPr>
          <w:rFonts w:ascii="Arial" w:cs="Arial" w:eastAsia="Arial" w:hAnsi="Arial"/>
          <w:sz w:val="18"/>
          <w:szCs w:val="18"/>
          <w:color w:val="auto"/>
        </w:rPr>
        <w:t xml:space="preserve">In March 2022, the Company issued a warrant to purchase up to 64,992 shares of Series A-2 convertible preferred stock, subject to vesting (the </w:t>
      </w:r>
      <w:r>
        <w:rPr>
          <w:rFonts w:ascii="Arial" w:cs="Arial" w:eastAsia="Arial" w:hAnsi="Arial"/>
          <w:sz w:val="18"/>
          <w:szCs w:val="18"/>
          <w:b w:val="1"/>
          <w:bCs w:val="1"/>
          <w:color w:val="auto"/>
        </w:rPr>
        <w:t>“</w:t>
      </w:r>
      <w:r>
        <w:rPr>
          <w:rFonts w:ascii="Arial" w:cs="Arial" w:eastAsia="Arial" w:hAnsi="Arial"/>
          <w:sz w:val="18"/>
          <w:szCs w:val="18"/>
          <w:color w:val="auto"/>
        </w:rPr>
        <w:t>LSA Warrants</w:t>
      </w:r>
      <w:r>
        <w:rPr>
          <w:rFonts w:ascii="Arial" w:cs="Arial" w:eastAsia="Arial" w:hAnsi="Arial"/>
          <w:sz w:val="18"/>
          <w:szCs w:val="18"/>
          <w:b w:val="1"/>
          <w:bCs w:val="1"/>
          <w:color w:val="auto"/>
        </w:rPr>
        <w:t>”</w:t>
      </w:r>
      <w:r>
        <w:rPr>
          <w:rFonts w:ascii="Arial" w:cs="Arial" w:eastAsia="Arial" w:hAnsi="Arial"/>
          <w:sz w:val="18"/>
          <w:szCs w:val="18"/>
          <w:color w:val="auto"/>
        </w:rPr>
        <w:t>) (see Note 10 for additional details</w:t>
      </w:r>
    </w:p>
    <w:p>
      <w:pPr>
        <w:spacing w:after="0" w:line="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of the transaction pursuant to which such LSA Warrant was issued). The LSA Warrant has an exercise price of $ 6.15 and will expire ten years from the date of issuance. As of September 30, 2024, the LSA Warrant, representing the right to purchase 16,248 shares of Series A-2 convertible preferred stock, was issued and outstanding. The right to purchase the remaining 48,744 shares was forfeited upon termination of the LSA.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 of the LSA Warrant liability was determined using an option pricing model with the following assumptions: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20" w:type="dxa"/>
            <w:vAlign w:val="bottom"/>
          </w:tcPr>
          <w:p>
            <w:pPr>
              <w:spacing w:after="0"/>
              <w:rPr>
                <w:sz w:val="20"/>
                <w:szCs w:val="20"/>
                <w:color w:val="auto"/>
              </w:rPr>
            </w:pPr>
            <w:r>
              <w:rPr>
                <w:rFonts w:ascii="Arial" w:cs="Arial" w:eastAsia="Arial" w:hAnsi="Arial"/>
                <w:sz w:val="14"/>
                <w:szCs w:val="14"/>
                <w:b w:val="1"/>
                <w:bCs w:val="1"/>
                <w:color w:val="auto"/>
              </w:rPr>
              <w:t>Significant Unobservable Inputs</w:t>
            </w:r>
          </w:p>
        </w:tc>
        <w:tc>
          <w:tcPr>
            <w:tcW w:w="27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September 30, 2024</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term until a liquidity event (in years)</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2780" w:type="dxa"/>
            <w:vAlign w:val="bottom"/>
            <w:gridSpan w:val="2"/>
          </w:tcPr>
          <w:p>
            <w:pPr>
              <w:jc w:val="right"/>
              <w:ind w:right="1280"/>
              <w:spacing w:after="0" w:line="202" w:lineRule="exact"/>
              <w:rPr>
                <w:sz w:val="20"/>
                <w:szCs w:val="20"/>
                <w:color w:val="auto"/>
              </w:rPr>
            </w:pPr>
            <w:r>
              <w:rPr>
                <w:rFonts w:ascii="Arial" w:cs="Arial" w:eastAsia="Arial" w:hAnsi="Arial"/>
                <w:sz w:val="18"/>
                <w:szCs w:val="18"/>
                <w:color w:val="auto"/>
              </w:rPr>
              <w:t>80%</w:t>
            </w: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780" w:type="dxa"/>
            <w:vAlign w:val="bottom"/>
            <w:gridSpan w:val="2"/>
            <w:shd w:val="clear" w:color="auto" w:fill="CCEEFF"/>
          </w:tcPr>
          <w:p>
            <w:pPr>
              <w:jc w:val="right"/>
              <w:ind w:right="1280"/>
              <w:spacing w:after="0" w:line="202" w:lineRule="exact"/>
              <w:rPr>
                <w:sz w:val="20"/>
                <w:szCs w:val="20"/>
                <w:color w:val="auto"/>
              </w:rPr>
            </w:pPr>
            <w:r>
              <w:rPr>
                <w:rFonts w:ascii="Arial" w:cs="Arial" w:eastAsia="Arial" w:hAnsi="Arial"/>
                <w:sz w:val="18"/>
                <w:szCs w:val="18"/>
                <w:color w:val="auto"/>
              </w:rPr>
              <w:t>3.7%</w:t>
            </w: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r>
      <w:tr>
        <w:trPr>
          <w:trHeight w:val="239"/>
        </w:trPr>
        <w:tc>
          <w:tcPr>
            <w:tcW w:w="6720" w:type="dxa"/>
            <w:vAlign w:val="bottom"/>
          </w:tcPr>
          <w:p>
            <w:pPr>
              <w:spacing w:after="0"/>
              <w:rPr>
                <w:sz w:val="20"/>
                <w:szCs w:val="20"/>
                <w:color w:val="auto"/>
              </w:rPr>
            </w:pPr>
            <w:r>
              <w:rPr>
                <w:rFonts w:ascii="Arial" w:cs="Arial" w:eastAsia="Arial" w:hAnsi="Arial"/>
                <w:sz w:val="18"/>
                <w:szCs w:val="18"/>
                <w:color w:val="auto"/>
              </w:rPr>
              <w:t>Annual dividend rate</w:t>
            </w:r>
          </w:p>
        </w:tc>
        <w:tc>
          <w:tcPr>
            <w:tcW w:w="2780" w:type="dxa"/>
            <w:vAlign w:val="bottom"/>
            <w:gridSpan w:val="2"/>
          </w:tcPr>
          <w:p>
            <w:pPr>
              <w:jc w:val="right"/>
              <w:ind w:right="128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jc w:val="both"/>
        <w:ind w:left="120" w:right="40" w:firstLine="551"/>
        <w:spacing w:after="0" w:line="271" w:lineRule="auto"/>
        <w:rPr>
          <w:sz w:val="20"/>
          <w:szCs w:val="20"/>
          <w:color w:val="auto"/>
        </w:rPr>
      </w:pPr>
      <w:r>
        <w:rPr>
          <w:rFonts w:ascii="Arial" w:cs="Arial" w:eastAsia="Arial" w:hAnsi="Arial"/>
          <w:sz w:val="18"/>
          <w:szCs w:val="18"/>
          <w:color w:val="auto"/>
        </w:rPr>
        <w:t>The following table presents a roll-forward of the aggregate fair values of the Company’s liabilities for which fair value is determined by Level 3 inputs: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Warrant Liability</w:t>
            </w: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Contingent Consideration</w:t>
            </w: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 2024</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668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1,415</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September 30, 2024</w:t>
            </w:r>
          </w:p>
        </w:tc>
        <w:tc>
          <w:tcPr>
            <w:tcW w:w="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9,796</w:t>
            </w: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Warrant Liability</w:t>
            </w: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Contingent Consideration</w:t>
            </w: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 2023</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8,084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Forfeiture of portion of LSA Warrant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right"/>
              <w:ind w:right="1240"/>
              <w:spacing w:after="0" w:line="202" w:lineRule="exact"/>
              <w:rPr>
                <w:sz w:val="20"/>
                <w:szCs w:val="20"/>
                <w:color w:val="auto"/>
              </w:rPr>
            </w:pPr>
            <w:r>
              <w:rPr>
                <w:rFonts w:ascii="Arial" w:cs="Arial" w:eastAsia="Arial" w:hAnsi="Arial"/>
                <w:sz w:val="18"/>
                <w:szCs w:val="18"/>
                <w:color w:val="auto"/>
              </w:rPr>
              <w:t>(98)</w:t>
            </w:r>
          </w:p>
        </w:tc>
        <w:tc>
          <w:tcPr>
            <w:tcW w:w="7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w:t>
            </w:r>
          </w:p>
        </w:tc>
      </w:tr>
      <w:tr>
        <w:trPr>
          <w:trHeight w:val="209"/>
        </w:trPr>
        <w:tc>
          <w:tcPr>
            <w:tcW w:w="6680" w:type="dxa"/>
            <w:vAlign w:val="bottom"/>
          </w:tcPr>
          <w:p>
            <w:pPr>
              <w:spacing w:after="0"/>
              <w:rPr>
                <w:sz w:val="20"/>
                <w:szCs w:val="20"/>
                <w:color w:val="auto"/>
              </w:rPr>
            </w:pPr>
            <w:r>
              <w:rPr>
                <w:rFonts w:ascii="Arial" w:cs="Arial" w:eastAsia="Arial" w:hAnsi="Arial"/>
                <w:sz w:val="18"/>
                <w:szCs w:val="18"/>
                <w:b w:val="1"/>
                <w:bCs w:val="1"/>
                <w:color w:val="auto"/>
              </w:rPr>
              <w:t>Balance as of September 30, 2023</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9"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Restricted Cash, and Marketable Securities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cash and cash equivalents, and restricted cash:</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12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8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020" w:type="dxa"/>
            <w:vAlign w:val="bottom"/>
          </w:tcPr>
          <w:p>
            <w:pPr>
              <w:spacing w:after="0"/>
              <w:rPr>
                <w:sz w:val="14"/>
                <w:szCs w:val="14"/>
                <w:color w:val="auto"/>
              </w:rPr>
            </w:pPr>
          </w:p>
        </w:tc>
        <w:tc>
          <w:tcPr>
            <w:tcW w:w="2120" w:type="dxa"/>
            <w:vAlign w:val="bottom"/>
            <w:gridSpan w:val="5"/>
          </w:tcPr>
          <w:p>
            <w:pPr>
              <w:ind w:left="200"/>
              <w:spacing w:after="0"/>
              <w:rPr>
                <w:sz w:val="20"/>
                <w:szCs w:val="20"/>
                <w:color w:val="auto"/>
              </w:rPr>
            </w:pPr>
            <w:r>
              <w:rPr>
                <w:rFonts w:ascii="Arial" w:cs="Arial" w:eastAsia="Arial" w:hAnsi="Arial"/>
                <w:sz w:val="14"/>
                <w:szCs w:val="14"/>
                <w:b w:val="1"/>
                <w:bCs w:val="1"/>
                <w:color w:val="auto"/>
              </w:rPr>
              <w:t>September 30, 2024</w:t>
            </w:r>
          </w:p>
        </w:tc>
        <w:tc>
          <w:tcPr>
            <w:tcW w:w="18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 2023</w:t>
            </w:r>
          </w:p>
        </w:tc>
      </w:tr>
      <w:tr>
        <w:trPr>
          <w:trHeight w:val="146"/>
        </w:trPr>
        <w:tc>
          <w:tcPr>
            <w:tcW w:w="702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Beginning</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2"/>
              <w:spacing w:after="0" w:line="147" w:lineRule="exact"/>
              <w:rPr>
                <w:sz w:val="20"/>
                <w:szCs w:val="20"/>
                <w:color w:val="auto"/>
              </w:rPr>
            </w:pPr>
            <w:r>
              <w:rPr>
                <w:rFonts w:ascii="Arial" w:cs="Arial" w:eastAsia="Arial" w:hAnsi="Arial"/>
                <w:sz w:val="14"/>
                <w:szCs w:val="14"/>
                <w:b w:val="1"/>
                <w:bCs w:val="1"/>
                <w:color w:val="auto"/>
              </w:rPr>
              <w:t>End of</w:t>
            </w:r>
          </w:p>
        </w:tc>
        <w:tc>
          <w:tcPr>
            <w:tcW w:w="36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Beginning</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2"/>
              <w:spacing w:after="0" w:line="147" w:lineRule="exact"/>
              <w:rPr>
                <w:sz w:val="20"/>
                <w:szCs w:val="20"/>
                <w:color w:val="auto"/>
              </w:rPr>
            </w:pPr>
            <w:r>
              <w:rPr>
                <w:rFonts w:ascii="Arial" w:cs="Arial" w:eastAsia="Arial" w:hAnsi="Arial"/>
                <w:sz w:val="14"/>
                <w:szCs w:val="14"/>
                <w:b w:val="1"/>
                <w:bCs w:val="1"/>
                <w:color w:val="auto"/>
              </w:rPr>
              <w:t>End of</w:t>
            </w:r>
          </w:p>
        </w:tc>
        <w:tc>
          <w:tcPr>
            <w:tcW w:w="60" w:type="dxa"/>
            <w:vAlign w:val="bottom"/>
          </w:tcPr>
          <w:p>
            <w:pPr>
              <w:spacing w:after="0"/>
              <w:rPr>
                <w:sz w:val="12"/>
                <w:szCs w:val="12"/>
                <w:color w:val="auto"/>
              </w:rPr>
            </w:pPr>
          </w:p>
        </w:tc>
      </w:tr>
      <w:tr>
        <w:trPr>
          <w:trHeight w:val="171"/>
        </w:trPr>
        <w:tc>
          <w:tcPr>
            <w:tcW w:w="70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period</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2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period</w:t>
            </w: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$ 52,545</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$39,435</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$241,043</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$60,186</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7020" w:type="dxa"/>
            <w:vAlign w:val="bottom"/>
          </w:tcPr>
          <w:p>
            <w:pPr>
              <w:spacing w:after="0" w:line="202" w:lineRule="exact"/>
              <w:rPr>
                <w:sz w:val="20"/>
                <w:szCs w:val="20"/>
                <w:color w:val="auto"/>
              </w:rPr>
            </w:pPr>
            <w:r>
              <w:rPr>
                <w:rFonts w:ascii="Arial" w:cs="Arial" w:eastAsia="Arial" w:hAnsi="Arial"/>
                <w:sz w:val="18"/>
                <w:szCs w:val="18"/>
                <w:color w:val="auto"/>
              </w:rPr>
              <w:t>Restricted cash included in other non-current assets</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3,459</w:t>
            </w:r>
          </w:p>
        </w:tc>
        <w:tc>
          <w:tcPr>
            <w:tcW w:w="12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3,210</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628</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3,459</w:t>
            </w:r>
          </w:p>
        </w:tc>
      </w:tr>
      <w:tr>
        <w:trPr>
          <w:trHeight w:val="184"/>
        </w:trPr>
        <w:tc>
          <w:tcPr>
            <w:tcW w:w="70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Total cash, cash equivalents and restricted cash per the consolidated statements of</w:t>
            </w: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$ 56,004</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42,645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241,671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63,645</w:t>
            </w:r>
          </w:p>
        </w:tc>
      </w:tr>
      <w:tr>
        <w:trPr>
          <w:trHeight w:val="20"/>
        </w:trPr>
        <w:tc>
          <w:tcPr>
            <w:tcW w:w="7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Company’s marketable securities held as of September 30, 2024 and December 31, 2023.</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September 30, 2024</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4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tcPr>
          <w:p>
            <w:pPr>
              <w:jc w:val="center"/>
              <w:ind w:right="19"/>
              <w:spacing w:after="0" w:line="147" w:lineRule="exact"/>
              <w:rPr>
                <w:sz w:val="20"/>
                <w:szCs w:val="20"/>
                <w:color w:val="auto"/>
              </w:rPr>
            </w:pPr>
            <w:r>
              <w:rPr>
                <w:rFonts w:ascii="Arial" w:cs="Arial" w:eastAsia="Arial" w:hAnsi="Arial"/>
                <w:sz w:val="14"/>
                <w:szCs w:val="14"/>
                <w:b w:val="1"/>
                <w:bCs w:val="1"/>
                <w:color w:val="auto"/>
                <w:w w:val="98"/>
              </w:rPr>
              <w:t>Gross</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Unrealized</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620" w:type="dxa"/>
            <w:vAlign w:val="bottom"/>
          </w:tcPr>
          <w:p>
            <w:pPr>
              <w:jc w:val="center"/>
              <w:ind w:right="19"/>
              <w:spacing w:after="0"/>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Marketable securities</w:t>
            </w:r>
          </w:p>
        </w:tc>
        <w:tc>
          <w:tcPr>
            <w:tcW w:w="2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U.S. treasury bills and U.S. treasury notes</w:t>
            </w:r>
          </w:p>
        </w:tc>
        <w:tc>
          <w:tcPr>
            <w:tcW w:w="210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115,306</w:t>
            </w:r>
          </w:p>
        </w:tc>
        <w:tc>
          <w:tcPr>
            <w:tcW w:w="14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c>
          <w:tcPr>
            <w:tcW w:w="620" w:type="dxa"/>
            <w:vAlign w:val="bottom"/>
          </w:tcPr>
          <w:p>
            <w:pPr>
              <w:ind w:left="360"/>
              <w:spacing w:after="0" w:line="202" w:lineRule="exact"/>
              <w:rPr>
                <w:sz w:val="20"/>
                <w:szCs w:val="20"/>
                <w:color w:val="auto"/>
              </w:rPr>
            </w:pPr>
            <w:r>
              <w:rPr>
                <w:rFonts w:ascii="Arial" w:cs="Arial" w:eastAsia="Arial" w:hAnsi="Arial"/>
                <w:sz w:val="18"/>
                <w:szCs w:val="18"/>
                <w:color w:val="auto"/>
                <w:w w:val="88"/>
              </w:rPr>
              <w:t>— </w:t>
            </w: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115,469</w:t>
            </w:r>
          </w:p>
        </w:tc>
      </w:tr>
      <w:tr>
        <w:trPr>
          <w:trHeight w:val="27"/>
        </w:trPr>
        <w:tc>
          <w:tcPr>
            <w:tcW w:w="4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5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115,306</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88"/>
              </w:rPr>
              <w:t>— </w:t>
            </w: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115,469</w:t>
            </w:r>
          </w:p>
        </w:tc>
      </w:tr>
      <w:tr>
        <w:trPr>
          <w:trHeight w:val="20"/>
        </w:trPr>
        <w:tc>
          <w:tcPr>
            <w:tcW w:w="4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520" w:type="dxa"/>
            <w:vAlign w:val="bottom"/>
          </w:tcPr>
          <w:p>
            <w:pPr>
              <w:spacing w:after="0"/>
              <w:rPr>
                <w:sz w:val="24"/>
                <w:szCs w:val="24"/>
                <w:color w:val="auto"/>
              </w:rPr>
            </w:pPr>
          </w:p>
        </w:tc>
        <w:tc>
          <w:tcPr>
            <w:tcW w:w="3300" w:type="dxa"/>
            <w:vAlign w:val="bottom"/>
            <w:gridSpan w:val="3"/>
          </w:tcPr>
          <w:p>
            <w:pPr>
              <w:jc w:val="right"/>
              <w:ind w:right="2140"/>
              <w:spacing w:after="0"/>
              <w:rPr>
                <w:sz w:val="20"/>
                <w:szCs w:val="20"/>
                <w:color w:val="auto"/>
              </w:rPr>
            </w:pPr>
            <w:r>
              <w:rPr>
                <w:rFonts w:ascii="Arial" w:cs="Arial" w:eastAsia="Arial" w:hAnsi="Arial"/>
                <w:sz w:val="18"/>
                <w:szCs w:val="18"/>
                <w:color w:val="auto"/>
              </w:rPr>
              <w:t>F-55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6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65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65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Marketable securities</w:t>
            </w: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U.S. treasury bills and U.S. treasury notes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163,249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163,554</w:t>
            </w:r>
          </w:p>
        </w:tc>
      </w:tr>
      <w:tr>
        <w:trPr>
          <w:trHeight w:val="27"/>
        </w:trPr>
        <w:tc>
          <w:tcPr>
            <w:tcW w:w="6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163,249</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163,554</w:t>
            </w:r>
          </w:p>
        </w:tc>
      </w:tr>
      <w:tr>
        <w:trPr>
          <w:trHeight w:val="20"/>
        </w:trPr>
        <w:tc>
          <w:tcPr>
            <w:tcW w:w="6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As of September 30, 2024, marketable securities were in a net unrealized gain position of $0.2 million. These amounts are included in other comprehensive income (loss) in the condensed consolidated statements of operations and comprehensive loss. There were no securities in an unrealized loss position as of September 30, 2024. As of December 31, 2023, marketable securities were in a net unrealized gain position of $0.3 million. These amounts are included in other comprehensive income (loss) in the condensed consolidated statements of operations and comprehensive loss. There were no securities in an unrealized loss position as of December 31, 2023.</w:t>
      </w:r>
    </w:p>
    <w:p>
      <w:pPr>
        <w:spacing w:after="0" w:line="176"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The Company determined that there was no material credit risk associated with the above investments as of September 30, 2024 and December 31, 2023. The Company has the intent and ability to hold such securities until recovery. As a result, the Company did not record any charges for credit-related impairments for its marketable securities during the nine months ended September 30, 2024 and 2023. No available-for-sale debt securities held as of September 30, 2024 had remaining maturities greater than 10 months.</w:t>
      </w:r>
    </w:p>
    <w:p>
      <w:pPr>
        <w:spacing w:after="0" w:line="322" w:lineRule="exact"/>
        <w:rPr>
          <w:sz w:val="20"/>
          <w:szCs w:val="20"/>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and related accumulated depreciation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21,133</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20,593</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668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668</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962</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953</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Finance lease</w:t>
            </w:r>
          </w:p>
        </w:tc>
        <w:tc>
          <w:tcPr>
            <w:tcW w:w="20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201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335</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not yet placed in service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r>
      <w:tr>
        <w:trPr>
          <w:trHeight w:val="210"/>
        </w:trPr>
        <w:tc>
          <w:tcPr>
            <w:tcW w:w="82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23,269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22,835</w:t>
            </w:r>
          </w:p>
        </w:tc>
      </w:tr>
      <w:tr>
        <w:trPr>
          <w:trHeight w:val="210"/>
        </w:trPr>
        <w:tc>
          <w:tcPr>
            <w:tcW w:w="82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(10,406)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(6,859)</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12,863</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15,976</w:t>
            </w:r>
          </w:p>
        </w:tc>
        <w:tc>
          <w:tcPr>
            <w:tcW w:w="120" w:type="dxa"/>
            <w:vAlign w:val="bottom"/>
            <w:shd w:val="clear" w:color="auto" w:fill="CCEEFF"/>
          </w:tcPr>
          <w:p>
            <w:pPr>
              <w:spacing w:after="0"/>
              <w:rPr>
                <w:sz w:val="17"/>
                <w:szCs w:val="17"/>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980" w:firstLine="551"/>
        <w:spacing w:after="0" w:line="271" w:lineRule="auto"/>
        <w:rPr>
          <w:sz w:val="20"/>
          <w:szCs w:val="20"/>
          <w:color w:val="auto"/>
        </w:rPr>
      </w:pPr>
      <w:r>
        <w:rPr>
          <w:rFonts w:ascii="Arial" w:cs="Arial" w:eastAsia="Arial" w:hAnsi="Arial"/>
          <w:sz w:val="18"/>
          <w:szCs w:val="18"/>
          <w:color w:val="auto"/>
        </w:rPr>
        <w:t>Total depreciation expense for the nine months ended September 30, 2024 and 2023, was $3.5 million and $3.3 million, respectively.</w:t>
      </w:r>
    </w:p>
    <w:p>
      <w:pPr>
        <w:spacing w:after="0" w:line="302"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0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Employee compensation, benefits, and recruiting</w:t>
            </w:r>
          </w:p>
        </w:tc>
        <w:tc>
          <w:tcPr>
            <w:tcW w:w="3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4,798</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7,474</w:t>
            </w:r>
          </w:p>
        </w:tc>
        <w:tc>
          <w:tcPr>
            <w:tcW w:w="60" w:type="dxa"/>
            <w:vAlign w:val="bottom"/>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External research and supplies</w:t>
            </w: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1,664</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1,224</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3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4,493</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1,220</w:t>
            </w: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4,189</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406</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payable</w:t>
            </w:r>
          </w:p>
        </w:tc>
        <w:tc>
          <w:tcPr>
            <w:tcW w:w="3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177</w:t>
            </w: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15,329</w:t>
            </w:r>
          </w:p>
        </w:tc>
        <w:tc>
          <w:tcPr>
            <w:tcW w:w="7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6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600" w:type="dxa"/>
            <w:vAlign w:val="bottom"/>
          </w:tcPr>
          <w:p>
            <w:pPr>
              <w:spacing w:after="0"/>
              <w:rPr>
                <w:sz w:val="24"/>
                <w:szCs w:val="24"/>
                <w:color w:val="auto"/>
              </w:rPr>
            </w:pPr>
          </w:p>
        </w:tc>
        <w:tc>
          <w:tcPr>
            <w:tcW w:w="3880" w:type="dxa"/>
            <w:vAlign w:val="bottom"/>
            <w:gridSpan w:val="2"/>
          </w:tcPr>
          <w:p>
            <w:pPr>
              <w:ind w:left="720"/>
              <w:spacing w:after="0"/>
              <w:rPr>
                <w:sz w:val="20"/>
                <w:szCs w:val="20"/>
                <w:color w:val="auto"/>
              </w:rPr>
            </w:pPr>
            <w:r>
              <w:rPr>
                <w:rFonts w:ascii="Arial" w:cs="Arial" w:eastAsia="Arial" w:hAnsi="Arial"/>
                <w:sz w:val="18"/>
                <w:szCs w:val="18"/>
                <w:color w:val="auto"/>
              </w:rPr>
              <w:t>F-56</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left="120" w:right="120" w:firstLine="551"/>
        <w:spacing w:after="0" w:line="275" w:lineRule="auto"/>
        <w:rPr>
          <w:sz w:val="20"/>
          <w:szCs w:val="20"/>
          <w:color w:val="auto"/>
        </w:rPr>
      </w:pPr>
      <w:r>
        <w:rPr>
          <w:rFonts w:ascii="Arial" w:cs="Arial" w:eastAsia="Arial" w:hAnsi="Arial"/>
          <w:sz w:val="17"/>
          <w:szCs w:val="17"/>
          <w:color w:val="auto"/>
        </w:rPr>
        <w:t>In September 2021, the Company entered into an eight-year lease agreement for 45,632 square feet of space for its corporate headquarters located in Boston, Massachusetts. The Company is also party to several leases for office and laboratory space in San Diego, California, Ann Arbor, Michigan, New York, New York, and Frankfurt, Germany, as well as leases for certain laboratory equipment.</w:t>
      </w:r>
    </w:p>
    <w:p>
      <w:pPr>
        <w:spacing w:after="0" w:line="15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In August 2024, the Company entered into a lease extension agreement for its Frankfurt, Germany laboratory space for an additional two-year term. The Company accounted for the lease extension as a modification of the existing lease and remeasured the right-of-use (“ROU”) asset and lease liability by calculating the present value of lease payments, discounted at 7.4%, the Company’s incremental borrowing rate in August 2024, over the new lease term. The modification resulted in an increase in the ROU asset and lease liability by $0.5 million, recorded in the condensed consolidated balance sheet as of September 30, 2024.</w:t>
      </w:r>
    </w:p>
    <w:p>
      <w:pPr>
        <w:spacing w:after="0" w:line="325" w:lineRule="exact"/>
        <w:rPr>
          <w:sz w:val="20"/>
          <w:szCs w:val="20"/>
          <w:color w:val="auto"/>
        </w:rPr>
      </w:pPr>
    </w:p>
    <w:p>
      <w:pPr>
        <w:ind w:left="660" w:hanging="54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March 2022, the Company entered into a loan and security agreement (“LSA”) with Pacific Western Bank (acquired by Bank of California in November 2023) which provided borrowing capacity of up to $20.0 million. The Company borrowed $5.0 million at closing and made monthly interest-only payments at a rate equal to the greater of the Prime Rate (as defined in the LSA) or 4.00%. The loan was scheduled to mature in September 2026, however the Company repaid the outstanding principal including accrued interest and terminated the LSA in April 2023. During the nine months ended September 30, 2023, the Company recorded interest expense of $0.1 million related to the LSA. No interest expense has been recorded during the nine months ended September 30, 2024.</w:t>
      </w:r>
    </w:p>
    <w:p>
      <w:pPr>
        <w:spacing w:after="0" w:line="179"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 xml:space="preserve">In connection with the LSA, the Company issued the LSA Warrant to purchase 64,992 shares of the Company’s Series A-2 convertible preferred stock with an exercise price of $6.15 that was exercisable based on the proportion of amounts borrowed to the borrowing capacity. At the LSA Warrant issuance date, the right of the holder to purchase 16,248 shares immediately vested and was exercisable. The right to purchase these shares expires ten years after the issuance date. The right to purchase the remaining 48,744 shares was forfeited upon termination of the LSA. As of September 30, 2024, the right to purchase the 16,902 shares of Series A-2 convertible preferred stock was outstanding. The LSA Warrant requires liability classification under the guidance in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as the Series A-2 convertible preferred stock underlying the LSA Warrant is redeemable outside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control of the Company.</w:t>
      </w:r>
    </w:p>
    <w:p>
      <w:pPr>
        <w:spacing w:after="0" w:line="329"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Company has two classes of common stock that are authorized and outstanding: voting and non-voting. Holders of voting common stock are entitled to one vote per share on all matters on which stockholders have the right to vote, including director elections. Holders of non-voting common stock are not entitled to vote, except as may be required under Delaware law. All other rights and privileges of voting common stock and non-voting common stock are the same. As of September 30, 2024, there were 8,121,767 shares of common stock and 81,240 shares of non-voting common stock issued and outstanding. In addition, the Company had 579,432 issued shares of common stock that were subject to vesting as of September 30, 2024 (see Note 13).</w:t>
      </w:r>
    </w:p>
    <w:p>
      <w:pPr>
        <w:spacing w:after="0" w:line="327" w:lineRule="exact"/>
        <w:rPr>
          <w:sz w:val="20"/>
          <w:szCs w:val="20"/>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4" w:lineRule="exact"/>
        <w:rPr>
          <w:sz w:val="20"/>
          <w:szCs w:val="20"/>
          <w:color w:val="auto"/>
        </w:rPr>
      </w:pPr>
    </w:p>
    <w:p>
      <w:pPr>
        <w:ind w:left="120" w:right="420" w:firstLine="551"/>
        <w:spacing w:after="0" w:line="253" w:lineRule="auto"/>
        <w:rPr>
          <w:sz w:val="20"/>
          <w:szCs w:val="20"/>
          <w:color w:val="auto"/>
        </w:rPr>
      </w:pPr>
      <w:r>
        <w:rPr>
          <w:rFonts w:ascii="Arial" w:cs="Arial" w:eastAsia="Arial" w:hAnsi="Arial"/>
          <w:sz w:val="18"/>
          <w:szCs w:val="18"/>
          <w:color w:val="auto"/>
        </w:rPr>
        <w:t>In 2021, the Company issued Series A, Series A-1 and Series A-2 convertible preferred stock in exchange for cash and the conversion of certain promissory notes. In March 2022, the Company issued an additional 1,624,803 shares of Series A-2 convertible preferred stock for an aggregate purchase price of $10 million.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In May 2022, the Company entered into a Series B Preferred Stock Purchase Agreement pursuant to which the Company initially issued and sold 14,469,169 shares of Series B convertible preferred stock at a purchase price of $6.32 per share for an aggregate purchase price of $91.4 million. In September 2022, the Company issued an additional 12,132,191 shares of Series B convertible preferred stock to the same investors at $6.32 per share.</w:t>
      </w:r>
    </w:p>
    <w:p>
      <w:pPr>
        <w:spacing w:after="0" w:line="174" w:lineRule="exact"/>
        <w:rPr>
          <w:sz w:val="20"/>
          <w:szCs w:val="20"/>
          <w:color w:val="auto"/>
        </w:rPr>
      </w:pPr>
    </w:p>
    <w:p>
      <w:pPr>
        <w:ind w:left="120" w:right="220" w:firstLine="551"/>
        <w:spacing w:after="0" w:line="244" w:lineRule="auto"/>
        <w:rPr>
          <w:sz w:val="20"/>
          <w:szCs w:val="20"/>
          <w:color w:val="auto"/>
        </w:rPr>
      </w:pPr>
      <w:r>
        <w:rPr>
          <w:rFonts w:ascii="Arial" w:cs="Arial" w:eastAsia="Arial" w:hAnsi="Arial"/>
          <w:sz w:val="18"/>
          <w:szCs w:val="18"/>
          <w:color w:val="auto"/>
        </w:rPr>
        <w:t>In October 2023, the Company entered into a Series C Preferred Stock Purchase Agreement pursuant to which the Company issued and sold 19,426,000 shares of Series C convertible preferred stock, at a purchase price of $5.00 per share for an aggregate purchase price of $97.1 million. Between January 2024 and August 2024, the Company issued an additional aggregate amount of 4,016,000 shares of Series C convertible preferred stock to new investors, each at a purchase price of $5.00 per share for an aggregate purchase price of $20.1 million.</w:t>
      </w:r>
    </w:p>
    <w:p>
      <w:pPr>
        <w:spacing w:after="0" w:line="17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Each issuance of the Series C convertible preferred stock resulted in an adjustment of the conversion price of the Series A-1, Series A-2, and Series B convertible preferred stock, due to the down round feature included in the Company’s certificate of incorporation with respect to each such series. As of September 30, 2024, the Series A-1 convertible preferred stock, Series A-2 convertible preferred stock, and Series B convertible preferred stock would effectively convert into 7,812,618 shares of common stock, 8,129,941 shares of common stock, and 27,795,043 shares of common stock, respectively, upon the occurrence of certain events, including a qualifying IPO of the Company’s common stock. The Company accounted for the down round adjustment as a deemed dividend. As a result of the issuances of Series C convertible preferred stock in 2024, the Company recorded an adjustment of $ 0.2 million within additional paid-in capital and accumulated deficit associated with the down round feature, which was calculated as the difference between the fair value of the convertible preferred stock immediately before the change in conversion price and the fair value of the convertible preferred stock immediately after the change in conversion price. The deemed dividend has also been included in the determination of net loss available to common stockholders for calculating the Company’s loss per share (see Note 17).</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convertible preferred stock consisted of the following: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2024</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6"/>
        </w:trPr>
        <w:tc>
          <w:tcPr>
            <w:tcW w:w="38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Preferred</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Preferred</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 Issued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38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Liquidation</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Upon</w:t>
            </w:r>
          </w:p>
        </w:tc>
      </w:tr>
      <w:tr>
        <w:trPr>
          <w:trHeight w:val="171"/>
        </w:trPr>
        <w:tc>
          <w:tcPr>
            <w:tcW w:w="38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Preference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convertible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131,564</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131,788</w:t>
            </w:r>
          </w:p>
        </w:tc>
        <w:tc>
          <w:tcPr>
            <w:tcW w:w="2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A-1 convertible preferred stock</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7,575,753</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7,575,753</w:t>
            </w:r>
          </w:p>
        </w:tc>
        <w:tc>
          <w:tcPr>
            <w:tcW w:w="2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44,342</w:t>
            </w:r>
          </w:p>
        </w:tc>
        <w:tc>
          <w:tcPr>
            <w:tcW w:w="18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44,405</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7,812,618</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A-2 convertible preferred stock</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7,815,303</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7,799,055</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47,963</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48,000</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8,129,941</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B convertible preferred stock</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26,601,360</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26,601,360</w:t>
            </w:r>
          </w:p>
        </w:tc>
        <w:tc>
          <w:tcPr>
            <w:tcW w:w="2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167,765</w:t>
            </w:r>
          </w:p>
        </w:tc>
        <w:tc>
          <w:tcPr>
            <w:tcW w:w="18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168,010</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27,795,043</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convertible preferred stock</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24,216,000</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23,442,000</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116,578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117,210</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23,442,000</w:t>
            </w:r>
          </w:p>
        </w:tc>
      </w:tr>
      <w:tr>
        <w:trPr>
          <w:trHeight w:val="210"/>
        </w:trPr>
        <w:tc>
          <w:tcPr>
            <w:tcW w:w="38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96,248,290</w:t>
            </w:r>
          </w:p>
        </w:tc>
        <w:tc>
          <w:tcPr>
            <w:tcW w:w="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95,458,042</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508,212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509,413</w:t>
            </w:r>
          </w:p>
        </w:tc>
        <w:tc>
          <w:tcPr>
            <w:tcW w:w="2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97,219,476</w:t>
            </w:r>
          </w:p>
        </w:tc>
        <w:tc>
          <w:tcPr>
            <w:tcW w:w="8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2"/>
        </w:trPr>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F-58</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December 31, 2023</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6"/>
        </w:trPr>
        <w:tc>
          <w:tcPr>
            <w:tcW w:w="38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Preferred</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Preferred</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 Issued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384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Liquidation</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Upon</w:t>
            </w:r>
          </w:p>
        </w:tc>
      </w:tr>
      <w:tr>
        <w:trPr>
          <w:trHeight w:val="171"/>
        </w:trPr>
        <w:tc>
          <w:tcPr>
            <w:tcW w:w="384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Preference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convertible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131,564</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131,788</w:t>
            </w:r>
          </w:p>
        </w:tc>
        <w:tc>
          <w:tcPr>
            <w:tcW w:w="2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30,039,874</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A-1 convertible preferred stock</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7,575,753</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7,575,753</w:t>
            </w:r>
          </w:p>
        </w:tc>
        <w:tc>
          <w:tcPr>
            <w:tcW w:w="2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44,342</w:t>
            </w:r>
          </w:p>
        </w:tc>
        <w:tc>
          <w:tcPr>
            <w:tcW w:w="18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44,405</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7,776,904</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A-2 convertible preferred stock</w:t>
            </w: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7,815,303</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7,799,055</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47,963</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48,000</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8,065,324</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Series B convertible preferred stock</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26,601,360</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26,601,360</w:t>
            </w:r>
          </w:p>
        </w:tc>
        <w:tc>
          <w:tcPr>
            <w:tcW w:w="2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167,765</w:t>
            </w:r>
          </w:p>
        </w:tc>
        <w:tc>
          <w:tcPr>
            <w:tcW w:w="18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168,010</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27,613,212</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convertible preferred stock</w:t>
            </w: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20,200,000</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19,426,000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96,571</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97,130</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19,426,000</w:t>
            </w:r>
          </w:p>
        </w:tc>
      </w:tr>
      <w:tr>
        <w:trPr>
          <w:trHeight w:val="210"/>
        </w:trPr>
        <w:tc>
          <w:tcPr>
            <w:tcW w:w="38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92,232,290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91,442,042</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488,205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489,333</w:t>
            </w:r>
          </w:p>
        </w:tc>
        <w:tc>
          <w:tcPr>
            <w:tcW w:w="2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92,921,314</w:t>
            </w:r>
          </w:p>
        </w:tc>
        <w:tc>
          <w:tcPr>
            <w:tcW w:w="8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As of September 30, 2024, the holders of the Series A convertible preferred stock, Series A-1 convertible preferred stock, Series A-2 convertible preferred stock, Series B convertible preferred stock and Series C convertible preferred stock have the following rights and preferences:</w:t>
      </w:r>
    </w:p>
    <w:p>
      <w:pPr>
        <w:spacing w:after="0" w:line="16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—Holders of the Series A convertible preferred stock, Series A-1 convertible preferred stock, Series A-2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B convertible preferred stock and Series C convertible preferred stock are entitled to the number of votes equal to the number of shares of common stock into which such shares of convertible preferred stock held by such holder could be converted as of the relevant record date at all meetings of stockholders. The holders of convertible preferred stock generally vote together as a single class with holders of common stock except that, the holders of Series A convertible preferred stock, Series A-1 convertible preferred stock, Series A-2 convertible preferred stock voting together as a single class on an as converted basis are entitled to elect two directors, and holders of Series C convertible preferred stock voting together as a single class on an as converted basis are entitled to elect one director. The remaining members of the Board of Directors are elected by the holders of convertible preferred stock and common stock, voting together as a single class on an as-converted basis.</w:t>
      </w:r>
    </w:p>
    <w:p>
      <w:pPr>
        <w:spacing w:after="0" w:line="183"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—Holders of outstanding shares of Series A convertible preferred stock, Series A-1 convertible preferred stock,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A-2 convertible preferred stock, Series B convertible preferred stock and Series C convertible preferred stock are entitled to participate in any dividends payable to common stockholders on an as converted basis and have priority over the payment of dividends to holders of common stock. The dividends do not contractually require the holders to participate in losses of the Company.</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case of a dividend on common stock or any class of stock that is convertible into common stock, the dividend per share of convertible preferred stock would equal the product of (A) the dividend payable on each share of such class or series as if all shares of such class or series had been converted into common stock and (B) the number of shares of common stock issuable upon conversion of such share of convertible preferred stock. In the case of a dividend on any class or series that is not convertible into common stock, the dividend per share of convertible preferred stock would be determined by (A) dividing the amount of dividend payable on each share of such class or series of capital stock by the original issue price of such class or series and (B) multiplying such fraction by the original issue price of the applicable class of convertible preferred stock.</w:t>
      </w:r>
    </w:p>
    <w:p>
      <w:pPr>
        <w:spacing w:after="0" w:line="185"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b w:val="1"/>
          <w:bCs w:val="1"/>
          <w:i w:val="1"/>
          <w:iCs w:val="1"/>
          <w:color w:val="auto"/>
        </w:rPr>
        <w:t>Liquidation Amount</w:t>
      </w:r>
      <w:r>
        <w:rPr>
          <w:rFonts w:ascii="Arial" w:cs="Arial" w:eastAsia="Arial" w:hAnsi="Arial"/>
          <w:sz w:val="18"/>
          <w:szCs w:val="18"/>
          <w:color w:val="auto"/>
        </w:rPr>
        <w:t>—The Series C convertible preferred stock ranks, with respect to rights in the event of voluntary or involuntary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winding up, dissolution, and deemed liquidation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events, senior and in priority of payment to (i) the Series A convertible preferred stock, Series A-1 convertible preferred stock, Series A-2 convertible preferred stock, and Series B convertible preferred stock and (ii) the common stock. After payment in full of the amounts owed to holders of Series C convertible preferred stock, the Series B convertible preferred stock rank, with respect to rights in the event of voluntary or involuntary liquidation, winding up, dissolution, and deemed liquidation events, senior and in priority of payment to (i) the Series A convertible preferred stock, Series A-1 convertible preferred stock, Series A-2 convertible preferred stock and (ii) the common stock. After payment in full of the amounts owed to holders of the Series B convertible preferred stock and Series C convertible preferred stock, the Series A convertible preferred stock, Series A-1 convertible preferred stock, Series A-2 convertible preferred stock, with respect to distribution rights and rights on liquidation, winding-up and dissolution, rank (i) senior and in priority of payment to the common stock and (ii) on parity with each other. After the payment of the full liquidation preference of the convertible preferred stock, the remaining assets of the Company legally available for distribution, if any, will be distributed ratably to the holders of common stock.</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event of any voluntary or involuntary liquidation, dissolution or winding up of the corporation, or upon the occurrence of a deemed liquidation event, the holders of shares of (i) the Series C convertible preferred stock are entitled to payments in an amount equal the greater of (a) the applicable original issue price of $5.00 per share, plus dividends declared but unpaid and (b) the amount payable with respect to such share as if it was converted to common stock immediately prior to settlement, (ii) the Series B convertible preferred stock are entitled to payments in an amount equal the greater of (a) the applicable original issue price of $6.31584 per share, plus dividends declared but unpaid and (b) the amount payable with respect to such share as if it was converted to common stock immediately prior to settlement, and (iii) the Series A, Series A-1 and Series A-2 convertible preferred stock are entitled to payments in an amount equal to the greater of (a) the applicable original issue price of $4.34186 per share, $5.86151 per share and $6.15459 per share, respectively, plus dividends declared but unpaid and (b) the amount payable with respect to such share as if it was converted to common stock immediately prior to settlement.</w:t>
      </w:r>
    </w:p>
    <w:p>
      <w:pPr>
        <w:spacing w:after="0" w:line="180" w:lineRule="exact"/>
        <w:rPr>
          <w:sz w:val="20"/>
          <w:szCs w:val="20"/>
          <w:color w:val="auto"/>
        </w:rPr>
      </w:pPr>
    </w:p>
    <w:p>
      <w:pPr>
        <w:ind w:left="120" w:right="40" w:firstLine="551"/>
        <w:spacing w:after="0" w:line="254" w:lineRule="auto"/>
        <w:rPr>
          <w:sz w:val="20"/>
          <w:szCs w:val="20"/>
          <w:color w:val="auto"/>
        </w:rPr>
      </w:pPr>
      <w:r>
        <w:rPr>
          <w:rFonts w:ascii="Arial" w:cs="Arial" w:eastAsia="Arial" w:hAnsi="Arial"/>
          <w:sz w:val="17"/>
          <w:szCs w:val="17"/>
          <w:b w:val="1"/>
          <w:bCs w:val="1"/>
          <w:i w:val="1"/>
          <w:iCs w:val="1"/>
          <w:color w:val="auto"/>
        </w:rPr>
        <w:t>Conversion Option</w:t>
      </w:r>
      <w:r>
        <w:rPr>
          <w:rFonts w:ascii="Arial" w:cs="Arial" w:eastAsia="Arial" w:hAnsi="Arial"/>
          <w:sz w:val="17"/>
          <w:szCs w:val="17"/>
          <w:color w:val="auto"/>
        </w:rPr>
        <w:t>—Each share of the convertible preferred stock is convertible into shares of the Company’s common stock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one-to-one basis, subject to appropriate adjustment in the event of any stock dividend, stock split or similar recapitalization, at the option of the stockholder and subject to adjustments in accordance with anti-dilution provisions and down round features. In addition, such shares will be converted automatically into shares of the Company’s common stock at then applicable conversion ratio upon the earlier of</w:t>
      </w:r>
    </w:p>
    <w:p>
      <w:pPr>
        <w:ind w:left="120" w:hanging="4"/>
        <w:spacing w:after="0" w:line="237" w:lineRule="auto"/>
        <w:tabs>
          <w:tab w:leader="none" w:pos="33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firm-commitment underwritten public offering pursuant to an effective registration statement under the Securities Act of 1933, as amended, on the New York Stock Exchange or Nasdaq Stock Market resulting in at least $250.0 million of gross proceeds, net of underwriting discounts and commissions, (ii) the completion by the Company of a business combination, merger, consolidation or share exchange with a special purpose acquisition company (“SPAC”) or its subsidiary in which the common stock of the surviving or parent entity is listed on New York Stock Exchange or Nasdaq Stock Market as of the consummation of such transaction, after taking into account any redemptions from the SPAC’s trust account, the surviving entity or parent entity receives at least $250.0 million of gross proceeds, net of the underwriting discount and commissions, from the sale of its equity securities, or (iii) the occurrence of an event specified by vote or written consent of the majority of the holders of the then outstanding shares of a specific class of convertible preferred stock, only with respect to that class of convertible preferred stock.</w:t>
      </w:r>
    </w:p>
    <w:p>
      <w:pPr>
        <w:spacing w:after="0" w:line="329" w:lineRule="exact"/>
        <w:rPr>
          <w:sz w:val="20"/>
          <w:szCs w:val="20"/>
          <w:color w:val="auto"/>
        </w:rPr>
      </w:pPr>
    </w:p>
    <w:p>
      <w:pPr>
        <w:ind w:left="120" w:right="8080" w:hanging="4"/>
        <w:spacing w:after="0" w:line="360"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Stock Options</w:t>
      </w:r>
    </w:p>
    <w:p>
      <w:pPr>
        <w:ind w:left="120" w:right="60" w:firstLine="551"/>
        <w:spacing w:after="0" w:line="271" w:lineRule="auto"/>
        <w:rPr>
          <w:sz w:val="20"/>
          <w:szCs w:val="20"/>
          <w:color w:val="auto"/>
        </w:rPr>
      </w:pPr>
      <w:r>
        <w:rPr>
          <w:rFonts w:ascii="Arial" w:cs="Arial" w:eastAsia="Arial" w:hAnsi="Arial"/>
          <w:sz w:val="18"/>
          <w:szCs w:val="18"/>
          <w:color w:val="auto"/>
        </w:rPr>
        <w:t>In August 2021, the Company’s Board of Directors adopted the 2021 Equity Incentive Plan (the “2021 Plan”) which provides for the granting of stock appreciation rights, incentive stock options,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5" w:right="45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restricted stock awards, other stock-based awards to eligible employees, officers, directors, consultants, and advisors. The stock options issued under the 2021 Plan expire not more than ten years from the grant date. The 2021 Plan was subsequently amended on various dates through March 15, 2024 to increase the number of shares available for the issuance of awards to a total of 22,043,944. As of September 30, 2024, there were 4,429,876 shares of voting common stock available for future grant under the 2021 Plan. In October 2024, the Board of Directors approved an increase in the number of shares of the Company’s common stock reserved for the issuance of awards under the 2021 Plan by 3,500,000 shares.</w:t>
      </w:r>
    </w:p>
    <w:p>
      <w:pPr>
        <w:spacing w:after="0" w:line="17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The stock options generally vest over four years, with 25% of the award vesting at a one-year cliff with the remaining portion vesting in equal installments over the remaining period. The stock options granted contain only service conditions as the grantees are only required to provide services to the Company over the requisite service period to continue to vest in the awards.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2024:</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Exercise</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Term (in</w:t>
            </w: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Price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January 1, 2024</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11,017,701</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8.10</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3,121</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6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8,041,422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2.37</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(1,196,936)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2.46</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20" w:type="dxa"/>
            <w:vAlign w:val="bottom"/>
          </w:tcPr>
          <w:p>
            <w:pPr>
              <w:ind w:left="360"/>
              <w:spacing w:after="0" w:line="202" w:lineRule="exact"/>
              <w:rPr>
                <w:sz w:val="20"/>
                <w:szCs w:val="20"/>
                <w:color w:val="auto"/>
              </w:rPr>
            </w:pPr>
            <w:r>
              <w:rPr>
                <w:rFonts w:ascii="Arial" w:cs="Arial" w:eastAsia="Arial" w:hAnsi="Arial"/>
                <w:sz w:val="18"/>
                <w:szCs w:val="18"/>
                <w:color w:val="auto"/>
              </w:rPr>
              <w:t>Expired</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(374,231)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2.62</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(55,423)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2.77</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Outstanding as of September 30, 2024</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17,432,533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5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10,576</w:t>
            </w:r>
          </w:p>
        </w:tc>
        <w:tc>
          <w:tcPr>
            <w:tcW w:w="60" w:type="dxa"/>
            <w:vAlign w:val="bottom"/>
          </w:tcPr>
          <w:p>
            <w:pPr>
              <w:spacing w:after="0"/>
              <w:rPr>
                <w:sz w:val="18"/>
                <w:szCs w:val="18"/>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as of September 30, 2024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7,785,243</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89"/>
              </w:rPr>
              <w:t>      2.61</w:t>
            </w: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4,134</w:t>
            </w:r>
          </w:p>
        </w:tc>
      </w:tr>
      <w:tr>
        <w:trPr>
          <w:trHeight w:val="191"/>
        </w:trPr>
        <w:tc>
          <w:tcPr>
            <w:tcW w:w="5620" w:type="dxa"/>
            <w:vAlign w:val="bottom"/>
          </w:tcPr>
          <w:p>
            <w:pPr>
              <w:spacing w:after="0" w:line="191" w:lineRule="exact"/>
              <w:rPr>
                <w:sz w:val="20"/>
                <w:szCs w:val="20"/>
                <w:color w:val="auto"/>
              </w:rPr>
            </w:pPr>
            <w:r>
              <w:rPr>
                <w:rFonts w:ascii="Arial" w:cs="Arial" w:eastAsia="Arial" w:hAnsi="Arial"/>
                <w:sz w:val="18"/>
                <w:szCs w:val="18"/>
                <w:color w:val="auto"/>
              </w:rPr>
              <w:t>Weighted-average fair value of options granted during the</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0"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The following table presents, on a weighted-average basis, the assumptions used in the Black Scholes option-pricing model to determine the grant date fair value of the stock options granted during the nine months ended: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580" w:type="dxa"/>
            <w:vAlign w:val="bottom"/>
            <w:tcBorders>
              <w:bottom w:val="single" w:sz="8" w:color="CCEEFF"/>
            </w:tcBorders>
          </w:tcPr>
          <w:p>
            <w:pPr>
              <w:spacing w:after="0"/>
              <w:rPr>
                <w:sz w:val="13"/>
                <w:szCs w:val="13"/>
                <w:color w:val="auto"/>
              </w:rPr>
            </w:pPr>
          </w:p>
        </w:tc>
        <w:tc>
          <w:tcPr>
            <w:tcW w:w="33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common stock</w:t>
            </w:r>
          </w:p>
        </w:tc>
        <w:tc>
          <w:tcPr>
            <w:tcW w:w="3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$ 2.37</w:t>
            </w: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$ 2.86</w:t>
            </w:r>
          </w:p>
        </w:tc>
        <w:tc>
          <w:tcPr>
            <w:tcW w:w="22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464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6.01</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5.87</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46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4.10%</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3.80%</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6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93.59%</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82.60%</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46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r>
    </w:tbl>
    <w:p>
      <w:pPr>
        <w:spacing w:after="0" w:line="197"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weighted average grant-date fair value of stock options granted during the nine months ended September 30, 2024 and 2023 was $1.85 and $ 2.04 per option, respectively. 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nine months ended September 30, 2024 and 2023 was de minimis.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issued restricted stock awards in 2021 to its CEO and in connection with the Rahko acquisition.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summary of restricted stock award activity for the nine months ended September 30, 2024,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8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88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as of January 1, 2024</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1,602,520</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0.54</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Vested</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(1,023,088)</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0.76</w:t>
            </w:r>
          </w:p>
        </w:tc>
      </w:tr>
      <w:tr>
        <w:trPr>
          <w:trHeight w:val="27"/>
        </w:trPr>
        <w:tc>
          <w:tcPr>
            <w:tcW w:w="88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September 30, 2024</w:t>
            </w: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579,432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r>
      <w:tr>
        <w:trPr>
          <w:trHeight w:val="20"/>
        </w:trPr>
        <w:tc>
          <w:tcPr>
            <w:tcW w:w="8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firstLine="551"/>
        <w:spacing w:after="0" w:line="253" w:lineRule="auto"/>
        <w:rPr>
          <w:sz w:val="20"/>
          <w:szCs w:val="20"/>
          <w:color w:val="auto"/>
        </w:rPr>
      </w:pPr>
      <w:r>
        <w:rPr>
          <w:rFonts w:ascii="Arial" w:cs="Arial" w:eastAsia="Arial" w:hAnsi="Arial"/>
          <w:sz w:val="18"/>
          <w:szCs w:val="18"/>
          <w:color w:val="auto"/>
        </w:rPr>
        <w:t>The aggregate fair value of restricted stock awards vested during the nine months ended September 30, 2024 and 2023, was $2.5 million and $3.1 million, respectively. The Company recorded stock compensation expense of $0.4 million and $0.6 million, related to the restricted stock awards during the nine months ended September 30, 2024 and 2023, respectively.</w:t>
      </w:r>
    </w:p>
    <w:p>
      <w:pPr>
        <w:spacing w:after="0" w:line="169"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The following table summarizes unrecognized stock-based compensation expense as of September 30, 2024 by type of awards, and the weighted-average period over which that expense is expected to be recognized. The total unrecognized stock-based compensation expense will be adjusted for actual forfeitures as they occur.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Recognition</w:t>
            </w:r>
          </w:p>
        </w:tc>
      </w:tr>
      <w:tr>
        <w:trPr>
          <w:trHeight w:val="162"/>
        </w:trPr>
        <w:tc>
          <w:tcPr>
            <w:tcW w:w="5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Unrecognized</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Period</w:t>
            </w:r>
          </w:p>
        </w:tc>
      </w:tr>
      <w:tr>
        <w:trPr>
          <w:trHeight w:val="171"/>
        </w:trPr>
        <w:tc>
          <w:tcPr>
            <w:tcW w:w="5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Expense</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years)</w:t>
            </w:r>
          </w:p>
        </w:tc>
      </w:tr>
      <w:tr>
        <w:trPr>
          <w:trHeight w:val="177"/>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Stock options</w:t>
            </w:r>
          </w:p>
        </w:tc>
        <w:tc>
          <w:tcPr>
            <w:tcW w:w="3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35"/>
              <w:spacing w:after="0" w:line="177" w:lineRule="exact"/>
              <w:rPr>
                <w:sz w:val="20"/>
                <w:szCs w:val="20"/>
                <w:color w:val="auto"/>
              </w:rPr>
            </w:pPr>
            <w:r>
              <w:rPr>
                <w:rFonts w:ascii="Arial" w:cs="Arial" w:eastAsia="Arial" w:hAnsi="Arial"/>
                <w:sz w:val="18"/>
                <w:szCs w:val="18"/>
                <w:color w:val="auto"/>
              </w:rPr>
              <w:t xml:space="preserve">    </w:t>
            </w:r>
          </w:p>
        </w:tc>
        <w:tc>
          <w:tcPr>
            <w:tcW w:w="6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21"/>
        </w:trPr>
        <w:tc>
          <w:tcPr>
            <w:tcW w:w="524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r>
      <w:tr>
        <w:trPr>
          <w:trHeight w:val="239"/>
        </w:trPr>
        <w:tc>
          <w:tcPr>
            <w:tcW w:w="524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348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r>
    </w:tbl>
    <w:p>
      <w:pPr>
        <w:spacing w:after="0" w:line="161"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The unrecognized stock-based compensation expense associated with restricted stock awards as of September 30, 2024 was de minimis.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included in operating expenses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78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2024</w:t>
            </w:r>
          </w:p>
        </w:tc>
        <w:tc>
          <w:tcPr>
            <w:tcW w:w="50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3"/>
                <w:szCs w:val="13"/>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2,780</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2,385</w:t>
            </w:r>
          </w:p>
        </w:tc>
        <w:tc>
          <w:tcPr>
            <w:tcW w:w="60" w:type="dxa"/>
            <w:vAlign w:val="bottom"/>
            <w:shd w:val="clear" w:color="auto" w:fill="CCEEFF"/>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3,242</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1,909</w:t>
            </w:r>
          </w:p>
        </w:tc>
      </w:tr>
      <w:tr>
        <w:trPr>
          <w:trHeight w:val="27"/>
        </w:trPr>
        <w:tc>
          <w:tcPr>
            <w:tcW w:w="7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6,022</w:t>
            </w:r>
          </w:p>
        </w:tc>
        <w:tc>
          <w:tcPr>
            <w:tcW w:w="7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4,294</w:t>
            </w:r>
          </w:p>
        </w:tc>
      </w:tr>
      <w:tr>
        <w:trPr>
          <w:trHeight w:val="20"/>
        </w:trPr>
        <w:tc>
          <w:tcPr>
            <w:tcW w:w="7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ind w:left="120" w:right="7620" w:hanging="4"/>
        <w:spacing w:after="0" w:line="381" w:lineRule="auto"/>
        <w:tabs>
          <w:tab w:leader="none" w:pos="66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License and Collaboration Agreements</w:t>
      </w:r>
    </w:p>
    <w:p>
      <w:pPr>
        <w:ind w:left="120" w:right="240" w:firstLine="551"/>
        <w:spacing w:after="0" w:line="275" w:lineRule="auto"/>
        <w:rPr>
          <w:sz w:val="20"/>
          <w:szCs w:val="20"/>
          <w:color w:val="auto"/>
        </w:rPr>
      </w:pPr>
      <w:r>
        <w:rPr>
          <w:rFonts w:ascii="Arial" w:cs="Arial" w:eastAsia="Arial" w:hAnsi="Arial"/>
          <w:sz w:val="17"/>
          <w:szCs w:val="17"/>
          <w:color w:val="auto"/>
        </w:rPr>
        <w:t>The Company has entered into various license agreements for certain technology. The Company is obligated to pay annual maintenance payments from zero to $40,000 per year to certain of the licensors, which will be recognized as research and development expense. The Company could be required to make clinical, development, and regulatory milestone payments of up to $3.5 million and</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5" w:right="4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low single-digit royalty payments to licensors based on the net sales of the licensed products. As of September 30, 2024, the Company has earned $0.1 million in upfront and milestone payments under these agreements. The Company may cancel these agreements at any time by providing 30 to 90 days’ notice to the other party.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2"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In connection with the IFM acquisition, the Company is required to make future payments to the shareholders of IFM based on the occurrence of certain development, commercial, regulatory and sales milestones (see Note 5).</w:t>
      </w:r>
    </w:p>
    <w:p>
      <w:pPr>
        <w:spacing w:after="0" w:line="154"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In connection with the Rahko acquisition, the Company has a contingent payment obligation to the shareholders of Rahko upon the occurrence of certain qualifying events. No qualifying event has occurred as of September 30, 2024.</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2"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a potential loss or a potential range of loss is probable and reasonably estimable under the provisions of the authoritative guidance that addresses accounting for contingencies. The Company expenses the costs related to its legal proceedings as incurred.</w:t>
      </w:r>
    </w:p>
    <w:p>
      <w:pPr>
        <w:spacing w:after="0" w:line="317" w:lineRule="exact"/>
        <w:rPr>
          <w:sz w:val="20"/>
          <w:szCs w:val="20"/>
          <w:color w:val="auto"/>
        </w:rPr>
      </w:pPr>
    </w:p>
    <w:p>
      <w:pPr>
        <w:ind w:left="660" w:hanging="544"/>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0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w:t>
      </w:r>
    </w:p>
    <w:p>
      <w:pPr>
        <w:spacing w:after="0" w:line="322"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During the nine months ended September 30, 2024 and 2023 the Company recorded an income tax provision of $0.4 million, which consists of U.S. state and foreign taxes in jurisdictions the Company conducts its business.</w:t>
      </w:r>
    </w:p>
    <w:p>
      <w:pPr>
        <w:spacing w:after="0" w:line="15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Company maintains a full valuation allowance on its deferred tax assets. 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September 30, 2024, the Company has maintained a full valuation allowance against its remaining net deferred tax assets.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5" w:right="4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4"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78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r>
      <w:tr>
        <w:trPr>
          <w:trHeight w:val="183"/>
        </w:trPr>
        <w:tc>
          <w:tcPr>
            <w:tcW w:w="7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88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(93,389)</w:t>
            </w:r>
          </w:p>
        </w:tc>
        <w:tc>
          <w:tcPr>
            <w:tcW w:w="5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(97,080)</w:t>
            </w:r>
          </w:p>
        </w:tc>
      </w:tr>
      <w:tr>
        <w:trPr>
          <w:trHeight w:val="203"/>
        </w:trPr>
        <w:tc>
          <w:tcPr>
            <w:tcW w:w="7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Deemed dividend upon convertible preferred stock down round adjustment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9"/>
        </w:trPr>
        <w:tc>
          <w:tcPr>
            <w:tcW w:w="788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(97,080)</w:t>
            </w:r>
          </w:p>
        </w:tc>
        <w:tc>
          <w:tcPr>
            <w:tcW w:w="1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4"/>
        </w:trPr>
        <w:tc>
          <w:tcPr>
            <w:tcW w:w="7880" w:type="dxa"/>
            <w:vAlign w:val="bottom"/>
          </w:tcPr>
          <w:p>
            <w:pPr>
              <w:spacing w:after="0" w:line="183" w:lineRule="exact"/>
              <w:rPr>
                <w:sz w:val="20"/>
                <w:szCs w:val="20"/>
                <w:color w:val="auto"/>
              </w:rPr>
            </w:pPr>
            <w:r>
              <w:rPr>
                <w:rFonts w:ascii="Arial" w:cs="Arial" w:eastAsia="Arial" w:hAnsi="Arial"/>
                <w:sz w:val="18"/>
                <w:szCs w:val="18"/>
                <w:color w:val="auto"/>
              </w:rPr>
              <w:t>Weighted-average number of shares used in computing net loss, basic and diluted per</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7880" w:type="dxa"/>
            <w:vAlign w:val="bottom"/>
          </w:tcPr>
          <w:p>
            <w:pPr>
              <w:ind w:left="180"/>
              <w:spacing w:after="0"/>
              <w:rPr>
                <w:sz w:val="20"/>
                <w:szCs w:val="20"/>
                <w:color w:val="auto"/>
              </w:rPr>
            </w:pPr>
            <w:r>
              <w:rPr>
                <w:rFonts w:ascii="Arial" w:cs="Arial" w:eastAsia="Arial" w:hAnsi="Arial"/>
                <w:sz w:val="18"/>
                <w:szCs w:val="18"/>
                <w:color w:val="auto"/>
              </w:rPr>
              <w:t>share - basic and diluted</w:t>
            </w:r>
          </w:p>
        </w:tc>
        <w:tc>
          <w:tcPr>
            <w:tcW w:w="18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7,659,394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6,107,685</w:t>
            </w:r>
          </w:p>
        </w:tc>
      </w:tr>
      <w:tr>
        <w:trPr>
          <w:trHeight w:val="20"/>
        </w:trPr>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 basic and diluted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(12.22)</w:t>
            </w:r>
          </w:p>
        </w:tc>
        <w:tc>
          <w:tcPr>
            <w:tcW w:w="58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(15.89)</w:t>
            </w:r>
          </w:p>
        </w:tc>
      </w:tr>
      <w:tr>
        <w:trPr>
          <w:trHeight w:val="20"/>
        </w:trPr>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attributable to common stockholders, as their effect is antidilutive: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2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81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3"/>
                <w:szCs w:val="13"/>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17,432,533</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10,106,124</w:t>
            </w:r>
          </w:p>
        </w:tc>
        <w:tc>
          <w:tcPr>
            <w:tcW w:w="80" w:type="dxa"/>
            <w:vAlign w:val="bottom"/>
            <w:shd w:val="clear" w:color="auto" w:fill="CCEEFF"/>
          </w:tcPr>
          <w:p>
            <w:pPr>
              <w:spacing w:after="0"/>
              <w:rPr>
                <w:sz w:val="17"/>
                <w:szCs w:val="17"/>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579,432</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1,943,549</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convertible preferred stock (as converted to common stock)</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30,039,874</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30,039,874</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Series A-1 convertible preferred stock (as converted to common stock)</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7,812,618</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7,575,753</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A-2 convertible preferred stock (as converted to common stock)</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8,113,039</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7,799,055</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Series B convertible preferred stock (as converted to common stock)</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27,795,043</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26,601,360</w:t>
            </w:r>
          </w:p>
        </w:tc>
      </w:tr>
      <w:tr>
        <w:trPr>
          <w:trHeight w:val="202"/>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convertible preferred stock (as converted to common stock)</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23,442,000</w:t>
            </w: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Series A-2 warrants (as converted to common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16,902</w:t>
            </w:r>
          </w:p>
        </w:tc>
        <w:tc>
          <w:tcPr>
            <w:tcW w:w="36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16,248</w:t>
            </w:r>
          </w:p>
        </w:tc>
      </w:tr>
      <w:tr>
        <w:trPr>
          <w:trHeight w:val="27"/>
        </w:trPr>
        <w:tc>
          <w:tcPr>
            <w:tcW w:w="8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115,231,441</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84,081,963</w:t>
            </w:r>
          </w:p>
        </w:tc>
      </w:tr>
      <w:tr>
        <w:trPr>
          <w:trHeight w:val="20"/>
        </w:trPr>
        <w:tc>
          <w:tcPr>
            <w:tcW w:w="8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9" w:lineRule="exact"/>
        <w:rPr>
          <w:sz w:val="20"/>
          <w:szCs w:val="20"/>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Company’s CEO is the Chairman of IFM Therapeutics, LLC’s board of directors. In May 2022, the Company acquired all of the membership interests in IFM (see Note 13), which did not include IFM Therapeutics, LLC. The acquisition was conducted in the normal course of business on an arm’s length basis with the Company’s CEO recusing himself from all transaction negotiations. The Company has incurred laboratory supplies and facility-related costs related to the IFM acquisition of zero and $0.3 million for the nine months ended September 30, 2024 and 2023, respectively. There were no related party assets or liabilities recorded in the Company’s condensed consolidated balance sheets as to amounts related to the IFM acquisition in accounts payable and accrued expenses as of September 30, 2024 and December 31, 2023, respectively.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5" w:right="4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The Company has evaluated subsequent events through November 15, 2024, the date these unaudited condensed consolidated financial statements were available to be issued. There were no subsequent events that required adjustments to or disclosure in the financial statements, except for the following:</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0900"/>
          </w:cols>
          <w:pgMar w:left="320" w:top="455" w:right="6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25"/>
          <w:szCs w:val="25"/>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337820</wp:posOffset>
            </wp:positionV>
            <wp:extent cx="1834515" cy="4883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8345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Odyssey Therapeutics, Inc.</w:t>
      </w: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1683385</wp:posOffset>
            </wp:positionV>
            <wp:extent cx="11144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236220</wp:posOffset>
            </wp:positionV>
            <wp:extent cx="11144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ectPr>
          <w:pgSz w:w="11900" w:h="16838" w:orient="portrait"/>
          <w:cols w:equalWidth="0" w:num="1">
            <w:col w:w="10960"/>
          </w:cols>
          <w:pgMar w:left="320" w:top="45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00"/>
        <w:spacing w:after="0"/>
        <w:rPr>
          <w:sz w:val="20"/>
          <w:szCs w:val="20"/>
          <w:color w:val="auto"/>
        </w:rPr>
      </w:pPr>
      <w:r>
        <w:rPr>
          <w:rFonts w:ascii="Arial" w:cs="Arial" w:eastAsia="Arial" w:hAnsi="Arial"/>
          <w:sz w:val="21"/>
          <w:szCs w:val="21"/>
          <w:b w:val="1"/>
          <w:bCs w:val="1"/>
          <w:color w:val="auto"/>
        </w:rPr>
        <w:t>TD Cowen</w:t>
      </w:r>
    </w:p>
    <w:p>
      <w:pPr>
        <w:spacing w:after="0" w:line="200" w:lineRule="exact"/>
        <w:rPr>
          <w:sz w:val="20"/>
          <w:szCs w:val="20"/>
          <w:color w:val="auto"/>
        </w:rPr>
      </w:pPr>
    </w:p>
    <w:p>
      <w:pPr>
        <w:sectPr>
          <w:pgSz w:w="11900" w:h="16838" w:orient="portrait"/>
          <w:cols w:equalWidth="0" w:num="3">
            <w:col w:w="3140" w:space="720"/>
            <w:col w:w="3020" w:space="720"/>
            <w:col w:w="3360"/>
          </w:cols>
          <w:pgMar w:left="320" w:top="455" w:right="619" w:bottom="1440" w:gutter="0" w:footer="0" w:header="0"/>
          <w:type w:val="continuous"/>
        </w:sectPr>
      </w:pPr>
    </w:p>
    <w:p>
      <w:pPr>
        <w:spacing w:after="0" w:line="18"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Wedbush PacGrow</w:t>
      </w: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2025</w:t>
      </w:r>
    </w:p>
    <w:p>
      <w:pPr>
        <w:spacing w:after="0" w:line="225" w:lineRule="exact"/>
        <w:rPr>
          <w:sz w:val="20"/>
          <w:szCs w:val="20"/>
          <w:color w:val="auto"/>
        </w:rPr>
      </w:pPr>
    </w:p>
    <w:p>
      <w:pPr>
        <w:ind w:left="660"/>
        <w:spacing w:after="0"/>
        <w:tabs>
          <w:tab w:leader="none" w:pos="3180" w:val="left"/>
        </w:tabs>
        <w:rPr>
          <w:sz w:val="20"/>
          <w:szCs w:val="20"/>
          <w:color w:val="auto"/>
        </w:rPr>
      </w:pPr>
      <w:r>
        <w:rPr>
          <w:rFonts w:ascii="Arial" w:cs="Arial" w:eastAsia="Arial" w:hAnsi="Arial"/>
          <w:sz w:val="18"/>
          <w:szCs w:val="18"/>
          <w:b w:val="1"/>
          <w:bCs w:val="1"/>
          <w:color w:val="auto"/>
        </w:rPr>
        <w:t xml:space="preserve">Through and including       </w:t>
        <w:tab/>
        <w:t>, 2025 (25 days after the date of this prospectus), all dealers effecting transactions in these</w:t>
      </w:r>
    </w:p>
    <w:p>
      <w:pPr>
        <w:sectPr>
          <w:pgSz w:w="11900" w:h="16838" w:orient="portrait"/>
          <w:cols w:equalWidth="0" w:num="1">
            <w:col w:w="10960"/>
          </w:cols>
          <w:pgMar w:left="320" w:top="455" w:right="619" w:bottom="1440" w:gutter="0" w:footer="0" w:header="0"/>
          <w:type w:val="continuous"/>
        </w:sectPr>
      </w:pPr>
    </w:p>
    <w:p>
      <w:pPr>
        <w:spacing w:after="0" w:line="40" w:lineRule="exact"/>
        <w:rPr>
          <w:sz w:val="20"/>
          <w:szCs w:val="20"/>
          <w:color w:val="auto"/>
        </w:rPr>
      </w:pPr>
    </w:p>
    <w:p>
      <w:pPr>
        <w:ind w:left="120" w:right="180"/>
        <w:spacing w:after="0" w:line="257" w:lineRule="auto"/>
        <w:rPr>
          <w:sz w:val="20"/>
          <w:szCs w:val="20"/>
          <w:color w:val="auto"/>
        </w:rPr>
      </w:pPr>
      <w:r>
        <w:rPr>
          <w:rFonts w:ascii="Arial" w:cs="Arial" w:eastAsia="Arial" w:hAnsi="Arial"/>
          <w:sz w:val="17"/>
          <w:szCs w:val="17"/>
          <w:b w:val="1"/>
          <w:bCs w:val="1"/>
          <w:color w:val="auto"/>
        </w:rPr>
        <w:t>securities, whether or not participating in this offering, may be required to deliver a prospectus. This in addition to a dealer’s obligation to deliver a prospectus when acting as an underwriter and with respect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172085</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60"/>
          </w:cols>
          <w:pgMar w:left="320" w:top="455" w:right="619" w:bottom="1440" w:gutter="0" w:footer="0" w:header="0"/>
          <w:type w:val="continuous"/>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4" w:lineRule="exact"/>
        <w:rPr>
          <w:sz w:val="20"/>
          <w:szCs w:val="20"/>
          <w:color w:val="auto"/>
        </w:rPr>
      </w:pPr>
    </w:p>
    <w:p>
      <w:pPr>
        <w:jc w:val="both"/>
        <w:ind w:left="120" w:right="380" w:firstLine="551"/>
        <w:spacing w:after="0" w:line="253" w:lineRule="auto"/>
        <w:rPr>
          <w:sz w:val="20"/>
          <w:szCs w:val="20"/>
          <w:color w:val="auto"/>
        </w:rPr>
      </w:pPr>
      <w:r>
        <w:rPr>
          <w:rFonts w:ascii="Arial" w:cs="Arial" w:eastAsia="Arial" w:hAnsi="Arial"/>
          <w:sz w:val="18"/>
          <w:szCs w:val="18"/>
          <w:color w:val="auto"/>
        </w:rPr>
        <w:t>The following table sets forth all expenses to be paid by Odyssey Therapeutics, Inc., or the Registrant, other than underwriting discounts and commissions, incurred or to be incurred in connection with this offering. All amounts shown are estimates except for the SEC registration fee, the Financial Industry Regulatory Authority, Inc. filing fee and the Nasdaq Stock Market LLC listing fee.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18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120"/>
              <w:spacing w:after="0"/>
              <w:rPr>
                <w:sz w:val="20"/>
                <w:szCs w:val="20"/>
                <w:color w:val="auto"/>
              </w:rPr>
            </w:pPr>
            <w:r>
              <w:rPr>
                <w:rFonts w:ascii="Arial" w:cs="Arial" w:eastAsia="Arial" w:hAnsi="Arial"/>
                <w:sz w:val="4"/>
                <w:szCs w:val="4"/>
                <w:color w:val="auto"/>
                <w:w w:val="98"/>
              </w:rPr>
              <w:t> </w:t>
            </w:r>
          </w:p>
        </w:tc>
        <w:tc>
          <w:tcPr>
            <w:tcW w:w="180" w:type="dxa"/>
            <w:vAlign w:val="bottom"/>
            <w:shd w:val="clear" w:color="auto" w:fill="CCEEFF"/>
          </w:tcPr>
          <w:p>
            <w:pPr>
              <w:ind w:left="120"/>
              <w:spacing w:after="0"/>
              <w:rPr>
                <w:sz w:val="20"/>
                <w:szCs w:val="20"/>
                <w:color w:val="auto"/>
              </w:rPr>
            </w:pPr>
            <w:r>
              <w:rPr>
                <w:rFonts w:ascii="Arial" w:cs="Arial" w:eastAsia="Arial" w:hAnsi="Arial"/>
                <w:sz w:val="4"/>
                <w:szCs w:val="4"/>
                <w:color w:val="auto"/>
                <w:w w:val="98"/>
              </w:rPr>
              <w:t> </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Financial Industry Regulatory Authority, Inc. filing fee</w:t>
            </w: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listing fee</w:t>
            </w:r>
          </w:p>
        </w:tc>
        <w:tc>
          <w:tcPr>
            <w:tcW w:w="3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3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120"/>
              <w:spacing w:after="0"/>
              <w:rPr>
                <w:sz w:val="20"/>
                <w:szCs w:val="20"/>
                <w:color w:val="auto"/>
              </w:rPr>
            </w:pPr>
            <w:r>
              <w:rPr>
                <w:rFonts w:ascii="Arial" w:cs="Arial" w:eastAsia="Arial" w:hAnsi="Arial"/>
                <w:sz w:val="4"/>
                <w:szCs w:val="4"/>
                <w:color w:val="auto"/>
                <w:w w:val="98"/>
              </w:rPr>
              <w:t> </w:t>
            </w:r>
          </w:p>
        </w:tc>
        <w:tc>
          <w:tcPr>
            <w:tcW w:w="180" w:type="dxa"/>
            <w:vAlign w:val="bottom"/>
            <w:shd w:val="clear" w:color="auto" w:fill="CCEEFF"/>
          </w:tcPr>
          <w:p>
            <w:pPr>
              <w:ind w:left="120"/>
              <w:spacing w:after="0"/>
              <w:rPr>
                <w:sz w:val="20"/>
                <w:szCs w:val="20"/>
                <w:color w:val="auto"/>
              </w:rPr>
            </w:pPr>
            <w:r>
              <w:rPr>
                <w:rFonts w:ascii="Arial" w:cs="Arial" w:eastAsia="Arial" w:hAnsi="Arial"/>
                <w:sz w:val="4"/>
                <w:szCs w:val="4"/>
                <w:color w:val="auto"/>
                <w:w w:val="98"/>
              </w:rPr>
              <w:t> </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   To be provided by amendment.</w:t>
            </w: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7180" w:type="dxa"/>
            <w:vAlign w:val="bottom"/>
            <w:vMerge w:val="continue"/>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4"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color w:val="auto"/>
        </w:rPr>
        <w:t>Section 145 of the DGCL, authorizes a corporation’s board of directors to grant, and authorizes a court to award, indemnity to officers, directors and other corporate agents.</w:t>
      </w:r>
    </w:p>
    <w:p>
      <w:pPr>
        <w:spacing w:after="0" w:line="154"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Prior to the completion of the offering, the Registrant expects to adopt a Certificate of Incorporation and Bylaws, which will become effective immediately prior to the completion of the offering, and which will contain provisions that limit the liability of the Registrant’s directors and officers for monetary damages to the fullest extent permitted by Delaware law. Consequently, the Registrant’s directors and officers will not be personally liable to the Registrant or the Registrant’s stockholders for monetary damages for any breach of fiduciary duties as directors or officers, except liability for the following:</w:t>
      </w:r>
    </w:p>
    <w:p>
      <w:pPr>
        <w:spacing w:after="0" w:line="82" w:lineRule="exact"/>
        <w:rPr>
          <w:sz w:val="20"/>
          <w:szCs w:val="20"/>
          <w:color w:val="auto"/>
        </w:rPr>
      </w:pPr>
    </w:p>
    <w:p>
      <w:pPr>
        <w:ind w:left="880" w:hanging="224"/>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violations of their duty of loyalty to the Registrant or its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acting in bad faith or knowingly or intentionally violated the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authorized unlawful payments of dividends,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unlawful stock purchases or unlawful redemptions,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derived improper personal benefit from their actions as directors.</w:t>
      </w:r>
    </w:p>
    <w:p>
      <w:pPr>
        <w:spacing w:after="0" w:line="21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the Registrant’s directors and officers will be further limited to the greatest extent permitted by the DGCL.</w:t>
      </w:r>
    </w:p>
    <w:p>
      <w:pPr>
        <w:spacing w:after="0" w:line="17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The Registrant’s Certificate of Incorporation will also provide that the Registrant will indemnify, to the fullest extent permitted by law, each person who is or was made a party or is threatened to be made a party to or is otherwise involved in any threatened, pending or completed action, suit or proceeding, whether civil, criminal, administrative or investigative by reason of the fact that he or she is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or was a director or officer of the Registrant or, while a director or officer of the Registrant, is or was serving at the request of the Registrant as a director, officer, employee or agent of another corporation or of a partnership, joint venture, trust, other enterprise or nonprofit entity. In addition, the Registrant’s Certificate of Incorporation will provide that the Registrant must advance expenses incurred by or on behalf of a director or officer in advance of the final disposition of any action or proceeding, subject to very limited exceptions.</w:t>
      </w:r>
    </w:p>
    <w:p>
      <w:pPr>
        <w:spacing w:after="0" w:line="17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Further, prior to the completion of this offering, the Registrant expects to enter into indemnification agreements with each of its directors and executive officers that may be broader than the specific indemnification provisions contained in the DGCL. These indemnification agreements will require the Registrant, among other things, to indemnify its directors and executive officers against liabilities that may arise by reason of their status or service. These indemnification agreements will also require the Registrant to advance all expenses incurred by the directors and executive officers in investigating or defending any such action, suit or proceeding, subject to certain exceptions. The Registrant believes that these agreements are necessary to attract and retain qualified individuals to serve as directors and executive officers.</w:t>
      </w:r>
    </w:p>
    <w:p>
      <w:pPr>
        <w:spacing w:after="0" w:line="18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limitation of liability and indemnification provisions that will be included in the Registrant’s Certificate of Incorporation, Bylaws and in indemnification agreements that the Registrant enters into with its directors and executive officers may discourage stockholders from bringing a lawsuit against its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its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Registrant’s Bylaws will provide that the Registrant may purchase and maintain insurance, at its expense, to protect itself and any person who is or was a director, officer, employee or agent of the Registrant or is or was serving at its request as a director, officer, employee or agent of another corporation, partnership, joint venture, trust or other enterprise against any expense, liability or loss, whether or not the Registrant would have the power to indemnity such person against such expense, liability or loss under the DGCL. The Registrant will obtain prior to the closing of this offering insurance under which, subject to the limitations of the insurance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the Registrant’s indemnification obligations or otherwise as a matter of law.</w:t>
      </w:r>
    </w:p>
    <w:p>
      <w:pPr>
        <w:spacing w:after="0" w:line="183"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5" w:right="4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January 1, 2022, the Registrant has issued the following securities that were not registered under the Securities Act:</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Options to Purchase Common Stock and Common Stock Upon Exercise of Options</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From January 1, 2022 through the date of this registration statement, the Registrant under 2021 Equity Incentive Plan, as amended to date, or the 2021 Plan, granted options to purchase an aggregate of        shares of the Registrant’s common stock to certain of the Registrant’s employees, consultants and directors, having exercise prices ranging from $    to $    per share.</w:t>
      </w:r>
    </w:p>
    <w:p>
      <w:pPr>
        <w:spacing w:after="0" w:line="169"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From January 1, 2022 through the date of this registration statement, the Registrant issued to certain of the Registrant’s employees, consultants and directors an aggregate of        shares of the Registrant’s common stock at a per share price ranging from $    to $    per share pursuant to exercises of options under the 2021 Plan for an aggregate purchase price of $    .</w:t>
      </w:r>
    </w:p>
    <w:p>
      <w:pPr>
        <w:spacing w:after="0" w:line="169"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offers, sales and issuances of the securities described in the preceding paragraphs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the Registrant’s employees, directors or consultants and received the securities under the 2021 Plan. Appropriate legends were affixed to the securities issued in these transactions. Each of the recipients of securities in these transactions had adequate access, through employment, business or other relationships, to information about the Registrant.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Convertible Preferred Stock</w:t>
      </w:r>
    </w:p>
    <w:p>
      <w:pPr>
        <w:spacing w:after="0" w:line="102"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In multiple closings held between January 1, 2022 and the date hereof, the Registrant issued and sold an aggregate of (i) 1,624,803 shares of its Series A-2 convertible preferred stock at a purchase price of approximately $ 6.15459 per share for an aggregate purchase price of $9,999,996.30, (ii) 26,601,360 shares of its Series B convertible preferred stock at a purchase price of $6.31584 per share for an aggregate purchase price of $168,009,934 and (iii) 23,442,000 shares of its Series C convertible preferred stock at a purchase price of $5.00 per share for an aggregate purchase price of $117,210,000.</w:t>
      </w:r>
    </w:p>
    <w:p>
      <w:pPr>
        <w:spacing w:after="0" w:line="17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offers, sales and issuances of the securities described in the preceding paragraphs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the Registrant. No underwriters were involved in these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Acquisitions</w:t>
      </w:r>
    </w:p>
    <w:p>
      <w:pPr>
        <w:spacing w:after="0" w:line="102" w:lineRule="exact"/>
        <w:rPr>
          <w:sz w:val="20"/>
          <w:szCs w:val="20"/>
          <w:color w:val="auto"/>
        </w:rPr>
      </w:pPr>
    </w:p>
    <w:p>
      <w:pPr>
        <w:ind w:left="120" w:right="680" w:firstLine="551"/>
        <w:spacing w:after="0" w:line="271" w:lineRule="auto"/>
        <w:rPr>
          <w:sz w:val="20"/>
          <w:szCs w:val="20"/>
          <w:color w:val="auto"/>
        </w:rPr>
      </w:pPr>
      <w:r>
        <w:rPr>
          <w:rFonts w:ascii="Arial" w:cs="Arial" w:eastAsia="Arial" w:hAnsi="Arial"/>
          <w:sz w:val="18"/>
          <w:szCs w:val="18"/>
          <w:color w:val="auto"/>
        </w:rPr>
        <w:t>The Registrant has, from time to time, issued securities as consideration in connections with acquisitions. In May 2022, the Registrant acquired all of the membership interests in IFM Discovery,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5" w:right="47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LLC, or IFM, a biotechnology company that focuses on developing small molecule immunotherapies for inflammatory diseases and cancers. As part of the total purchase consideration, the Registrant issued 81,240 shares of the Registrant’s non-voting common stock at closing with the estimated fair value of $0.2 million.</w:t>
      </w:r>
    </w:p>
    <w:p>
      <w:pPr>
        <w:spacing w:after="0" w:line="169"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offers, sales and issuances of the securities described in the preceding paragraphs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the Registrant. No underwriters were involved in these transactions.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303"/>
        </w:trPr>
        <w:tc>
          <w:tcPr>
            <w:tcW w:w="380" w:type="dxa"/>
            <w:vAlign w:val="bottom"/>
          </w:tcPr>
          <w:p>
            <w:pPr>
              <w:spacing w:after="0"/>
              <w:rPr>
                <w:sz w:val="20"/>
                <w:szCs w:val="20"/>
                <w:color w:val="auto"/>
              </w:rPr>
            </w:pPr>
            <w:r>
              <w:rPr>
                <w:rFonts w:ascii="Arial" w:cs="Arial" w:eastAsia="Arial" w:hAnsi="Arial"/>
                <w:sz w:val="18"/>
                <w:szCs w:val="18"/>
                <w:i w:val="1"/>
                <w:iCs w:val="1"/>
                <w:color w:val="auto"/>
              </w:rPr>
              <w:t xml:space="preserve">(a) </w:t>
            </w:r>
          </w:p>
        </w:tc>
        <w:tc>
          <w:tcPr>
            <w:tcW w:w="700" w:type="dxa"/>
            <w:vAlign w:val="bottom"/>
            <w:gridSpan w:val="2"/>
          </w:tcPr>
          <w:p>
            <w:pPr>
              <w:ind w:left="20"/>
              <w:spacing w:after="0"/>
              <w:rPr>
                <w:sz w:val="20"/>
                <w:szCs w:val="20"/>
                <w:color w:val="auto"/>
              </w:rPr>
            </w:pPr>
            <w:r>
              <w:rPr>
                <w:rFonts w:ascii="Arial" w:cs="Arial" w:eastAsia="Arial" w:hAnsi="Arial"/>
                <w:sz w:val="18"/>
                <w:szCs w:val="18"/>
                <w:i w:val="1"/>
                <w:iCs w:val="1"/>
                <w:color w:val="auto"/>
                <w:w w:val="96"/>
              </w:rPr>
              <w:t>Exhibits.</w:t>
            </w:r>
          </w:p>
        </w:tc>
        <w:tc>
          <w:tcPr>
            <w:tcW w:w="5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378"/>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78"/>
        </w:trPr>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9400" w:type="dxa"/>
            <w:vAlign w:val="bottom"/>
            <w:tcBorders>
              <w:bottom w:val="single" w:sz="8" w:color="auto"/>
            </w:tcBorders>
          </w:tcPr>
          <w:p>
            <w:pPr>
              <w:ind w:left="4040"/>
              <w:spacing w:after="0"/>
              <w:rPr>
                <w:sz w:val="20"/>
                <w:szCs w:val="20"/>
                <w:color w:val="auto"/>
              </w:rPr>
            </w:pPr>
            <w:r>
              <w:rPr>
                <w:rFonts w:ascii="Arial" w:cs="Arial" w:eastAsia="Arial" w:hAnsi="Arial"/>
                <w:sz w:val="14"/>
                <w:szCs w:val="14"/>
                <w:b w:val="1"/>
                <w:bCs w:val="1"/>
                <w:color w:val="auto"/>
              </w:rPr>
              <w:t>Exhibit Description</w:t>
            </w:r>
          </w:p>
        </w:tc>
      </w:tr>
      <w:tr>
        <w:trPr>
          <w:trHeight w:val="315"/>
        </w:trPr>
        <w:tc>
          <w:tcPr>
            <w:tcW w:w="1080" w:type="dxa"/>
            <w:vAlign w:val="bottom"/>
            <w:gridSpan w:val="3"/>
          </w:tcPr>
          <w:p>
            <w:pPr>
              <w:spacing w:after="0"/>
              <w:rPr>
                <w:sz w:val="20"/>
                <w:szCs w:val="20"/>
                <w:color w:val="auto"/>
              </w:rPr>
            </w:pPr>
            <w:r>
              <w:rPr>
                <w:rFonts w:ascii="Arial" w:cs="Arial" w:eastAsia="Arial" w:hAnsi="Arial"/>
                <w:sz w:val="18"/>
                <w:szCs w:val="18"/>
                <w:color w:val="auto"/>
              </w:rPr>
              <w:t>  1.1 *</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1080" w:type="dxa"/>
            <w:vAlign w:val="bottom"/>
            <w:gridSpan w:val="3"/>
          </w:tcPr>
          <w:p>
            <w:pPr>
              <w:spacing w:after="0"/>
              <w:rPr>
                <w:sz w:val="20"/>
                <w:szCs w:val="20"/>
                <w:color w:val="auto"/>
              </w:rPr>
            </w:pPr>
            <w:r>
              <w:rPr>
                <w:rFonts w:ascii="Arial" w:cs="Arial" w:eastAsia="Arial" w:hAnsi="Arial"/>
                <w:sz w:val="18"/>
                <w:szCs w:val="18"/>
                <w:color w:val="auto"/>
              </w:rPr>
              <w:t>  3.1 *</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Sixth Amended and Restated Certificate of Incorporation, as amended, as currently in effect.</w:t>
            </w:r>
          </w:p>
        </w:tc>
      </w:tr>
      <w:tr>
        <w:trPr>
          <w:trHeight w:val="311"/>
        </w:trPr>
        <w:tc>
          <w:tcPr>
            <w:tcW w:w="1080" w:type="dxa"/>
            <w:vAlign w:val="bottom"/>
            <w:gridSpan w:val="3"/>
          </w:tcPr>
          <w:p>
            <w:pPr>
              <w:spacing w:after="0"/>
              <w:rPr>
                <w:sz w:val="20"/>
                <w:szCs w:val="20"/>
                <w:color w:val="auto"/>
              </w:rPr>
            </w:pPr>
            <w:r>
              <w:rPr>
                <w:rFonts w:ascii="Arial" w:cs="Arial" w:eastAsia="Arial" w:hAnsi="Arial"/>
                <w:sz w:val="18"/>
                <w:szCs w:val="18"/>
                <w:color w:val="auto"/>
              </w:rPr>
              <w:t>  3.2 *</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Amended and Restated Bylaws, as currently in effect.</w:t>
            </w:r>
          </w:p>
        </w:tc>
      </w:tr>
      <w:tr>
        <w:trPr>
          <w:trHeight w:val="274"/>
        </w:trPr>
        <w:tc>
          <w:tcPr>
            <w:tcW w:w="1080" w:type="dxa"/>
            <w:vAlign w:val="bottom"/>
            <w:gridSpan w:val="3"/>
          </w:tcPr>
          <w:p>
            <w:pPr>
              <w:spacing w:after="0"/>
              <w:rPr>
                <w:sz w:val="20"/>
                <w:szCs w:val="20"/>
                <w:color w:val="auto"/>
              </w:rPr>
            </w:pPr>
            <w:r>
              <w:rPr>
                <w:rFonts w:ascii="Arial" w:cs="Arial" w:eastAsia="Arial" w:hAnsi="Arial"/>
                <w:sz w:val="18"/>
                <w:szCs w:val="18"/>
                <w:color w:val="auto"/>
              </w:rPr>
              <w:t>  3.3 *</w:t>
            </w:r>
          </w:p>
        </w:tc>
        <w:tc>
          <w:tcPr>
            <w:tcW w:w="54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9"/>
              </w:rPr>
              <w:t>Form of Seventh Amended and Restated Certificate of Incorporation, to be effective immediately prior to the closing of</w:t>
            </w:r>
          </w:p>
        </w:tc>
      </w:tr>
      <w:tr>
        <w:trPr>
          <w:trHeight w:val="239"/>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this offering.</w:t>
            </w:r>
          </w:p>
        </w:tc>
      </w:tr>
      <w:tr>
        <w:trPr>
          <w:trHeight w:val="311"/>
        </w:trPr>
        <w:tc>
          <w:tcPr>
            <w:tcW w:w="1080" w:type="dxa"/>
            <w:vAlign w:val="bottom"/>
            <w:gridSpan w:val="3"/>
          </w:tcPr>
          <w:p>
            <w:pPr>
              <w:spacing w:after="0"/>
              <w:rPr>
                <w:sz w:val="20"/>
                <w:szCs w:val="20"/>
                <w:color w:val="auto"/>
              </w:rPr>
            </w:pPr>
            <w:r>
              <w:rPr>
                <w:rFonts w:ascii="Arial" w:cs="Arial" w:eastAsia="Arial" w:hAnsi="Arial"/>
                <w:sz w:val="18"/>
                <w:szCs w:val="18"/>
                <w:color w:val="auto"/>
              </w:rPr>
              <w:t>  3.4 *</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Form of Amended and Restated Bylaws, to be effective immediately prior to the closing of this offering.</w:t>
            </w:r>
          </w:p>
        </w:tc>
      </w:tr>
      <w:tr>
        <w:trPr>
          <w:trHeight w:val="310"/>
        </w:trPr>
        <w:tc>
          <w:tcPr>
            <w:tcW w:w="1080" w:type="dxa"/>
            <w:vAlign w:val="bottom"/>
            <w:gridSpan w:val="3"/>
          </w:tcPr>
          <w:p>
            <w:pPr>
              <w:spacing w:after="0"/>
              <w:rPr>
                <w:sz w:val="20"/>
                <w:szCs w:val="20"/>
                <w:color w:val="auto"/>
              </w:rPr>
            </w:pPr>
            <w:r>
              <w:rPr>
                <w:rFonts w:ascii="Arial" w:cs="Arial" w:eastAsia="Arial" w:hAnsi="Arial"/>
                <w:sz w:val="18"/>
                <w:szCs w:val="18"/>
                <w:color w:val="auto"/>
              </w:rPr>
              <w:t>  4.1 *</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1080" w:type="dxa"/>
            <w:vAlign w:val="bottom"/>
            <w:gridSpan w:val="3"/>
          </w:tcPr>
          <w:p>
            <w:pPr>
              <w:spacing w:after="0"/>
              <w:rPr>
                <w:sz w:val="20"/>
                <w:szCs w:val="20"/>
                <w:color w:val="auto"/>
              </w:rPr>
            </w:pPr>
            <w:r>
              <w:rPr>
                <w:rFonts w:ascii="Arial" w:cs="Arial" w:eastAsia="Arial" w:hAnsi="Arial"/>
                <w:sz w:val="18"/>
                <w:szCs w:val="18"/>
                <w:color w:val="auto"/>
              </w:rPr>
              <w:t>  4.2 *</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Warrant to Purchase Stock, issued to Pacific Western Bank.</w:t>
            </w:r>
          </w:p>
        </w:tc>
      </w:tr>
      <w:tr>
        <w:trPr>
          <w:trHeight w:val="274"/>
        </w:trPr>
        <w:tc>
          <w:tcPr>
            <w:tcW w:w="1080" w:type="dxa"/>
            <w:vAlign w:val="bottom"/>
            <w:gridSpan w:val="3"/>
          </w:tcPr>
          <w:p>
            <w:pPr>
              <w:spacing w:after="0"/>
              <w:rPr>
                <w:sz w:val="20"/>
                <w:szCs w:val="20"/>
                <w:color w:val="auto"/>
              </w:rPr>
            </w:pPr>
            <w:r>
              <w:rPr>
                <w:rFonts w:ascii="Arial" w:cs="Arial" w:eastAsia="Arial" w:hAnsi="Arial"/>
                <w:sz w:val="18"/>
                <w:szCs w:val="18"/>
                <w:color w:val="auto"/>
              </w:rPr>
              <w:t>  4.3 *</w:t>
            </w:r>
          </w:p>
        </w:tc>
        <w:tc>
          <w:tcPr>
            <w:tcW w:w="54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Second Amended and Restated Investors’ Rights Agreement, dated October 25, 2023,</w:t>
            </w:r>
          </w:p>
        </w:tc>
      </w:tr>
      <w:tr>
        <w:trPr>
          <w:trHeight w:val="239"/>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by and among Odyssey Therapeutics, Inc. and the investors thereto.</w:t>
            </w: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  5.1 *</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Opinion of Covington &amp; Burling LLP.</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Odyssey Therapeutics, Inc. 2021 Equity Incentive Plan, as amended, and forms of agreement thereunder.</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10.2</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Odyssey Therapeutics, Inc. 2024 Long-Term Incentive Plan, and forms of agreement thereunder.</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10.3</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Odyssey Therapeutics, Inc. 2024 Employee Stock Purchase Plan.</w:t>
            </w:r>
          </w:p>
        </w:tc>
      </w:tr>
      <w:tr>
        <w:trPr>
          <w:trHeight w:val="274"/>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Form of Indemnification Agreement by and between Odyssey Therapeutics, Inc. and its directors and executive</w:t>
            </w:r>
          </w:p>
        </w:tc>
      </w:tr>
      <w:tr>
        <w:trPr>
          <w:trHeight w:val="239"/>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officers.</w:t>
            </w:r>
          </w:p>
        </w:tc>
      </w:tr>
      <w:tr>
        <w:trPr>
          <w:trHeight w:val="274"/>
        </w:trPr>
        <w:tc>
          <w:tcPr>
            <w:tcW w:w="380" w:type="dxa"/>
            <w:vAlign w:val="bottom"/>
          </w:tcPr>
          <w:p>
            <w:pPr>
              <w:spacing w:after="0"/>
              <w:rPr>
                <w:sz w:val="20"/>
                <w:szCs w:val="20"/>
                <w:color w:val="auto"/>
              </w:rPr>
            </w:pPr>
            <w:r>
              <w:rPr>
                <w:rFonts w:ascii="Arial" w:cs="Arial" w:eastAsia="Arial" w:hAnsi="Arial"/>
                <w:sz w:val="18"/>
                <w:szCs w:val="18"/>
                <w:color w:val="auto"/>
              </w:rPr>
              <w:t>10.5</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Strategic Collaboration, Option and License Agreement, dated March 29, 2024, by and between Odyssey</w:t>
            </w:r>
          </w:p>
        </w:tc>
      </w:tr>
      <w:tr>
        <w:trPr>
          <w:trHeight w:val="239"/>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Therapeutics, Inc. and Janssen Pharmaceutica NV.</w:t>
            </w:r>
          </w:p>
        </w:tc>
      </w:tr>
      <w:tr>
        <w:trPr>
          <w:trHeight w:val="274"/>
        </w:trPr>
        <w:tc>
          <w:tcPr>
            <w:tcW w:w="380" w:type="dxa"/>
            <w:vAlign w:val="bottom"/>
          </w:tcPr>
          <w:p>
            <w:pPr>
              <w:spacing w:after="0"/>
              <w:rPr>
                <w:sz w:val="20"/>
                <w:szCs w:val="20"/>
                <w:color w:val="auto"/>
              </w:rPr>
            </w:pPr>
            <w:r>
              <w:rPr>
                <w:rFonts w:ascii="Arial" w:cs="Arial" w:eastAsia="Arial" w:hAnsi="Arial"/>
                <w:sz w:val="18"/>
                <w:szCs w:val="18"/>
                <w:color w:val="auto"/>
              </w:rPr>
              <w:t>10.6</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Material Transfer and Evaluation Agreement, dated December 20, 2022, by and between Odyssey Therapeutics, Inc.</w:t>
            </w:r>
          </w:p>
        </w:tc>
      </w:tr>
      <w:tr>
        <w:trPr>
          <w:trHeight w:val="239"/>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and Pfizer Inc.</w:t>
            </w:r>
          </w:p>
        </w:tc>
      </w:tr>
    </w:tbl>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5" w:right="4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9480" w:type="dxa"/>
            <w:vAlign w:val="bottom"/>
          </w:tcPr>
          <w:p>
            <w:pPr>
              <w:spacing w:after="0"/>
              <w:rPr>
                <w:sz w:val="14"/>
                <w:szCs w:val="14"/>
                <w:color w:val="auto"/>
              </w:rPr>
            </w:pPr>
          </w:p>
        </w:tc>
      </w:tr>
      <w:tr>
        <w:trPr>
          <w:trHeight w:val="178"/>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9480" w:type="dxa"/>
            <w:vAlign w:val="bottom"/>
            <w:tcBorders>
              <w:bottom w:val="single" w:sz="8" w:color="auto"/>
            </w:tcBorders>
          </w:tcPr>
          <w:p>
            <w:pPr>
              <w:ind w:left="4080"/>
              <w:spacing w:after="0"/>
              <w:rPr>
                <w:sz w:val="20"/>
                <w:szCs w:val="20"/>
                <w:color w:val="auto"/>
              </w:rPr>
            </w:pPr>
            <w:r>
              <w:rPr>
                <w:rFonts w:ascii="Arial" w:cs="Arial" w:eastAsia="Arial" w:hAnsi="Arial"/>
                <w:sz w:val="14"/>
                <w:szCs w:val="14"/>
                <w:b w:val="1"/>
                <w:bCs w:val="1"/>
                <w:color w:val="auto"/>
              </w:rPr>
              <w:t>Exhibit Description</w:t>
            </w:r>
          </w:p>
        </w:tc>
      </w:tr>
      <w:tr>
        <w:trPr>
          <w:trHeight w:val="278"/>
        </w:trPr>
        <w:tc>
          <w:tcPr>
            <w:tcW w:w="1060" w:type="dxa"/>
            <w:vAlign w:val="bottom"/>
            <w:gridSpan w:val="2"/>
          </w:tcPr>
          <w:p>
            <w:pPr>
              <w:spacing w:after="0"/>
              <w:rPr>
                <w:sz w:val="20"/>
                <w:szCs w:val="20"/>
                <w:color w:val="auto"/>
              </w:rPr>
            </w:pPr>
            <w:r>
              <w:rPr>
                <w:rFonts w:ascii="Arial" w:cs="Arial" w:eastAsia="Arial" w:hAnsi="Arial"/>
                <w:sz w:val="18"/>
                <w:szCs w:val="18"/>
                <w:color w:val="auto"/>
              </w:rPr>
              <w:t>10.7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Collaboration and License Agreement, dated September 11, 2024, by and between Odyssey Therapeutics, Inc. and</w:t>
            </w:r>
          </w:p>
        </w:tc>
      </w:tr>
      <w:tr>
        <w:trPr>
          <w:trHeight w:val="239"/>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Terray Therapeutics, Inc.</w:t>
            </w:r>
          </w:p>
        </w:tc>
      </w:tr>
      <w:tr>
        <w:trPr>
          <w:trHeight w:val="274"/>
        </w:trPr>
        <w:tc>
          <w:tcPr>
            <w:tcW w:w="1060" w:type="dxa"/>
            <w:vAlign w:val="bottom"/>
            <w:gridSpan w:val="2"/>
          </w:tcPr>
          <w:p>
            <w:pPr>
              <w:spacing w:after="0"/>
              <w:rPr>
                <w:sz w:val="20"/>
                <w:szCs w:val="20"/>
                <w:color w:val="auto"/>
              </w:rPr>
            </w:pPr>
            <w:r>
              <w:rPr>
                <w:rFonts w:ascii="Arial" w:cs="Arial" w:eastAsia="Arial" w:hAnsi="Arial"/>
                <w:sz w:val="18"/>
                <w:szCs w:val="18"/>
                <w:color w:val="auto"/>
              </w:rPr>
              <w:t>10.8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Share Purchase Agreement, dated October 6, 2021, by and among Odyssey Therapeutics, Inc., Rahko Limited, the</w:t>
            </w:r>
          </w:p>
        </w:tc>
      </w:tr>
      <w:tr>
        <w:trPr>
          <w:trHeight w:val="239"/>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seller parties thereto and Robert Ian Horobin and Miriam Cha as seller’s representatives.</w:t>
            </w:r>
          </w:p>
        </w:tc>
      </w:tr>
      <w:tr>
        <w:trPr>
          <w:trHeight w:val="274"/>
        </w:trPr>
        <w:tc>
          <w:tcPr>
            <w:tcW w:w="1060" w:type="dxa"/>
            <w:vAlign w:val="bottom"/>
            <w:gridSpan w:val="2"/>
          </w:tcPr>
          <w:p>
            <w:pPr>
              <w:spacing w:after="0"/>
              <w:rPr>
                <w:sz w:val="20"/>
                <w:szCs w:val="20"/>
                <w:color w:val="auto"/>
              </w:rPr>
            </w:pPr>
            <w:r>
              <w:rPr>
                <w:rFonts w:ascii="Arial" w:cs="Arial" w:eastAsia="Arial" w:hAnsi="Arial"/>
                <w:sz w:val="18"/>
                <w:szCs w:val="18"/>
                <w:color w:val="auto"/>
              </w:rPr>
              <w:t>10.9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Share Purchase Agreement, dated October 6, 2021, by and among Odyssey Therapeutics, Inc., Rahko Limited,</w:t>
            </w:r>
          </w:p>
        </w:tc>
      </w:tr>
      <w:tr>
        <w:trPr>
          <w:trHeight w:val="239"/>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Balderton Capital General Partner VI S.L.P and Robert Ian Horobin and Miriam Cha as seller’s representatives.</w:t>
            </w:r>
          </w:p>
        </w:tc>
      </w:tr>
      <w:tr>
        <w:trPr>
          <w:trHeight w:val="274"/>
        </w:trPr>
        <w:tc>
          <w:tcPr>
            <w:tcW w:w="1060" w:type="dxa"/>
            <w:vAlign w:val="bottom"/>
            <w:gridSpan w:val="2"/>
          </w:tcPr>
          <w:p>
            <w:pPr>
              <w:spacing w:after="0"/>
              <w:rPr>
                <w:sz w:val="20"/>
                <w:szCs w:val="20"/>
                <w:color w:val="auto"/>
              </w:rPr>
            </w:pPr>
            <w:r>
              <w:rPr>
                <w:rFonts w:ascii="Arial" w:cs="Arial" w:eastAsia="Arial" w:hAnsi="Arial"/>
                <w:sz w:val="18"/>
                <w:szCs w:val="18"/>
                <w:color w:val="auto"/>
              </w:rPr>
              <w:t>10.10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Membership Interest Purchase Agreement, dated May 6, 2022, by and among Odyssey Therapeutics, Inc., IFM</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Therapeutics, LLC, IFM Management, Inc., IFM Therapeutics GmbH, IFM Quattro, Inc., IFM Cinque, Inc. and IFM</w:t>
            </w:r>
          </w:p>
        </w:tc>
      </w:tr>
      <w:tr>
        <w:trPr>
          <w:trHeight w:val="239"/>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Continua, Inc.</w:t>
            </w:r>
          </w:p>
        </w:tc>
      </w:tr>
      <w:tr>
        <w:trPr>
          <w:trHeight w:val="310"/>
        </w:trPr>
        <w:tc>
          <w:tcPr>
            <w:tcW w:w="1060" w:type="dxa"/>
            <w:vAlign w:val="bottom"/>
            <w:gridSpan w:val="2"/>
          </w:tcPr>
          <w:p>
            <w:pPr>
              <w:spacing w:after="0"/>
              <w:rPr>
                <w:sz w:val="20"/>
                <w:szCs w:val="20"/>
                <w:color w:val="auto"/>
              </w:rPr>
            </w:pPr>
            <w:r>
              <w:rPr>
                <w:rFonts w:ascii="Arial" w:cs="Arial" w:eastAsia="Arial" w:hAnsi="Arial"/>
                <w:sz w:val="18"/>
                <w:szCs w:val="18"/>
                <w:color w:val="auto"/>
              </w:rPr>
              <w:t>21.1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Subsidiaries of Odyssey Therapeutics, Inc.</w:t>
            </w:r>
          </w:p>
        </w:tc>
      </w:tr>
      <w:tr>
        <w:trPr>
          <w:trHeight w:val="311"/>
        </w:trPr>
        <w:tc>
          <w:tcPr>
            <w:tcW w:w="1060" w:type="dxa"/>
            <w:vAlign w:val="bottom"/>
            <w:gridSpan w:val="2"/>
          </w:tcPr>
          <w:p>
            <w:pPr>
              <w:spacing w:after="0"/>
              <w:rPr>
                <w:sz w:val="20"/>
                <w:szCs w:val="20"/>
                <w:color w:val="auto"/>
              </w:rPr>
            </w:pPr>
            <w:r>
              <w:rPr>
                <w:rFonts w:ascii="Arial" w:cs="Arial" w:eastAsia="Arial" w:hAnsi="Arial"/>
                <w:sz w:val="18"/>
                <w:szCs w:val="18"/>
                <w:color w:val="auto"/>
              </w:rPr>
              <w:t>23.1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11"/>
        </w:trPr>
        <w:tc>
          <w:tcPr>
            <w:tcW w:w="1060" w:type="dxa"/>
            <w:vAlign w:val="bottom"/>
            <w:gridSpan w:val="2"/>
          </w:tcPr>
          <w:p>
            <w:pPr>
              <w:spacing w:after="0"/>
              <w:rPr>
                <w:sz w:val="20"/>
                <w:szCs w:val="20"/>
                <w:color w:val="auto"/>
              </w:rPr>
            </w:pPr>
            <w:r>
              <w:rPr>
                <w:rFonts w:ascii="Arial" w:cs="Arial" w:eastAsia="Arial" w:hAnsi="Arial"/>
                <w:sz w:val="18"/>
                <w:szCs w:val="18"/>
                <w:color w:val="auto"/>
              </w:rPr>
              <w:t>23.2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Consent of Covington &amp; Burling LLP (included in Exhibit 5.1).</w:t>
            </w:r>
          </w:p>
        </w:tc>
      </w:tr>
      <w:tr>
        <w:trPr>
          <w:trHeight w:val="310"/>
        </w:trPr>
        <w:tc>
          <w:tcPr>
            <w:tcW w:w="1060" w:type="dxa"/>
            <w:vAlign w:val="bottom"/>
            <w:gridSpan w:val="2"/>
          </w:tcPr>
          <w:p>
            <w:pPr>
              <w:spacing w:after="0"/>
              <w:rPr>
                <w:sz w:val="20"/>
                <w:szCs w:val="20"/>
                <w:color w:val="auto"/>
              </w:rPr>
            </w:pPr>
            <w:r>
              <w:rPr>
                <w:rFonts w:ascii="Arial" w:cs="Arial" w:eastAsia="Arial" w:hAnsi="Arial"/>
                <w:sz w:val="18"/>
                <w:szCs w:val="18"/>
                <w:color w:val="auto"/>
              </w:rPr>
              <w:t>24.1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Power of Attorney (included on signature page of this registration statement).</w:t>
            </w:r>
          </w:p>
        </w:tc>
      </w:tr>
      <w:tr>
        <w:trPr>
          <w:trHeight w:val="311"/>
        </w:trPr>
        <w:tc>
          <w:tcPr>
            <w:tcW w:w="1060" w:type="dxa"/>
            <w:vAlign w:val="bottom"/>
            <w:gridSpan w:val="2"/>
          </w:tcPr>
          <w:p>
            <w:pPr>
              <w:spacing w:after="0"/>
              <w:rPr>
                <w:sz w:val="20"/>
                <w:szCs w:val="20"/>
                <w:color w:val="auto"/>
              </w:rPr>
            </w:pPr>
            <w:r>
              <w:rPr>
                <w:rFonts w:ascii="Arial" w:cs="Arial" w:eastAsia="Arial" w:hAnsi="Arial"/>
                <w:sz w:val="18"/>
                <w:szCs w:val="18"/>
                <w:color w:val="auto"/>
              </w:rPr>
              <w:t>107 *</w:t>
            </w:r>
          </w:p>
        </w:tc>
        <w:tc>
          <w:tcPr>
            <w:tcW w:w="9960" w:type="dxa"/>
            <w:vAlign w:val="bottom"/>
            <w:gridSpan w:val="2"/>
          </w:tcPr>
          <w:p>
            <w:pPr>
              <w:ind w:left="480"/>
              <w:spacing w:after="0"/>
              <w:rPr>
                <w:sz w:val="20"/>
                <w:szCs w:val="20"/>
                <w:color w:val="auto"/>
              </w:rPr>
            </w:pPr>
            <w:r>
              <w:rPr>
                <w:rFonts w:ascii="Arial" w:cs="Arial" w:eastAsia="Arial" w:hAnsi="Arial"/>
                <w:sz w:val="18"/>
                <w:szCs w:val="18"/>
                <w:color w:val="auto"/>
              </w:rPr>
              <w:t>Fee Table.</w:t>
            </w:r>
          </w:p>
        </w:tc>
      </w:tr>
    </w:tbl>
    <w:p>
      <w:pPr>
        <w:spacing w:after="0" w:line="207" w:lineRule="exact"/>
        <w:rPr>
          <w:sz w:val="20"/>
          <w:szCs w:val="20"/>
          <w:color w:val="auto"/>
        </w:rPr>
      </w:pPr>
    </w:p>
    <w:p>
      <w:pPr>
        <w:ind w:left="660" w:hanging="544"/>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management contract or compensatory plan or arrangement.</w:t>
      </w: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Portions of this exhibit (indicated by [* * *]) have been omitted because the registrant has determined that the information is both</w:t>
      </w:r>
    </w:p>
    <w:p>
      <w:pPr>
        <w:ind w:left="860" w:hanging="204"/>
        <w:spacing w:after="0"/>
        <w:tabs>
          <w:tab w:leader="none" w:pos="8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not material and (ii) of the type that the Registrant treats as private and confidential.</w:t>
      </w:r>
    </w:p>
    <w:p>
      <w:pPr>
        <w:spacing w:after="0" w:line="193" w:lineRule="exact"/>
        <w:rPr>
          <w:rFonts w:ascii="Arial" w:cs="Arial" w:eastAsia="Arial" w:hAnsi="Arial"/>
          <w:sz w:val="18"/>
          <w:szCs w:val="18"/>
          <w:color w:val="auto"/>
        </w:rPr>
      </w:pPr>
    </w:p>
    <w:p>
      <w:pPr>
        <w:ind w:left="120" w:right="120" w:firstLine="547"/>
        <w:spacing w:after="0" w:line="271" w:lineRule="auto"/>
        <w:tabs>
          <w:tab w:leader="none" w:pos="941" w:val="left"/>
        </w:tabs>
        <w:numPr>
          <w:ilvl w:val="2"/>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financial statement schedules are omitted because the information called for is not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or is shown either in the financial statements or in the notes thereto.</w:t>
      </w:r>
    </w:p>
    <w:p>
      <w:pPr>
        <w:spacing w:after="0" w:line="153" w:lineRule="exact"/>
        <w:rPr>
          <w:rFonts w:ascii="Arial" w:cs="Arial" w:eastAsia="Arial" w:hAnsi="Arial"/>
          <w:sz w:val="18"/>
          <w:szCs w:val="18"/>
          <w:color w:val="auto"/>
        </w:rPr>
      </w:pPr>
    </w:p>
    <w:p>
      <w:pPr>
        <w:ind w:left="120" w:right="300" w:firstLine="547"/>
        <w:spacing w:after="0" w:line="271" w:lineRule="auto"/>
        <w:tabs>
          <w:tab w:leader="none" w:pos="930" w:val="left"/>
        </w:tabs>
        <w:numPr>
          <w:ilvl w:val="2"/>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Filing Fee Table. </w:t>
      </w:r>
      <w:r>
        <w:rPr>
          <w:rFonts w:ascii="Arial" w:cs="Arial" w:eastAsia="Arial" w:hAnsi="Arial"/>
          <w:sz w:val="18"/>
          <w:szCs w:val="18"/>
          <w:color w:val="auto"/>
        </w:rPr>
        <w:t>The information required to be furnished by paragraph (c) of this Item is incorporated herein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107.</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0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5"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80"/>
          </w:cols>
          <w:pgMar w:left="320" w:top="455" w:right="49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to the registration statement on Form S-1 to be signed on its behalf by the undersigned, thereunto duly authorized, in Boston, Massachusetts, on the  day of    , 2024.</w:t>
      </w:r>
    </w:p>
    <w:p>
      <w:pPr>
        <w:spacing w:after="0" w:line="19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Odyssey Therapeutics,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Gary D. Glick, Ph.D.</w:t>
      </w:r>
    </w:p>
    <w:p>
      <w:pPr>
        <w:spacing w:after="0" w:line="4" w:lineRule="exact"/>
        <w:rPr>
          <w:sz w:val="20"/>
          <w:szCs w:val="20"/>
          <w:color w:val="auto"/>
        </w:rPr>
      </w:pPr>
    </w:p>
    <w:p>
      <w:pPr>
        <w:jc w:val="center"/>
        <w:ind w:left="69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100"/>
          </w:cols>
          <w:pgMar w:left="320" w:top="455" w:right="47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Gary D. Glick, Ph.D. and Collin Todd, and each of them, as his or her true and lawful attorneys-in-fact and agents, with full power of substitution and resubstitution and full power to act without the other, for him or her and to act in his or her name, place and stead, in any and all capacities, to execute the Registration Statement on Form S-1 of Odyssey Therapeutics, Inc. and any or all amendments (including post-effective amendments) thereto and any new registration statement with respect to the offering contemplated 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42"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5680" w:type="dxa"/>
            <w:vAlign w:val="bottom"/>
          </w:tcPr>
          <w:p>
            <w:pPr>
              <w:ind w:left="2660"/>
              <w:spacing w:after="0"/>
              <w:rPr>
                <w:sz w:val="20"/>
                <w:szCs w:val="20"/>
                <w:color w:val="auto"/>
              </w:rPr>
            </w:pPr>
            <w:r>
              <w:rPr>
                <w:rFonts w:ascii="Arial" w:cs="Arial" w:eastAsia="Arial" w:hAnsi="Arial"/>
                <w:sz w:val="14"/>
                <w:szCs w:val="14"/>
                <w:b w:val="1"/>
                <w:bCs w:val="1"/>
                <w:color w:val="auto"/>
              </w:rPr>
              <w:t>Title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Date</w:t>
            </w:r>
          </w:p>
        </w:tc>
      </w:tr>
      <w:tr>
        <w:trPr>
          <w:trHeight w:val="286"/>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Chief Executive Officer and Director (Principal Executive Officer)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9"/>
              </w:rPr>
              <w:t>Gary D. Glick, Ph.D.</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31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Chairman, 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9"/>
              </w:rPr>
              <w:t>Jeffrey Leiden</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9"/>
              </w:rPr>
              <w:t>Charles Baum, M.D., Ph.D.</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rPr>
              <w:t>Jill Carroll</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9"/>
              </w:rPr>
              <w:t>Carl L. Gordon, Ph.D., CFA</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9"/>
              </w:rPr>
              <w:t>Lorence Kim, M.D.</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8"/>
              </w:rPr>
              <w:t>Ian F. Smith</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9"/>
              </w:rPr>
              <w:t>Valerie Odegard, Ph.D</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8"/>
        </w:trPr>
        <w:tc>
          <w:tcPr>
            <w:tcW w:w="3420" w:type="dxa"/>
            <w:vAlign w:val="bottom"/>
            <w:tcBorders>
              <w:bottom w:val="single" w:sz="8" w:color="auto"/>
            </w:tcBorders>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ind w:left="4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2"/>
        </w:trPr>
        <w:tc>
          <w:tcPr>
            <w:tcW w:w="3420" w:type="dxa"/>
            <w:vAlign w:val="bottom"/>
          </w:tcPr>
          <w:p>
            <w:pPr>
              <w:jc w:val="center"/>
              <w:spacing w:after="0"/>
              <w:rPr>
                <w:sz w:val="20"/>
                <w:szCs w:val="20"/>
                <w:color w:val="auto"/>
              </w:rPr>
            </w:pPr>
            <w:r>
              <w:rPr>
                <w:rFonts w:ascii="Arial" w:cs="Arial" w:eastAsia="Arial" w:hAnsi="Arial"/>
                <w:sz w:val="18"/>
                <w:szCs w:val="18"/>
                <w:color w:val="auto"/>
                <w:w w:val="97"/>
              </w:rPr>
              <w:t>Timothy P. Walbert</w:t>
            </w:r>
          </w:p>
        </w:tc>
        <w:tc>
          <w:tcPr>
            <w:tcW w:w="5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060"/>
          </w:cols>
          <w:pgMar w:left="320" w:top="455" w:right="51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sz w:val="20"/>
          <w:szCs w:val="20"/>
          <w:color w:val="auto"/>
        </w:rPr>
      </w:pPr>
    </w:p>
    <w:p>
      <w:pPr>
        <w:ind w:left="4" w:right="580" w:hanging="4"/>
        <w:spacing w:after="0" w:line="282" w:lineRule="auto"/>
        <w:tabs>
          <w:tab w:leader="none" w:pos="18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Service Providers and to promote the success of the business of the Company and of its Affiliates.</w:t>
      </w:r>
    </w:p>
    <w:p>
      <w:pPr>
        <w:spacing w:after="0" w:line="161" w:lineRule="exact"/>
        <w:rPr>
          <w:rFonts w:ascii="Times New Roman" w:cs="Times New Roman" w:eastAsia="Times New Roman" w:hAnsi="Times New Roman"/>
          <w:sz w:val="18"/>
          <w:szCs w:val="18"/>
          <w:color w:val="auto"/>
        </w:rPr>
      </w:pPr>
    </w:p>
    <w:p>
      <w:pPr>
        <w:ind w:left="444" w:right="100" w:hanging="444"/>
        <w:spacing w:after="0" w:line="500" w:lineRule="auto"/>
        <w:tabs>
          <w:tab w:leader="none" w:pos="18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except as defined otherwise in an Award Agreement, in the Award Agreements.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 entity controlled by, controlling or under common control with the Company.</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and any Committee or individual appointed to administer the Plan under Section 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described in Section 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evidencing the grant of an Award, including any amendments and attachments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with respect to the termination of a Grantee’s service to the Company or an Affiliate, the term “Cause” (or similar term) that is expressly defined in such Grantee’s employment or other service agreement with the Company or an Affiliate or, in the absence of such definition, “Cause” shall means the Grantee’s (i) performance of any act or failure to perform any act in bad faith and to the material detriment of the Company or any Subsidiary; (ii) act of dishonesty, intentional misconduct, or material breach of any agreement with the Company or any Affiliate; (iii) commission of a crime involving dishonesty, breach of trust, or physical or emotional harm to any person or any felony; (iv) willful failure to cooperate with a bona fide internal investigation or an investigation by regulatory or law enforcement authorities, after being instructed by the Company to cooperate; or</w:t>
      </w:r>
    </w:p>
    <w:p>
      <w:pPr>
        <w:spacing w:after="0" w:line="5" w:lineRule="exact"/>
        <w:rPr>
          <w:sz w:val="20"/>
          <w:szCs w:val="20"/>
          <w:color w:val="auto"/>
        </w:rPr>
      </w:pPr>
    </w:p>
    <w:p>
      <w:pPr>
        <w:ind w:left="444" w:right="3420" w:hanging="444"/>
        <w:spacing w:after="0" w:line="490" w:lineRule="auto"/>
        <w:tabs>
          <w:tab w:leader="none" w:pos="25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in sexual harassment while serving as a service provider to the Company or any Affiliate.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ind w:left="444" w:right="400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xml:space="preserve">” means any committee that is composed of at least two members of the Board.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common stock, $0.0001 par value per share, of the Company.</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Odyssey Therapeutics, Inc., a Delaware corporation, or any successor entity.</w:t>
      </w:r>
    </w:p>
    <w:p>
      <w:pPr>
        <w:spacing w:after="0" w:line="225"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Subsidiary or other Affiliate to render consulting or advisory services to the Company or such Subsidiary or Affiliate.</w:t>
      </w:r>
    </w:p>
    <w:p>
      <w:pPr>
        <w:sectPr>
          <w:pgSz w:w="11900" w:h="16838" w:orient="portrait"/>
          <w:cols w:equalWidth="0" w:num="1">
            <w:col w:w="11024"/>
          </w:cols>
          <w:pgMar w:left="436" w:top="117" w:right="439" w:bottom="1440" w:gutter="0" w:footer="0" w:header="0"/>
        </w:sectPr>
      </w:pPr>
    </w:p>
    <w:bookmarkStart w:id="350" w:name="page351"/>
    <w:bookmarkEnd w:id="3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w:t>
      </w:r>
    </w:p>
    <w:p>
      <w:pPr>
        <w:spacing w:after="0" w:line="117" w:lineRule="exact"/>
        <w:rPr>
          <w:sz w:val="20"/>
          <w:szCs w:val="20"/>
          <w:color w:val="auto"/>
        </w:rPr>
      </w:pPr>
    </w:p>
    <w:p>
      <w:pPr>
        <w:ind w:left="440" w:right="40" w:hanging="4"/>
        <w:spacing w:after="0" w:line="256"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related transactions in which any person (within the meaning of Section 13(d)(3) or 14(d)(2) of the Exchange Act), other than any person who immediately prior to the consummation of such transaction or transactions owns more than a majority of the Company’s outstanding voting securities, acquires more than 50% of the combined voting power of the voting securities of the Company, except that any change in the ownership of the stock of the Company as a result of [either an Initial Public Offering or] a private financing of the Company that is approved by the Board will not be considered a Corporate Transaction unless otherwise deemed to be a Corporate Transaction by the Administrator;</w:t>
      </w:r>
    </w:p>
    <w:p>
      <w:pPr>
        <w:spacing w:after="0" w:line="79" w:lineRule="exact"/>
        <w:rPr>
          <w:rFonts w:ascii="Times New Roman" w:cs="Times New Roman" w:eastAsia="Times New Roman" w:hAnsi="Times New Roman"/>
          <w:sz w:val="18"/>
          <w:szCs w:val="18"/>
          <w:color w:val="auto"/>
        </w:rPr>
      </w:pPr>
    </w:p>
    <w:p>
      <w:pPr>
        <w:ind w:left="440" w:right="380" w:hanging="4"/>
        <w:spacing w:after="0" w:line="266" w:lineRule="auto"/>
        <w:tabs>
          <w:tab w:leader="none" w:pos="7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of the Company with or into another entity, unless the stockholders of the Company immediately prior to the consummation of such consolidation or merger own, directly or indirectly, a majority of the combined voting power of the outstanding voting securities of the corporation or other entity resulting from such consolidation or merger;</w:t>
      </w:r>
    </w:p>
    <w:p>
      <w:pPr>
        <w:spacing w:after="0" w:line="6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dissolution or winding up of the Company; or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completion of a De-SPAC Transaction.</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avoidance of doubt, a transaction will not constitute a Corporate Transaction if: (1) its sole purpose is to change the jurisdiction of the Company’s incorporation, or (2)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De-SPAC Transaction</w:t>
      </w:r>
      <w:r>
        <w:rPr>
          <w:rFonts w:ascii="Times New Roman" w:cs="Times New Roman" w:eastAsia="Times New Roman" w:hAnsi="Times New Roman"/>
          <w:sz w:val="18"/>
          <w:szCs w:val="18"/>
          <w:color w:val="auto"/>
        </w:rPr>
        <w:t>” means a business combination, merger, consolidation or share exchange transaction between the Company and a special purpose acquisition company or its subsidiary in which the common stock (or substantively similar securities) of the surviving or parent entity is listed on any recognized stock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the board of directors of any Subsidiary or other Affiliate.</w:t>
      </w:r>
    </w:p>
    <w:p>
      <w:pPr>
        <w:spacing w:after="0" w:line="225" w:lineRule="exact"/>
        <w:rPr>
          <w:sz w:val="20"/>
          <w:szCs w:val="20"/>
          <w:color w:val="auto"/>
        </w:rPr>
      </w:pPr>
    </w:p>
    <w:p>
      <w:pPr>
        <w:ind w:right="2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with respect to a Grantee, that such Grantee is permanently and totally disabled as defined in Section 22(e)(3) of the Code, and will be determined by the Administrator on the basis of such medical evidence as the Administrator deems warranted under the circumstances.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 employee of the Company or any Subsidiary (including a Director who is also an employee).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a Share determined as follows:</w:t>
      </w:r>
    </w:p>
    <w:p>
      <w:pPr>
        <w:spacing w:after="0" w:line="117" w:lineRule="exact"/>
        <w:rPr>
          <w:sz w:val="20"/>
          <w:szCs w:val="20"/>
          <w:color w:val="auto"/>
        </w:rPr>
      </w:pPr>
    </w:p>
    <w:p>
      <w:pPr>
        <w:ind w:left="440" w:hanging="4"/>
        <w:spacing w:after="0" w:line="258"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are listed on one or more established stock exchanges or national market systems, its Fair Market Value shall be the closing sales price for such stock (or the closing bid, if no sales were reported) as quoted on the principal exchange or system on which the Shares are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51" w:name="page352"/>
    <w:bookmarkEnd w:id="351"/>
    <w:p>
      <w:pPr>
        <w:ind w:left="440" w:hanging="4"/>
        <w:spacing w:after="0" w:line="258" w:lineRule="auto"/>
        <w:tabs>
          <w:tab w:leader="none" w:pos="70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Shares are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shall be the mean between the high bid and low asked prices for Shares on the date of determination (or, if no such prices were reported on that date, on the last date such prices were reported), as reported in The Wall Street Journal or such other source as the Administrator deems reliable; or</w:t>
      </w:r>
    </w:p>
    <w:p>
      <w:pPr>
        <w:spacing w:after="0" w:line="75" w:lineRule="exact"/>
        <w:rPr>
          <w:rFonts w:ascii="Times New Roman" w:cs="Times New Roman" w:eastAsia="Times New Roman" w:hAnsi="Times New Roman"/>
          <w:sz w:val="18"/>
          <w:szCs w:val="18"/>
          <w:color w:val="auto"/>
        </w:rPr>
      </w:pPr>
    </w:p>
    <w:p>
      <w:pPr>
        <w:ind w:left="440" w:hanging="4"/>
        <w:spacing w:after="0" w:line="266" w:lineRule="auto"/>
        <w:tabs>
          <w:tab w:leader="none" w:pos="7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(i) nor (ii) above applies, the fair market value determined by the Board using any measure of value that the Board determines to be appropriate (including, as it considers appropriate, relying on appraisals), and with respect to Options and SARs, in a manner consistent with the valuation principles under Section 409A of the Code (“Section 409A”), except as the Board may expressly determine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individual who holds an Award.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means the first firm commitment underwritten public offering pursuant to an effective registration statement under the Securities Act covering the offer and sale by the Company of its equity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not intended to qualify as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of the Company, whether now or hereafter existing, as defined in Section 424(e)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2021 Equity Incentive Plan, as such may be amended or restated from time to time.</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under the Plan subject to restrictions determined by the Administrator and set forth in the applicable Award Agreement.</w:t>
      </w:r>
    </w:p>
    <w:p>
      <w:pPr>
        <w:spacing w:after="0" w:line="162"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means an Award based on the value of a Share that is an unfunded and unsecured promise to deliver Shares, cash, or other property upon the attainment of specified vesting or performance conditions, as determined by the Administrator and set forth in the applicable Award Agreement.</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352" w:name="page353"/>
    <w:bookmarkEnd w:id="352"/>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entitling the Grantee to Shares or cash compensation, as determined by the Administrator and set forth in the applicable Award Agreement, measured by appreciation in the value of a Share.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 or any other person who provides services directly or indirectly to the Company or any Affiliate.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of the Company, whether now or hereafter existing, as defined in Section 424(f) of the Code.</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Stock</w:t>
      </w:r>
      <w:r>
        <w:rPr>
          <w:rFonts w:ascii="Times New Roman" w:cs="Times New Roman" w:eastAsia="Times New Roman" w:hAnsi="Times New Roman"/>
          <w:sz w:val="18"/>
          <w:szCs w:val="18"/>
          <w:color w:val="auto"/>
        </w:rPr>
        <w:t>” means Shares issued under the Plan that are not subject to vesting, forfeiture or similar restrictions pursuant to the applicable Award Agreement. For the sake of clarity, Shares that are only subject to restrictions on transfer, right of first refusal, market standoff and other similar restrictions shall not, by virtue of such restrictions, be deemed to be “Restricted Stock.”</w:t>
      </w:r>
    </w:p>
    <w:p>
      <w:pPr>
        <w:spacing w:after="0" w:line="176" w:lineRule="exact"/>
        <w:rPr>
          <w:sz w:val="20"/>
          <w:szCs w:val="20"/>
          <w:color w:val="auto"/>
        </w:rPr>
      </w:pPr>
    </w:p>
    <w:p>
      <w:pPr>
        <w:ind w:left="184" w:hanging="184"/>
        <w:spacing w:after="0"/>
        <w:tabs>
          <w:tab w:leader="none" w:pos="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89"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initially set at 3,685,212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67"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Returned to Plan</w:t>
      </w:r>
      <w:r>
        <w:rPr>
          <w:rFonts w:ascii="Times New Roman" w:cs="Times New Roman" w:eastAsia="Times New Roman" w:hAnsi="Times New Roman"/>
          <w:sz w:val="18"/>
          <w:szCs w:val="18"/>
          <w:color w:val="auto"/>
        </w:rPr>
        <w:t>. Except as otherwise set forth in an Award agreement, any Shares covered by an Award (or portion of an Award) which are forfeited, canceled, reacquired by the Company prior to vesting, expired (whether voluntarily or involuntarily), satisfied without the issuance of Shares, or withheld upon exercise of an Option or settlement of an Award to cover the exercise price or tax withholding, or otherwise terminated (other than by exercise)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provided that, except as otherwise set forth in an Award agreement, if Shares are forfeited or repurchased by the Company, such Shares shall become available for future grant under the Plan for all purposes other than the grant of Incentive Stock Options.</w:t>
      </w:r>
    </w:p>
    <w:p>
      <w:pPr>
        <w:spacing w:after="0" w:line="8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89"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the Board</w:t>
      </w:r>
      <w:r>
        <w:rPr>
          <w:rFonts w:ascii="Times New Roman" w:cs="Times New Roman" w:eastAsia="Times New Roman" w:hAnsi="Times New Roman"/>
          <w:sz w:val="18"/>
          <w:szCs w:val="18"/>
          <w:color w:val="auto"/>
        </w:rPr>
        <w:t>. Subject to Sections 4(b) and 4(c), the Plan will be administered by the Board. The Board shall have authority as may be necessary or appropriate for the Administrator to carry out its functions as described in the Plan, including without limitation, the authority:</w:t>
      </w:r>
    </w:p>
    <w:p>
      <w:pPr>
        <w:spacing w:after="0" w:line="53" w:lineRule="exact"/>
        <w:rPr>
          <w:rFonts w:ascii="Times New Roman" w:cs="Times New Roman" w:eastAsia="Times New Roman" w:hAnsi="Times New Roman"/>
          <w:sz w:val="18"/>
          <w:szCs w:val="18"/>
          <w:color w:val="auto"/>
        </w:rPr>
      </w:pPr>
    </w:p>
    <w:p>
      <w:pPr>
        <w:jc w:val="both"/>
        <w:ind w:left="984" w:right="60" w:firstLine="7"/>
        <w:spacing w:after="0" w:line="266" w:lineRule="auto"/>
        <w:tabs>
          <w:tab w:leader="none" w:pos="1199"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and determine recipients and terms thereof, including purchase, exercise, or base price; the time or times when Awards may be exercised; vesting criteria; any forfeiture events; any vesting acceleration or waiver of forfeiture restrictions; and any restriction or limitation regarding any Award or the Shares or other consideration relating thereto;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53" w:name="page354"/>
    <w:bookmarkEnd w:id="353"/>
    <w:p>
      <w:pPr>
        <w:ind w:left="1260" w:hanging="273"/>
        <w:spacing w:after="0"/>
        <w:tabs>
          <w:tab w:leader="none" w:pos="12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determine Fair Market Value,</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modify or terminate any outstanding Award pursuant to Section 10(c),</w:t>
      </w:r>
    </w:p>
    <w:p>
      <w:pPr>
        <w:spacing w:after="0" w:line="117" w:lineRule="exact"/>
        <w:rPr>
          <w:rFonts w:ascii="Times New Roman" w:cs="Times New Roman" w:eastAsia="Times New Roman" w:hAnsi="Times New Roman"/>
          <w:sz w:val="18"/>
          <w:szCs w:val="18"/>
          <w:color w:val="auto"/>
        </w:rPr>
      </w:pPr>
    </w:p>
    <w:p>
      <w:pPr>
        <w:ind w:left="980" w:firstLine="7"/>
        <w:spacing w:after="0" w:line="282" w:lineRule="auto"/>
        <w:tabs>
          <w:tab w:leader="none" w:pos="128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conditions and events described in the Plan or in Award Agreements are satisfied, including whether a Grantee is disabled, whether a Corporate Transaction has occurred, and whether a Grantee’s employment or service has terminated with Cause;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effect of a Corporate Transaction on outstanding Awards,</w:t>
      </w:r>
    </w:p>
    <w:p>
      <w:pPr>
        <w:spacing w:after="0" w:line="117" w:lineRule="exact"/>
        <w:rPr>
          <w:rFonts w:ascii="Times New Roman" w:cs="Times New Roman" w:eastAsia="Times New Roman" w:hAnsi="Times New Roman"/>
          <w:sz w:val="18"/>
          <w:szCs w:val="18"/>
          <w:color w:val="auto"/>
        </w:rPr>
      </w:pPr>
    </w:p>
    <w:p>
      <w:pPr>
        <w:jc w:val="both"/>
        <w:ind w:left="980" w:right="180" w:firstLine="7"/>
        <w:spacing w:after="0" w:line="266" w:lineRule="auto"/>
        <w:tabs>
          <w:tab w:leader="none" w:pos="128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sub plans under the Plan, containing such limitations and other terms and conditions as the Administrator determines are necessary or desirable, for the purpose of satisfying blue sky, securities, tax, or other laws of various jurisdictions in which the Company intends to grant Awards or qualifying for favorable tax treatment under applicable foreign laws, and</w:t>
      </w:r>
    </w:p>
    <w:p>
      <w:pPr>
        <w:spacing w:after="0" w:line="67"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and repeal such administrative rules, guidelines and practices relating to the Plan as it shall deem advisable.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Board shall have full discretionary authority to construe and interpret the terms of the Plan and any Award Agreements entered into under the Plan and to determine all facts necessary to administer the Plan and any Award Agreements.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that is made in good faith.</w:t>
      </w:r>
    </w:p>
    <w:p>
      <w:pPr>
        <w:spacing w:after="0" w:line="72" w:lineRule="exact"/>
        <w:rPr>
          <w:sz w:val="20"/>
          <w:szCs w:val="20"/>
          <w:color w:val="auto"/>
        </w:rPr>
      </w:pPr>
    </w:p>
    <w:p>
      <w:pPr>
        <w:ind w:right="120" w:firstLine="436"/>
        <w:spacing w:after="0" w:line="266" w:lineRule="auto"/>
        <w:tabs>
          <w:tab w:leader="none" w:pos="6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All references in the Plan to the “Administrator” shall mean the Board or a Committee of the Board or the officers referred to in Section 4(c) to the extent that the Board’s powers or authority under the Plan have been delegated to such Committee or officers.</w:t>
      </w:r>
    </w:p>
    <w:p>
      <w:pPr>
        <w:spacing w:after="0" w:line="67" w:lineRule="exact"/>
        <w:rPr>
          <w:rFonts w:ascii="Times New Roman" w:cs="Times New Roman" w:eastAsia="Times New Roman" w:hAnsi="Times New Roman"/>
          <w:sz w:val="18"/>
          <w:szCs w:val="18"/>
          <w:color w:val="auto"/>
        </w:rPr>
      </w:pPr>
    </w:p>
    <w:p>
      <w:pPr>
        <w:ind w:right="60" w:firstLine="436"/>
        <w:spacing w:after="0" w:line="256" w:lineRule="auto"/>
        <w:tabs>
          <w:tab w:leader="none" w:pos="68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Officers</w:t>
      </w:r>
      <w:r>
        <w:rPr>
          <w:rFonts w:ascii="Times New Roman" w:cs="Times New Roman" w:eastAsia="Times New Roman" w:hAnsi="Times New Roman"/>
          <w:sz w:val="18"/>
          <w:szCs w:val="18"/>
          <w:color w:val="auto"/>
        </w:rPr>
        <w:t>. To the extent permitted by applicable law, the Board or a Committee may delegate to one or more officers of the Company or any Subsidiary the power to grant Awards, subject to any limitations under the Plan, to Employees, or, if permitted by applicable law, other Service Providers, and to exercise such other powers under the Plan as the Board or a Committee may determine, provided, that the Board or a Committee shall fix certain material terms of the Awards to be granted by such officers (including the exercise price of such Awards, if applicable, which may include a formula by which the exercise price will be determined) and the maximum number of Shares subject to Awards that the officers may grant; provided further, however, that no officer shall be authorized to grant Awards to himself or herself.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54" w:name="page355"/>
    <w:bookmarkEnd w:id="354"/>
    <w:p>
      <w:pPr>
        <w:ind w:left="4" w:firstLine="436"/>
        <w:spacing w:after="0" w:line="253" w:lineRule="auto"/>
        <w:tabs>
          <w:tab w:leader="none" w:pos="69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w:t>
      </w:r>
      <w:r>
        <w:rPr>
          <w:rFonts w:ascii="Times New Roman" w:cs="Times New Roman" w:eastAsia="Times New Roman" w:hAnsi="Times New Roman"/>
          <w:sz w:val="18"/>
          <w:szCs w:val="18"/>
          <w:color w:val="auto"/>
        </w:rPr>
        <w:t>. The Administrator shall not be liable for any act, omission, interpretation, construction or determination made in good faith in connection with the Plan. In addition to such other rights of indemnification as they may have, members of the Board and any Committee (and any individuals to whom authority to act for the Board is delegated in accordance with the Plan) shall be defended and indemnified by the Company to the extent permitted by law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Upon the institution of any such action, suit, or proceeding, any such indemnified person against whom a claim is made shall notify the Company in writing and give the Company the opportunity, within thirty (30) days after such notice and at its own expense, to handle and defend the same before such indemnified person undertakes to handle it on his or her own behalf.</w:t>
      </w:r>
    </w:p>
    <w:p>
      <w:pPr>
        <w:spacing w:after="0" w:line="81"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any Subsidiary operate or have Employees or other individuals eligible for Awards, the Administrator, in its sole discretion, shall have the power and authority to: (i) determine which Subsidiaries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the Plan as appendices); provided, however, that no such subplans and/or modifications shall increase the share limitation contained in Section 3 hereof; and (v) take any action, before or after an Award is made, that the Administrator determines to be necessary or advisable to obtain approval or comply with any local governmental regulatory exemptions or approvals.</w:t>
      </w:r>
    </w:p>
    <w:p>
      <w:pPr>
        <w:spacing w:after="0" w:line="80" w:lineRule="exact"/>
        <w:rPr>
          <w:rFonts w:ascii="Times New Roman" w:cs="Times New Roman" w:eastAsia="Times New Roman" w:hAnsi="Times New Roman"/>
          <w:sz w:val="18"/>
          <w:szCs w:val="18"/>
          <w:color w:val="auto"/>
        </w:rPr>
      </w:pPr>
    </w:p>
    <w:p>
      <w:pPr>
        <w:ind w:left="4" w:right="200" w:hanging="4"/>
        <w:spacing w:after="0" w:line="282" w:lineRule="auto"/>
        <w:tabs>
          <w:tab w:leader="none" w:pos="1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for Awards</w:t>
      </w:r>
      <w:r>
        <w:rPr>
          <w:rFonts w:ascii="Times New Roman" w:cs="Times New Roman" w:eastAsia="Times New Roman" w:hAnsi="Times New Roman"/>
          <w:sz w:val="18"/>
          <w:szCs w:val="18"/>
          <w:color w:val="auto"/>
        </w:rPr>
        <w:t>. Awards other than Incentive Stock Options may be granted to any Service Provider. Incentive Stock Options may be granted only to Employees.</w:t>
      </w:r>
    </w:p>
    <w:p>
      <w:pPr>
        <w:spacing w:after="0" w:line="5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and Terms of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Awards may be made under the Plan in the form of (i) Options, (ii) SARs, (iii) Restricted Stock, (iv) RSUs, (v) Unrestricted Stock, and (vi) other stock-based awards or cash incentives that the Administrator determines are consistent with the purpose of the Plan and the interests of the Company.</w:t>
      </w:r>
    </w:p>
    <w:p>
      <w:pPr>
        <w:spacing w:after="0" w:line="67"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Awards</w:t>
      </w:r>
      <w:r>
        <w:rPr>
          <w:rFonts w:ascii="Times New Roman" w:cs="Times New Roman" w:eastAsia="Times New Roman" w:hAnsi="Times New Roman"/>
          <w:sz w:val="18"/>
          <w:szCs w:val="18"/>
          <w:color w:val="auto"/>
        </w:rPr>
        <w:t>. Subject to the terms of the Plan, the Administrator shall determine the provisions, terms, and conditions of each Award including, but not limited to, the Award vesting schedule, restrictions and restriction periods, repurchase provisions, rights of first refusal, forfeiture provisions, form of payment (cash, Shares, or other consideration) upon settlement of the Award, payment contingencies, and satisfaction of any performance criteria. Subject to the terms of the Plan, the Administrator may determine the effect on an Award of the disability, death, termination or other cessation of employment, authorized leave of absence or other change in the employment of the Grantee. All of the terms and conditions of an Award shall be as set forth in the applicable Award Agreement or in this Plan.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55" w:name="page356"/>
    <w:bookmarkEnd w:id="355"/>
    <w:p>
      <w:pPr>
        <w:ind w:left="4" w:right="380" w:firstLine="436"/>
        <w:spacing w:after="0" w:line="282" w:lineRule="auto"/>
        <w:tabs>
          <w:tab w:leader="none" w:pos="689"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Discretion of Administrator</w:t>
      </w:r>
      <w:r>
        <w:rPr>
          <w:rFonts w:ascii="Times New Roman" w:cs="Times New Roman" w:eastAsia="Times New Roman" w:hAnsi="Times New Roman"/>
          <w:sz w:val="18"/>
          <w:szCs w:val="18"/>
          <w:color w:val="auto"/>
        </w:rPr>
        <w:t>. Except as otherwise provided by the Plan, each Award may be made alone or in addition or in relation to any other Award. The terms of each Award need not be identical, and the Administrator need not treat Grantees uniformly.</w:t>
      </w:r>
    </w:p>
    <w:p>
      <w:pPr>
        <w:spacing w:after="0" w:line="5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SARs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8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and SARs under the Plan and determine the number of Shares to be covered by each Option and/or SAR, the exercise price and such other terms, conditions and limitations applicable to the exercise of each Option and/or SAR, as it deems necessary or advisable. Subject to Section 7(g), Options granted under the Plan may be either Incentive Stock Options or Non-Qualified Stock Options. To the extent that any Option does not qualify as an Incentive Stock Option, it shall be deemed a Non- Qualified Stock Option.</w:t>
      </w:r>
    </w:p>
    <w:p>
      <w:pPr>
        <w:spacing w:after="0" w:line="71"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subject to an Option or SAR shall be determined by the Administrator at the time of grant but shall not be less than 100% of the Fair Market Value on the date of grant. If an Employee owns or is deemed to own (by reason of the attribution rules of Section 424(d) of the Code) more than 10% of the combined voting power of all classes of stock of the Company or any Subsidiary or Parent of the Company, and an Incentive Stock Option is granted to such Employee, the exercise price of such Incentive Stock Option shall not be less than 110% of the Fair Market Value on the grant date. Notwithstanding the foregoing, Options may be granted with a per Share exercise price other than as required above as a substitution for a stock option or stock appreciation right in accordance with and pursuant to Section 424 of the Code, in the case of an Incentive Stock Option, and pursuant to Section 409A, in the case of a Non-Qualified Stock Option.</w:t>
      </w:r>
    </w:p>
    <w:p>
      <w:pPr>
        <w:spacing w:after="0" w:line="80" w:lineRule="exact"/>
        <w:rPr>
          <w:rFonts w:ascii="Times New Roman" w:cs="Times New Roman" w:eastAsia="Times New Roman" w:hAnsi="Times New Roman"/>
          <w:sz w:val="18"/>
          <w:szCs w:val="18"/>
          <w:color w:val="auto"/>
        </w:rPr>
      </w:pPr>
    </w:p>
    <w:p>
      <w:pPr>
        <w:ind w:left="4" w:right="100" w:firstLine="436"/>
        <w:spacing w:after="0" w:line="253" w:lineRule="auto"/>
        <w:tabs>
          <w:tab w:leader="none" w:pos="68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Options and SARs</w:t>
      </w:r>
      <w:r>
        <w:rPr>
          <w:rFonts w:ascii="Times New Roman" w:cs="Times New Roman" w:eastAsia="Times New Roman" w:hAnsi="Times New Roman"/>
          <w:sz w:val="18"/>
          <w:szCs w:val="18"/>
          <w:color w:val="auto"/>
        </w:rPr>
        <w:t>. The term of each Option and SAR shall be fixed by the Administrator and set forth in the Award Agreement; provided, however, that no Option or SAR shall be exercisable more than ten (10) years after the date of grant. If an Employee owns or is deemed to own (by reason of the attribution rules of Section 424(d) of the Code) more than 10% of the combined voting power of all classes of stock of the Company or any Subsidiary or Parent of the Company, and an Incentive Stock Option is granted to such Employee, the term of such Option shall be no more than five (5) years from the date of grant. Unless the employment of an Employee is terminated for Cause (in which circumstance, the Award Agreement may specify that the Option terminates immediately upon termination of employment), an Option granted to an Employee shall expire</w:t>
      </w:r>
    </w:p>
    <w:p>
      <w:pPr>
        <w:spacing w:after="0" w:line="5" w:lineRule="exact"/>
        <w:rPr>
          <w:rFonts w:ascii="Times New Roman" w:cs="Times New Roman" w:eastAsia="Times New Roman" w:hAnsi="Times New Roman"/>
          <w:sz w:val="18"/>
          <w:szCs w:val="18"/>
          <w:color w:val="auto"/>
        </w:rPr>
      </w:pPr>
    </w:p>
    <w:p>
      <w:pPr>
        <w:ind w:left="4"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three (3) months after the Employee ceases to be an Employee (or such other period of time as determined by the Administrator and set forth in the applicable Award Agreement), or (ii) if the Employee ceases to be an Employee because of Disability or the Employee dies while the Option is outstanding, one (1) year after the Employee ceases to be an Employee due to a Disability or death (or such other period of time as determined by the Administrator and set forth in the applicable Award Agreement).</w:t>
      </w:r>
    </w:p>
    <w:p>
      <w:pPr>
        <w:spacing w:after="0" w:line="80"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9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Options and SARs shall become vested and/or exercisable at such time or times, whether or not in installments, as shall be determined by the Administrator and set forth in the Award Agreement; provided, however, that the Administrator may at any time accelerate the vesting and/or exercisability of all or any portion of any Option or SAR. A Grantee shall have the rights of a stockholder only as to Shares acquired upon the exercise of an Option or SAR in accordance with the Plan and applicable Award Agreement (and not as to Shares underlying an unexercised Option or SAR) and the entry of such Grantee’s name as a stockholders in the books of the Company.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356" w:name="page357"/>
    <w:bookmarkEnd w:id="356"/>
    <w:p>
      <w:pPr>
        <w:ind w:firstLine="436"/>
        <w:spacing w:after="0" w:line="261" w:lineRule="auto"/>
        <w:tabs>
          <w:tab w:leader="none" w:pos="68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Options and SARs</w:t>
      </w:r>
      <w:r>
        <w:rPr>
          <w:rFonts w:ascii="Times New Roman" w:cs="Times New Roman" w:eastAsia="Times New Roman" w:hAnsi="Times New Roman"/>
          <w:sz w:val="18"/>
          <w:szCs w:val="18"/>
          <w:color w:val="auto"/>
        </w:rPr>
        <w:t>. Options and SARs may be exercised in whole or in part by delivery to the Company of a written notice of exercise in such form of notice (including electronic notice) and manner of delivery as is specified by the Administrator, together with payment in full as specified in subsection (f) for the number of Shares for which the Option or SAR is exercised. Shares subject to the Option will be delivered by the Company as soon as practicable following exercise. An Option may not be exercised for a fraction of a Share.</w:t>
      </w:r>
    </w:p>
    <w:p>
      <w:pPr>
        <w:spacing w:after="0" w:line="71" w:lineRule="exact"/>
        <w:rPr>
          <w:rFonts w:ascii="Times New Roman" w:cs="Times New Roman" w:eastAsia="Times New Roman" w:hAnsi="Times New Roman"/>
          <w:sz w:val="18"/>
          <w:szCs w:val="18"/>
          <w:color w:val="auto"/>
        </w:rPr>
      </w:pPr>
    </w:p>
    <w:p>
      <w:pPr>
        <w:jc w:val="both"/>
        <w:ind w:right="100" w:firstLine="436"/>
        <w:spacing w:after="0" w:line="289" w:lineRule="auto"/>
        <w:tabs>
          <w:tab w:leader="none" w:pos="665"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7"/>
          <w:szCs w:val="17"/>
          <w:u w:val="single" w:color="auto"/>
          <w:color w:val="auto"/>
        </w:rPr>
        <w:t>ayment Upon Exercise</w:t>
      </w:r>
      <w:r>
        <w:rPr>
          <w:rFonts w:ascii="Times New Roman" w:cs="Times New Roman" w:eastAsia="Times New Roman" w:hAnsi="Times New Roman"/>
          <w:sz w:val="17"/>
          <w:szCs w:val="17"/>
          <w:color w:val="auto"/>
        </w:rPr>
        <w:t>. No Shares shall be delivered pursuant to any exercise of an Option or SAR until payment in full of all required tax withholding, and in the case of an Option, the aggregate exercise price. Payment of the purchase price may be made by one or more of the following methods (or any combination thereof), as determined by the Administrator in its sole discretion, at or after grant, consistent with the Award Agreement:</w:t>
      </w:r>
    </w:p>
    <w:p>
      <w:pPr>
        <w:spacing w:after="0" w:line="49" w:lineRule="exact"/>
        <w:rPr>
          <w:rFonts w:ascii="Times New Roman" w:cs="Times New Roman" w:eastAsia="Times New Roman" w:hAnsi="Times New Roman"/>
          <w:sz w:val="17"/>
          <w:szCs w:val="17"/>
          <w:color w:val="auto"/>
        </w:rPr>
      </w:pPr>
    </w:p>
    <w:p>
      <w:pPr>
        <w:ind w:left="980" w:right="620" w:firstLine="7"/>
        <w:spacing w:after="0" w:line="282" w:lineRule="auto"/>
        <w:tabs>
          <w:tab w:leader="none" w:pos="119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either certified or bank check, by wire transfer of immediately available funds, or other instrument acceptable to the Administrator;</w:t>
      </w:r>
    </w:p>
    <w:p>
      <w:pPr>
        <w:spacing w:after="0" w:line="5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of previously acquired Shares based on the Fair Market Value on the date of exercise, subject to clauses (iv) of this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7(f) if the Initial Public Offering as occurred;</w:t>
      </w:r>
    </w:p>
    <w:p>
      <w:pPr>
        <w:spacing w:after="0" w:line="99" w:lineRule="exact"/>
        <w:rPr>
          <w:sz w:val="20"/>
          <w:szCs w:val="20"/>
          <w:color w:val="auto"/>
        </w:rPr>
      </w:pPr>
    </w:p>
    <w:p>
      <w:pPr>
        <w:ind w:left="980" w:right="300" w:firstLine="7"/>
        <w:spacing w:after="0" w:line="266" w:lineRule="auto"/>
        <w:tabs>
          <w:tab w:leader="none" w:pos="12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the Administrator, by the Grantee’s delivery of a promissory note, if the Board has expressly authorized the loan of funds to the Grantee for the purpose of enabling or assisting the Grantee to effect such exercise; provided, that at least so much of the exercise price as represents the par value of the Shares exercised shall be paid in cash if required by state law; and/or</w:t>
      </w:r>
    </w:p>
    <w:p>
      <w:pPr>
        <w:spacing w:after="0" w:line="67" w:lineRule="exact"/>
        <w:rPr>
          <w:rFonts w:ascii="Times New Roman" w:cs="Times New Roman" w:eastAsia="Times New Roman" w:hAnsi="Times New Roman"/>
          <w:sz w:val="18"/>
          <w:szCs w:val="18"/>
          <w:color w:val="auto"/>
        </w:rPr>
      </w:pPr>
    </w:p>
    <w:p>
      <w:pPr>
        <w:ind w:left="980" w:right="100" w:firstLine="7"/>
        <w:spacing w:after="0" w:line="256" w:lineRule="auto"/>
        <w:tabs>
          <w:tab w:leader="none" w:pos="12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the Administrator and the Initial Public Offering has occurred (or the Shares otherwise become publicly-traded), through the delivery (or attestation to the ownership) of Shares that have been purchased by the Grantee on the open market or that are beneficially owned by the Grantee and are not then subject to restrictions under any Company plan. To the extent required to avoid variable accounting treatment under ASC 718 or other applicable accounting rules, such surrendered Shares if originally purchased from the Company shall have been owned by the Grantee for at least six months. Such surrendered Shares shall be valued at Fair Market Value on the exercise date; and/or</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other means as the Administrator may accept.</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 certificates for Shares so purchased will be issued to the Grantee until the Company has completed all steps it has deemed necessary to satisfy legal requirements relating to the issuance and sale of the Shares, which steps may include, without limitation, (i) receipt of a representation from the Grantee at the time of exercise of the Option that the Grantee is purchasing the Shares for the Grantee’s own account and not with a view to any sale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57" w:name="page358"/>
    <w:bookmarkEnd w:id="357"/>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of the Shares or other representations relating to compliance with applicable law governing the issuance of securities, (ii) the legending of the certificate representing the Shares to evidence the foregoing restrictions, and (iii) obtaining from the Grantee payment or provision for all withholding taxes due as a result of the exercise of the Option, consistent with Section 10(b). The delivery of certificates representing the Shares to be purchased pursuant to the exercise of an Option will be contingent upon (A) receipt from the Grantee (or a purchaser acting in his or her stead in accordance with the provisions of the Option) by the Company of the full purchase price for such Shares and the fulfillment of any other requirements contained in the Award Agreement or applicable provisions of laws and (B) if required by the Company, the Grantee shall have entered into any stockholders agreements or other agreements with the Company and/or certain other of the Company’s stockholders relating to the Shares. In the event a Grantee chooses to pay the purchase price in previously owned Shares through the attestation method, the number of Shares transferred to the Grantee upon the exercise of the Option shall be net of the number of Shares attested to.</w:t>
      </w:r>
    </w:p>
    <w:p>
      <w:pPr>
        <w:spacing w:after="0" w:line="80" w:lineRule="exact"/>
        <w:rPr>
          <w:sz w:val="20"/>
          <w:szCs w:val="20"/>
          <w:color w:val="auto"/>
        </w:rPr>
      </w:pPr>
    </w:p>
    <w:p>
      <w:pPr>
        <w:ind w:left="4" w:right="160" w:firstLine="436"/>
        <w:spacing w:after="0" w:line="256" w:lineRule="auto"/>
        <w:tabs>
          <w:tab w:leader="none" w:pos="69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Each Option shall be designated in the Award Agreement as either an Incentive Stock Option or a Non-Qualified Stock Option. However, notwithstanding such designation, to the extent that the aggregate Fair Market Value of the Shares with respect to which Incentive Stock Options are exercisable for the first time by the Grantee during any calendar year (under all plans of the Company and any Subsidiary or Parent) exceeds $100,000, such Options shall be treated as Non-Qualified Stock Options. For purposes of this Section 7(g), Incentive Stock Options shall be taken into account in the order in which they were granted. The Fair Market Value of the Shares shall be determined as of the time the Option with respect to such Shares is granted.</w:t>
      </w:r>
    </w:p>
    <w:p>
      <w:pPr>
        <w:spacing w:after="0" w:line="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The Award Agreement for an Option or SAR may, but need not, include a provision whereby the Grantee may elect, at any time during the period in which he or she is Service Provider, to exercise any part or all of the Option prior to full vesting. Any unvested Shares received pursuant to such exercise may be subject to a repurchase right in favor of the Company or any Subsidiary or Parent or to any other restriction the Administrator determines to be appropriate.</w:t>
      </w:r>
    </w:p>
    <w:p>
      <w:pPr>
        <w:spacing w:after="0" w:line="71"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5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Administrator’s Right to Cancel Certain Options</w:t>
      </w:r>
      <w:r>
        <w:rPr>
          <w:rFonts w:ascii="Times New Roman" w:cs="Times New Roman" w:eastAsia="Times New Roman" w:hAnsi="Times New Roman"/>
          <w:sz w:val="18"/>
          <w:szCs w:val="18"/>
          <w:color w:val="auto"/>
        </w:rPr>
        <w:t>. Any other provision of the Plan or an Award Agreement notwithstanding, the Administrator shall have the right at any time to cancel an Option that was not granted in compliance with Rule 701 under the Securities Act. Prior to canceling such Option, the Administrator shall give the Grantee not less than 30 days’ notice in writing. If the Administrator elects to cancel such Option, it shall deliver to the Grantee consideration with an aggregate Fair Market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8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RSUs and Unrestricted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0" w:firstLine="436"/>
        <w:spacing w:after="0" w:line="261" w:lineRule="auto"/>
        <w:tabs>
          <w:tab w:leader="none" w:pos="689"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shall determine the terms and conditions of each Award Agreement for Restricted Stock, RSUs and Unrestricted Stock. Subject to Section 11(a), Award Agreements for Restricted Stock and RSUs shall include such restrictions as the Administrator may impose, which restrictions may lapse separately or in combination at such time or times, in such installments or otherwise, as the Administrator may deem appropriate.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358" w:name="page359"/>
    <w:bookmarkEnd w:id="358"/>
    <w:p>
      <w:pPr>
        <w:ind w:left="4" w:right="220" w:firstLine="436"/>
        <w:spacing w:after="0" w:line="258" w:lineRule="auto"/>
        <w:tabs>
          <w:tab w:leader="none" w:pos="699"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Certificates</w:t>
      </w:r>
      <w:r>
        <w:rPr>
          <w:rFonts w:ascii="Times New Roman" w:cs="Times New Roman" w:eastAsia="Times New Roman" w:hAnsi="Times New Roman"/>
          <w:sz w:val="18"/>
          <w:szCs w:val="18"/>
          <w:color w:val="auto"/>
        </w:rPr>
        <w:t>. The Company may require that any stock certificates issued in respect of Shares of Restricted Stock shall be deposited in escrow by the Grantee, together with a stock power endorsed in blank, with the Company (or its designee). Following the expiration of the applicable restriction periods, the Company (or such designee) shall deliver the certificates no longer subject to such restrictions to the Grantee or if the Grantee has died, to the beneficiary designated, in a manner determined by the Administrator, by a Grantee. In the absence of an effective designation by a Grantee, the designated beneficiary shall be the Grantee’s estate.</w:t>
      </w:r>
    </w:p>
    <w:p>
      <w:pPr>
        <w:spacing w:after="0" w:line="75"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89"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and the Option to Purchase</w:t>
      </w:r>
      <w:r>
        <w:rPr>
          <w:rFonts w:ascii="Times New Roman" w:cs="Times New Roman" w:eastAsia="Times New Roman" w:hAnsi="Times New Roman"/>
          <w:sz w:val="18"/>
          <w:szCs w:val="18"/>
          <w:color w:val="auto"/>
        </w:rPr>
        <w:t>. Except as otherwise determined by the Administrator or as set forth in an Award Agreement, upon a Grantee’s termination of employment or service (as determined under criteria established by the Administrator) for any reason during the applicable restriction period, the Company (or its designee) shall have the right, but shall not be obligated, (i) to repurchase from the Grantee all or part of Shares of Restricted Stock still subject to restriction at their issue price or other stated or formula price or (ii) to require forfeiture of such Shares if issued at no cost.</w:t>
      </w:r>
    </w:p>
    <w:p>
      <w:pPr>
        <w:spacing w:after="0" w:line="75"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(i) the grant of an Award for Restricted Stock or for Unrestricted Stock or the settlement in Shares, pursuant to the applicable Award Agreement, of an Award for RSUs and (ii) payment of any applicable purchase price, the Grantee of such Award shall be entered as a stockholder on the books and the Company and considered the record owner of and shall be entitled to vote the Shares if, and to the extent, such Shares are entitled to voting rights, subject to such conditions contained in the Award Agreement. The Grantee shall be entitled to receive all dividends and any other distributions declared on the Shares; provided, however, that the Company is under no duty to declare any such dividends or to make any such distribution.</w:t>
      </w:r>
    </w:p>
    <w:p>
      <w:pPr>
        <w:spacing w:after="0" w:line="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Subject to the provisions of the Plan, the Committee, may grant other Awards that are valued in whole or in part by reference to, or are otherwise based upon, Common Stock. Such Awards may be granted either alone or in conjunction with other Awards granted under the Plan. Each such Award shall be confirmed by, and be subject to, the terms of an Award agreement.</w:t>
      </w:r>
    </w:p>
    <w:p>
      <w:pPr>
        <w:spacing w:after="0" w:line="6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Incentive Awards</w:t>
      </w:r>
      <w:r>
        <w:rPr>
          <w:rFonts w:ascii="Times New Roman" w:cs="Times New Roman" w:eastAsia="Times New Roman" w:hAnsi="Times New Roman"/>
          <w:sz w:val="18"/>
          <w:szCs w:val="18"/>
          <w:color w:val="auto"/>
        </w:rPr>
        <w:t>. Subject to the provisions of the Plan, the Committee may grant cash incentive awards.</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8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Awards shall not be sold, assigned, transferred, pledged or otherwise encumbered by the Grantee, either voluntarily or by operation of law, and may be exercised, during the lifetime of the Grantee, only by the Grantee. Notwithstanding the foregoing, the Administrator may provide in an Award Agreement that the Award is transferable by will, by the laws of descent and distribution, or as permitted by Rule 701 promulgated under the Securities Act or other applicable law. References to a Grantee, to the extent relevant in the context, shall include references to authorized transferees.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59" w:name="page360"/>
    <w:bookmarkEnd w:id="359"/>
    <w:p>
      <w:pPr>
        <w:ind w:left="-40" w:right="120" w:firstLine="436"/>
        <w:spacing w:after="0" w:line="256"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w:t>
      </w:r>
      <w:r>
        <w:rPr>
          <w:rFonts w:ascii="Times New Roman" w:cs="Times New Roman" w:eastAsia="Times New Roman" w:hAnsi="Times New Roman"/>
          <w:sz w:val="18"/>
          <w:szCs w:val="18"/>
          <w:color w:val="auto"/>
        </w:rPr>
        <w:t>. The Grantee shall be fully responsible for all applicable foreign, federal, state, local or other income, employment, social security, value added and other tax and must satisfy all applicable withholding obligations before the Company will deliver stock certificates or otherwise recognize ownership of Shares under an Award. The Company may decide to satisfy the withholding obligations through additional withholding on salary or wages. If the Company elects not to or cannot withhold from other compensation, the Grantee must pay the Company the full amount, if any, required for withholding or, if permitted by the Administrator in its discretion, have a broker tender to the Company cash equal to the withholding obligations.</w:t>
      </w:r>
    </w:p>
    <w:p>
      <w:pPr>
        <w:spacing w:after="0" w:line="79" w:lineRule="exact"/>
        <w:rPr>
          <w:rFonts w:ascii="Times New Roman" w:cs="Times New Roman" w:eastAsia="Times New Roman" w:hAnsi="Times New Roman"/>
          <w:sz w:val="18"/>
          <w:szCs w:val="18"/>
          <w:color w:val="auto"/>
        </w:rPr>
      </w:pPr>
    </w:p>
    <w:p>
      <w:pPr>
        <w:ind w:left="-40" w:right="20" w:firstLine="436"/>
        <w:spacing w:after="0" w:line="258" w:lineRule="auto"/>
        <w:tabs>
          <w:tab w:leader="none" w:pos="64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The Administrator may amend, modify or terminate any outstanding Award, including but not limited to, substituting therefor another Award of the same or a different type, changing the date of exercise or realization, and converting an Incentive Stock Option to a Non-Qualified Stock Option. The Grantee’s consent to such action shall be required unless (A) the Administrator determines that the action, taking into account any related action, would not materially and adversely affect the Grantee’s rights under the Plan with respect to such Award or (B) the change is permitted under Section 12 or 13 hereof.</w:t>
      </w:r>
    </w:p>
    <w:p>
      <w:pPr>
        <w:spacing w:after="0" w:line="75" w:lineRule="exact"/>
        <w:rPr>
          <w:rFonts w:ascii="Times New Roman" w:cs="Times New Roman" w:eastAsia="Times New Roman" w:hAnsi="Times New Roman"/>
          <w:sz w:val="18"/>
          <w:szCs w:val="18"/>
          <w:color w:val="auto"/>
        </w:rPr>
      </w:pPr>
    </w:p>
    <w:p>
      <w:pPr>
        <w:ind w:left="-40" w:right="60" w:firstLine="436"/>
        <w:spacing w:after="0" w:line="261"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 Compliance with Legal Requirements</w:t>
      </w:r>
      <w:r>
        <w:rPr>
          <w:rFonts w:ascii="Times New Roman" w:cs="Times New Roman" w:eastAsia="Times New Roman" w:hAnsi="Times New Roman"/>
          <w:sz w:val="18"/>
          <w:szCs w:val="18"/>
          <w:color w:val="auto"/>
        </w:rPr>
        <w:t>. The Administrator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Administrator may require the placing of such stop-orders and restrictive legends on certificates for Shares and Awards as it deems appropriate.</w:t>
      </w:r>
    </w:p>
    <w:p>
      <w:pPr>
        <w:spacing w:after="0" w:line="71" w:lineRule="exact"/>
        <w:rPr>
          <w:rFonts w:ascii="Times New Roman" w:cs="Times New Roman" w:eastAsia="Times New Roman" w:hAnsi="Times New Roman"/>
          <w:sz w:val="18"/>
          <w:szCs w:val="18"/>
          <w:color w:val="auto"/>
        </w:rPr>
      </w:pPr>
    </w:p>
    <w:p>
      <w:pPr>
        <w:jc w:val="both"/>
        <w:ind w:left="-40" w:right="20" w:firstLine="436"/>
        <w:spacing w:after="0" w:line="261" w:lineRule="auto"/>
        <w:tabs>
          <w:tab w:leader="none" w:pos="64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 Certificates</w:t>
      </w:r>
      <w:r>
        <w:rPr>
          <w:rFonts w:ascii="Times New Roman" w:cs="Times New Roman" w:eastAsia="Times New Roman" w:hAnsi="Times New Roman"/>
          <w:sz w:val="18"/>
          <w:szCs w:val="18"/>
          <w:color w:val="auto"/>
        </w:rPr>
        <w:t>. Stock certificates to Grantees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8 of the Plan shall be deemed delivered when the Company shall have recorded the issuance in its records.</w:t>
      </w:r>
    </w:p>
    <w:p>
      <w:pPr>
        <w:spacing w:after="0" w:line="71" w:lineRule="exact"/>
        <w:rPr>
          <w:rFonts w:ascii="Times New Roman" w:cs="Times New Roman" w:eastAsia="Times New Roman" w:hAnsi="Times New Roman"/>
          <w:sz w:val="18"/>
          <w:szCs w:val="18"/>
          <w:color w:val="auto"/>
        </w:rPr>
      </w:pPr>
    </w:p>
    <w:p>
      <w:pPr>
        <w:ind w:left="-40" w:right="100" w:firstLine="436"/>
        <w:spacing w:after="0" w:line="254" w:lineRule="auto"/>
        <w:tabs>
          <w:tab w:leader="none" w:pos="62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To the extent any Shares are uncertificated: (i) such Shares shall be deemed delivered by the Company for all purposes when the Company or a stock transfer agent of the Company shall have given to the Grantee, by electronic mail or by United States mail, addressed to the Grantee at the Grantee’s last known address on file with the Company, notice of the issuance and recorded the issuance in its records (which may include electronic “book entry” records); (ii) any reference in this Plan or any Award Agreement to the legending of certificates shall be interpreted to mean the notation in the Company’s records (which may include electronic “book entry” records); (iii) any provision requiring deposit of stock certificates shall not be deemed breached solely by virtue of the fact that there is no stock certificate representing such Shares; and (iv) the rights of an individual or entity that is entitled to retain possession of a stock certificate (e.g., as security for performance, as escrowed property, or for similar purposes) shall not be prejudiced solely by virtue of the fact that such Shares are not represented by a stock certificate.</w:t>
      </w:r>
    </w:p>
    <w:p>
      <w:pPr>
        <w:spacing w:after="0" w:line="83" w:lineRule="exact"/>
        <w:rPr>
          <w:rFonts w:ascii="Times New Roman" w:cs="Times New Roman" w:eastAsia="Times New Roman" w:hAnsi="Times New Roman"/>
          <w:sz w:val="18"/>
          <w:szCs w:val="18"/>
          <w:color w:val="auto"/>
        </w:rPr>
      </w:pPr>
    </w:p>
    <w:p>
      <w:pPr>
        <w:jc w:val="both"/>
        <w:ind w:left="-40" w:firstLine="436"/>
        <w:spacing w:after="0" w:line="312" w:lineRule="auto"/>
        <w:tabs>
          <w:tab w:leader="none" w:pos="655"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Policy Restrictions</w:t>
      </w:r>
      <w:r>
        <w:rPr>
          <w:rFonts w:ascii="Times New Roman" w:cs="Times New Roman" w:eastAsia="Times New Roman" w:hAnsi="Times New Roman"/>
          <w:sz w:val="17"/>
          <w:szCs w:val="17"/>
          <w:color w:val="auto"/>
        </w:rPr>
        <w:t>. Option exercises and other Awards under the Plan shall be subject to the Company’s insider trading policy-related restrictions, terms and conditions as may be established by the Administrator, or in accordance with policies set by the Administrator, from time to time.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360" w:name="page361"/>
    <w:bookmarkEnd w:id="360"/>
    <w:p>
      <w:pPr>
        <w:ind w:left="264" w:hanging="264"/>
        <w:spacing w:after="0"/>
        <w:tabs>
          <w:tab w:leader="none" w:pos="2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Upon Issuance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Agreement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7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Shares</w:t>
      </w:r>
      <w:r>
        <w:rPr>
          <w:rFonts w:ascii="Times New Roman" w:cs="Times New Roman" w:eastAsia="Times New Roman" w:hAnsi="Times New Roman"/>
          <w:sz w:val="18"/>
          <w:szCs w:val="18"/>
          <w:color w:val="auto"/>
        </w:rPr>
        <w:t>. Except as the Administrator may otherwise determine or provide in an Award Agreement, Shares shall not be sold, assigned, transferred, pledged or otherwise encumbered by the Grantee to whom they are granted, either voluntarily or by operation of law, except by will or the laws of descent and distribution, or to the extent required by law. References to a Grantee, to the extent relevant in the context, shall include references to authorized transferees.</w:t>
      </w:r>
    </w:p>
    <w:p>
      <w:pPr>
        <w:spacing w:after="0" w:line="71"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68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As a condition to the exercise of an Award or the receipt of Shares pursuant to an Award, the Company may require (i) the person exercising such Award (A) to make such representations and agreements as the Company may consider appropriate to avoid violation of the Securities Act or comparable state law, and (B) to agree to market standoff obligations in connection with any public offering of Shares of the Company, and (ii) that the certificates evidencing such Shares bear appropriate legends restricting transfer.</w:t>
      </w:r>
    </w:p>
    <w:p>
      <w:pPr>
        <w:spacing w:after="0" w:line="71"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Rights</w:t>
      </w:r>
      <w:r>
        <w:rPr>
          <w:rFonts w:ascii="Times New Roman" w:cs="Times New Roman" w:eastAsia="Times New Roman" w:hAnsi="Times New Roman"/>
          <w:sz w:val="18"/>
          <w:szCs w:val="18"/>
          <w:color w:val="auto"/>
        </w:rPr>
        <w:t>. Except to the extent determined otherwise by the Administrator, until the earlier of the date of a Corporate Transaction or Initial Public Offering, the Company shall have the right of first refusal with respect to any proposed disposition by the Grantee (or any successor in interest) of any Shares issued under the Plan. Such right of first refusal shall be exercisable in accordance with the terms established by the Administrator and set forth in the document evidencing such right.</w:t>
      </w:r>
    </w:p>
    <w:p>
      <w:pPr>
        <w:spacing w:after="0" w:line="7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(i) the number and class of securities available under this Plan, (ii) the number and class of securities and exercise price per Share of each outstanding Option and SAR, (iii) the number of Shares subject to and the repurchase price per Share subject to each outstanding Restricted Stock Award and RSU Award, and (iv) the terms of each other outstanding Award shall be equitably adjusted by the Company (or substituted Awards may be made, if applicable) in the manner determined by the Administrator; provided, however, that each adjustment to Non-Qualified Stock Options or SARs shall satisfy the requirements of Treas. Reg. § 1.409A-1(b)(5)(v)(D) (or any successor regulation) and each adjustment to Incentive Stock Options shall satisfy the requirements of Treas. Reg. § 1.424-1 (or any successor regulation); and provided, further, that the Administrator will make any adjustment to an Award as is required by Section 25102(o) of the California Corporations Code to the extent that the Company is relying upon the exemption afforded thereby with respect to the Award.</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361" w:name="page362"/>
    <w:bookmarkEnd w:id="361"/>
    <w:p>
      <w:pPr>
        <w:ind w:left="4" w:firstLine="436"/>
        <w:spacing w:after="0" w:line="261" w:lineRule="auto"/>
        <w:tabs>
          <w:tab w:leader="none" w:pos="699"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majority of the shares which are of the same class as the shares that are subject to the Award are exchanged by whatever means for, converted into, or otherwise become (whether or not pursuant to a Corporate Transaction) shares of another corporation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xml:space="preserve">”), the Board may unilaterally amend the Award to provide that the Award is for New Shares. In the event of any such amendment, the number of shares subject to the Award shall be adjusted in accordance with Section </w:t>
      </w:r>
      <w:r>
        <w:rPr>
          <w:rFonts w:ascii="Times New Roman" w:cs="Times New Roman" w:eastAsia="Times New Roman" w:hAnsi="Times New Roman"/>
          <w:sz w:val="18"/>
          <w:szCs w:val="18"/>
          <w:b w:val="1"/>
          <w:bCs w:val="1"/>
          <w:color w:val="auto"/>
        </w:rPr>
        <w:t>Error! Reference source not found.</w:t>
      </w:r>
      <w:r>
        <w:rPr>
          <w:rFonts w:ascii="Times New Roman" w:cs="Times New Roman" w:eastAsia="Times New Roman" w:hAnsi="Times New Roman"/>
          <w:sz w:val="18"/>
          <w:szCs w:val="18"/>
          <w:color w:val="auto"/>
        </w:rPr>
        <w:t xml:space="preserve"> of the Plan.</w:t>
      </w:r>
    </w:p>
    <w:p>
      <w:pPr>
        <w:spacing w:after="0" w:line="71" w:lineRule="exact"/>
        <w:rPr>
          <w:rFonts w:ascii="Times New Roman" w:cs="Times New Roman" w:eastAsia="Times New Roman" w:hAnsi="Times New Roman"/>
          <w:sz w:val="18"/>
          <w:szCs w:val="18"/>
          <w:color w:val="auto"/>
        </w:rPr>
      </w:pPr>
    </w:p>
    <w:p>
      <w:pPr>
        <w:ind w:left="4" w:right="140" w:hanging="4"/>
        <w:spacing w:after="0" w:line="258" w:lineRule="auto"/>
        <w:tabs>
          <w:tab w:leader="none" w:pos="27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connection with any Corporate Transaction, all Options and other Awards outstanding on the effective date of such Corporate Transaction shall be treated in the manner described in the definitive transaction agreement, which agreement need not treat all Options and Awards (or all portions of an Option or an Award) in an identical manner. The treatment specified in the transaction agreement or as determined by the Administrator may provide for any one or more of the following with respect to each outstanding Option or Award (the following list not to be exclusive):</w:t>
      </w:r>
    </w:p>
    <w:p>
      <w:pPr>
        <w:spacing w:after="0" w:line="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or SAR shall become vested and immediately exercisable, in whole or in part;</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Stock or RSU shall become non-forfeitable, in whole or in part;</w:t>
      </w:r>
    </w:p>
    <w:p>
      <w:pPr>
        <w:spacing w:after="0" w:line="117"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89"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Option or SAR shall be assumed by the successor corporation or cancelled in exchange for substitute stock options in a manner consistent with the requirements of Treas. Reg. § 1.409A-1(b)(5)(v)(D) (or any successor regulation), in the case of a Non- Qualified Stock Option or SAR, and Treas. Reg. § 1.424-1(a) (or any successor regulations), in the case of an Incentive Stock Option;</w:t>
      </w:r>
    </w:p>
    <w:p>
      <w:pPr>
        <w:spacing w:after="0" w:line="67"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Option shall be cancelled in exchange for cash and/or other substitute consideration with a value equal to (A) the number of Shares subject to that Option, multiplied by (B) the difference, if any, between (x) either the Fair Market Value per Share on the date of the Corporate Transaction or the per share consideration payable to the holders of Shares in the Corporate Transaction (such per share consideration,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(y) the exercise price of that Option; provided, that if the Fair Market Value per Share on the date of the Corporate Transaction or the Transaction Consideration does not exceed the exercise price of any such Option, the Administrator may cancel that Option without any payment of consideration therefor;</w:t>
      </w:r>
    </w:p>
    <w:p>
      <w:pPr>
        <w:spacing w:after="0" w:line="79"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89"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Restricted Stock or RSU shall be cancelled in exchange for restricted stock of or restricted stock units in respect of the capital stock of any successor corporation (or the equivalent in a successor entity that is not a corporation);</w:t>
      </w:r>
    </w:p>
    <w:p>
      <w:pPr>
        <w:spacing w:after="0" w:line="53"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69"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Restricted Stock shall be redeemed for cash and/or other substitute consideration with a value equal to (A) the Fair Market Value of an unrestricted Share on the date of the Corporate Transaction or (B) the Transaction Consideration;</w:t>
      </w:r>
    </w:p>
    <w:p>
      <w:pPr>
        <w:spacing w:after="0" w:line="53"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99"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RSU shall, subject to Section 17, be cancelled in exchange for cash and/or other substitute consideration with a value equal to (A) the Fair Market Value per Share on the date of the Corporate Transaction or (B) the Transaction Consideration; or</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treatment as is described in an Award Agreement.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362" w:name="page363"/>
    <w:bookmarkEnd w:id="362"/>
    <w:p>
      <w:pPr>
        <w:ind w:left="4"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substitute consideration issued to a Grantee pursuant to this Section 13 may include, to the extent determined by the Administrator, the right to receive consideration payable in the Corporate Transaction after the closing (e.g., in respect of an earn-out or escrow release).</w:t>
      </w:r>
    </w:p>
    <w:p>
      <w:pPr>
        <w:spacing w:after="0" w:line="16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Notwithstanding anything in the Plan to the contrary, a Grantee who is a U.S. taxpayer may be required to forfeit any portion of the consideration otherwise receivable pursuant to a Corporate Transaction to the extent that the payment of such portion of the consideration would result in a violation of Section 409A.</w:t>
      </w:r>
    </w:p>
    <w:p>
      <w:pPr>
        <w:spacing w:after="0" w:line="68" w:lineRule="exact"/>
        <w:rPr>
          <w:sz w:val="20"/>
          <w:szCs w:val="20"/>
          <w:color w:val="auto"/>
        </w:rPr>
      </w:pPr>
    </w:p>
    <w:p>
      <w:pPr>
        <w:ind w:left="264" w:hanging="264"/>
        <w:spacing w:after="0"/>
        <w:tabs>
          <w:tab w:leader="none" w:pos="26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 Stockholder Approval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Adoption of Plan</w:t>
      </w:r>
      <w:r>
        <w:rPr>
          <w:rFonts w:ascii="Times New Roman" w:cs="Times New Roman" w:eastAsia="Times New Roman" w:hAnsi="Times New Roman"/>
          <w:sz w:val="18"/>
          <w:szCs w:val="18"/>
          <w:color w:val="auto"/>
        </w:rPr>
        <w:t>. The Plan shall become effective upon its adoption by the Board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It shall continue in effect for a term of ten (10) years from the date of adoption unless sooner terminated.</w:t>
      </w:r>
    </w:p>
    <w:p>
      <w:pPr>
        <w:spacing w:after="0" w:line="53"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No Option granted under the Plan may be exercised until the Plan is approved by stockholders of the Company holding a majority of the outstanding securities of the Company entitled to vote (determined on an as-converted basis). If such stockholder approval is not obtained within twelve (12) months after the date of the Board’s adoption of the Plan, then all Options previously granted under the Plan shall terminate and cease to be outstanding, and no further Options shall be granted under the Plan.</w:t>
      </w:r>
    </w:p>
    <w:p>
      <w:pPr>
        <w:spacing w:after="0" w:line="7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68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of the Plan, the Board may at any time and from time to time, alter, amend, suspend or terminate the Plan, in whole or in part; provided that the Board shall obtain stockholder approval of any Plan amendment to the extent necessary to comply with applicable law, rule or regulation. In addition, in no event shall an amendment increase the maximum number of Shares with respect to which Awards may be granted under the Plan without stockholder approval.</w:t>
      </w:r>
    </w:p>
    <w:p>
      <w:pPr>
        <w:spacing w:after="0" w:line="7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Grants of Awards</w:t>
      </w:r>
      <w:r>
        <w:rPr>
          <w:rFonts w:ascii="Times New Roman" w:cs="Times New Roman" w:eastAsia="Times New Roman" w:hAnsi="Times New Roman"/>
          <w:sz w:val="18"/>
          <w:szCs w:val="18"/>
          <w:color w:val="auto"/>
        </w:rPr>
        <w:t>. No Award may be granted during any suspension of the Plan or after termination of the Plan.</w:t>
      </w:r>
    </w:p>
    <w:p>
      <w:pPr>
        <w:spacing w:after="0" w:line="117"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Outstanding Awards</w:t>
      </w:r>
      <w:r>
        <w:rPr>
          <w:rFonts w:ascii="Times New Roman" w:cs="Times New Roman" w:eastAsia="Times New Roman" w:hAnsi="Times New Roman"/>
          <w:sz w:val="18"/>
          <w:szCs w:val="18"/>
          <w:color w:val="auto"/>
        </w:rPr>
        <w:t>. Except as set forth in Section 15(b) no suspension or termination of the Plan shall materially and adversely affect any rights under Awards outstanding at the time of such suspension or termination.</w:t>
      </w:r>
    </w:p>
    <w:p>
      <w:pPr>
        <w:spacing w:after="0" w:line="53" w:lineRule="exact"/>
        <w:rPr>
          <w:rFonts w:ascii="Times New Roman" w:cs="Times New Roman" w:eastAsia="Times New Roman" w:hAnsi="Times New Roman"/>
          <w:sz w:val="18"/>
          <w:szCs w:val="18"/>
          <w:color w:val="auto"/>
        </w:rPr>
      </w:pPr>
    </w:p>
    <w:p>
      <w:pPr>
        <w:ind w:left="4" w:right="400" w:hanging="4"/>
        <w:spacing w:after="0" w:line="266" w:lineRule="auto"/>
        <w:tabs>
          <w:tab w:leader="none" w:pos="27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or Services Rights</w:t>
      </w:r>
      <w:r>
        <w:rPr>
          <w:rFonts w:ascii="Times New Roman" w:cs="Times New Roman" w:eastAsia="Times New Roman" w:hAnsi="Times New Roman"/>
          <w:sz w:val="18"/>
          <w:szCs w:val="18"/>
          <w:color w:val="auto"/>
        </w:rPr>
        <w:t>. The Plan shall not confer upon any Grantee any right to employment or service with the Company or any Subsidiary or any Parent, nor shall it interfere in any way with the right of the Company or any Subsidiary or any Parent to terminate the Grantee’s employment or service at any time.</w:t>
      </w:r>
    </w:p>
    <w:p>
      <w:pPr>
        <w:spacing w:after="0" w:line="67" w:lineRule="exact"/>
        <w:rPr>
          <w:rFonts w:ascii="Times New Roman" w:cs="Times New Roman" w:eastAsia="Times New Roman" w:hAnsi="Times New Roman"/>
          <w:sz w:val="18"/>
          <w:szCs w:val="18"/>
          <w:color w:val="auto"/>
        </w:rPr>
      </w:pPr>
    </w:p>
    <w:p>
      <w:pPr>
        <w:ind w:left="4" w:hanging="4"/>
        <w:spacing w:after="0" w:line="258" w:lineRule="auto"/>
        <w:tabs>
          <w:tab w:leader="none" w:pos="27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It is intended that the provisions of the Plan comply with Section 409A, and all provisions of the Plan shall be construed and interpreted in a manner consistent with the requirements for avoiding taxes or penalties under Section 409A. If an Award that is subject to Section 409A is payable upon a Corporate Transaction which is not a permissible payment event or time (as described in Treas. Reg. § 1.409A-3) then, for purposes of payment of such Award, no Corporate Transaction shall be deemed to have occurred with respect to that Award unless and until there occurs a change in the ownership or effective control of the Company, or in the ownership of a substantial portion of the assets of</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363" w:name="page364"/>
    <w:bookmarkEnd w:id="36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(within the meaning in accordance with Treas. Reg. § 1.409A-3(i)(5)). To the extent required or advisable to avoid a violation of Section 409A, no discretion to require payment of an Award that is subject to Section 409A upon a Corporate Transaction shall be exercised if not set forth in writing by the time required under Section 409A. If an Award is subject to Section 409A, any payment made to a Grantee who is a “specified employee” of the Company or any Subsidiary shall not be made before such date as is six months after the Grantee’s “separation from service” to the extent required to avoid the adverse consequences of Section 409A of the Code. For purposes of this Section 17, the terms “separation from service” and “specified employee” shall have the meanings set forth in Section 409A and the applicable Treasury regulations. Nothing in this Plan or in an Award Agreement shall be interpreted or construed to transfer any liability for any tax (including a tax or penalty due as a result of a failure to comply with Section 409A) to the Company, any Subsidiary or Parent, or to any other individual or entity, and the Company shall have no liability to a Grantee, or any other party, if an Award that is intended to be exempt from, or compliant with, Section 409A is not so exempt or compliant.</w:t>
      </w:r>
    </w:p>
    <w:p>
      <w:pPr>
        <w:spacing w:after="0" w:line="80" w:lineRule="exact"/>
        <w:rPr>
          <w:sz w:val="20"/>
          <w:szCs w:val="20"/>
          <w:color w:val="auto"/>
        </w:rPr>
      </w:pPr>
    </w:p>
    <w:p>
      <w:pPr>
        <w:ind w:left="4" w:right="220" w:hanging="4"/>
        <w:spacing w:after="0" w:line="266" w:lineRule="auto"/>
        <w:tabs>
          <w:tab w:leader="none" w:pos="27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Plan</w:t>
      </w:r>
      <w:r>
        <w:rPr>
          <w:rFonts w:ascii="Times New Roman" w:cs="Times New Roman" w:eastAsia="Times New Roman" w:hAnsi="Times New Roman"/>
          <w:sz w:val="18"/>
          <w:szCs w:val="18"/>
          <w:color w:val="auto"/>
        </w:rPr>
        <w:t>. 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so determine in connection with any Award.</w:t>
      </w:r>
    </w:p>
    <w:p>
      <w:pPr>
        <w:spacing w:after="0" w:line="67" w:lineRule="exact"/>
        <w:rPr>
          <w:rFonts w:ascii="Times New Roman" w:cs="Times New Roman" w:eastAsia="Times New Roman" w:hAnsi="Times New Roman"/>
          <w:sz w:val="18"/>
          <w:szCs w:val="18"/>
          <w:color w:val="auto"/>
        </w:rPr>
      </w:pPr>
    </w:p>
    <w:p>
      <w:pPr>
        <w:jc w:val="both"/>
        <w:ind w:left="4" w:right="60" w:hanging="4"/>
        <w:spacing w:after="0" w:line="266" w:lineRule="auto"/>
        <w:tabs>
          <w:tab w:leader="none" w:pos="27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7" w:lineRule="exact"/>
        <w:rPr>
          <w:rFonts w:ascii="Times New Roman" w:cs="Times New Roman" w:eastAsia="Times New Roman" w:hAnsi="Times New Roman"/>
          <w:sz w:val="18"/>
          <w:szCs w:val="18"/>
          <w:color w:val="auto"/>
        </w:rPr>
      </w:pPr>
    </w:p>
    <w:p>
      <w:pPr>
        <w:ind w:left="4" w:right="180" w:hanging="4"/>
        <w:spacing w:after="0" w:line="261" w:lineRule="auto"/>
        <w:tabs>
          <w:tab w:leader="none" w:pos="27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Award is, becomes, or is deemed to be invalid, illegal, or unenforceable in any jurisdiction or as to any Grantee, such provision shall be construed or deemed amended to conform with applicable laws, or if the provision cannot be so construed or deemed amended without, in the sole discretion of the Administrator, materially altering the intent of the Plan or the Award, such provision shall be severed as to the jurisdiction or Grantee and the remainder of the Plan and any such Award shall remain in full force and effect.</w:t>
      </w:r>
    </w:p>
    <w:p>
      <w:pPr>
        <w:spacing w:after="0" w:line="71" w:lineRule="exact"/>
        <w:rPr>
          <w:rFonts w:ascii="Times New Roman" w:cs="Times New Roman" w:eastAsia="Times New Roman" w:hAnsi="Times New Roman"/>
          <w:sz w:val="18"/>
          <w:szCs w:val="18"/>
          <w:color w:val="auto"/>
        </w:rPr>
      </w:pPr>
    </w:p>
    <w:p>
      <w:pPr>
        <w:ind w:left="4" w:right="260" w:hanging="4"/>
        <w:spacing w:after="0" w:line="266" w:lineRule="auto"/>
        <w:tabs>
          <w:tab w:leader="none" w:pos="27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and construction of the Plan and any Award Agreements thereunder shall be governed by the laws of the State of Delaware, excluding any conflicts or choice of law rules or principles that might otherwise refer construction or interpretation of any provision of the Plan or an Award Agreement to the substantive law of another jurisdiction.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ADOPTED BY THE BOARD ON AUGUST 30,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APPROVED BY THE STOCKHOLDERS ON AUGUST 30, 2021</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64" w:name="page365"/>
    <w:bookmarkEnd w:id="364"/>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FIRST AMENDMENT TO 2021 EQUITY INCENTIVE PLAN</w:t>
      </w:r>
    </w:p>
    <w:p>
      <w:pPr>
        <w:spacing w:after="0" w:line="22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Odyssey Therapeutics, Inc. 2021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effective as of November 15, 2021. Capitalized terms used but not defined herein shall have the meanings ascribed to them in the Plan.</w:t>
      </w:r>
    </w:p>
    <w:p>
      <w:pPr>
        <w:spacing w:after="0" w:line="15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increase the initial Share Reserve as set forth in Section 3(a) of the Plan from 3,685,212 shares to 8,677,890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 and the Company’s stockholders.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135" w:lineRule="exact"/>
        <w:rPr>
          <w:sz w:val="20"/>
          <w:szCs w:val="20"/>
          <w:color w:val="auto"/>
        </w:rPr>
      </w:pPr>
    </w:p>
    <w:p>
      <w:pPr>
        <w:ind w:left="424" w:hanging="424"/>
        <w:spacing w:after="0"/>
        <w:tabs>
          <w:tab w:leader="none" w:pos="4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to read in its entirety as follows:</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Subject to the Plan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jc w:val="both"/>
        <w:ind w:left="444" w:right="80" w:firstLine="419"/>
        <w:spacing w:after="0" w:line="266" w:lineRule="auto"/>
        <w:tabs>
          <w:tab w:leader="none" w:pos="111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hereby set at 8,677,890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11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0964"/>
          </w:cols>
          <w:pgMar w:left="436" w:top="266" w:right="49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2021 Equity Incentive Plan]</w:t>
      </w:r>
    </w:p>
    <w:p>
      <w:pPr>
        <w:sectPr>
          <w:pgSz w:w="11900" w:h="16838" w:orient="portrait"/>
          <w:cols w:equalWidth="0" w:num="1">
            <w:col w:w="9579"/>
          </w:cols>
          <w:pgMar w:left="880" w:top="266" w:right="1440" w:bottom="1440" w:gutter="0" w:footer="0" w:header="0"/>
        </w:sectPr>
      </w:pPr>
    </w:p>
    <w:bookmarkStart w:id="366" w:name="page367"/>
    <w:bookmarkEnd w:id="366"/>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SECOND AMENDMENT TO 2021 EQUITY INCENTIVE PLAN</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This Second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Odyssey Therapeutics, Inc. 2021 Equity Incentive Plan, as amended by the First Amendment to the Odyssey Therapeutics, Inc. 2021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effective as of November 22, 2021. Capitalized terms used but not defined herein shall have the meanings ascribed to them in the Plan.</w:t>
      </w:r>
    </w:p>
    <w:p>
      <w:pPr>
        <w:spacing w:after="0" w:line="171"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increase the initial Share Reserve as set forth in Section 3(a) of the Plan from 8,677,890 shares to 9,332,520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 and the Company’s stockholders.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135" w:lineRule="exact"/>
        <w:rPr>
          <w:sz w:val="20"/>
          <w:szCs w:val="20"/>
          <w:color w:val="auto"/>
        </w:rPr>
      </w:pPr>
    </w:p>
    <w:p>
      <w:pPr>
        <w:ind w:left="424" w:hanging="424"/>
        <w:spacing w:after="0"/>
        <w:tabs>
          <w:tab w:leader="none" w:pos="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to read in its entirety as follows:</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Subject to the Plan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jc w:val="both"/>
        <w:ind w:left="444" w:right="80" w:firstLine="419"/>
        <w:spacing w:after="0" w:line="266" w:lineRule="auto"/>
        <w:tabs>
          <w:tab w:leader="none" w:pos="1111"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hereby set at 9,332,520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11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0964"/>
          </w:cols>
          <w:pgMar w:left="436" w:top="266" w:right="49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31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[Signature Page to Second Amendment to 2021 Equity Incentive Plan]</w:t>
      </w:r>
    </w:p>
    <w:p>
      <w:pPr>
        <w:sectPr>
          <w:pgSz w:w="11900" w:h="16838" w:orient="portrait"/>
          <w:cols w:equalWidth="0" w:num="1">
            <w:col w:w="9579"/>
          </w:cols>
          <w:pgMar w:left="880" w:top="266" w:right="1440" w:bottom="1440" w:gutter="0" w:footer="0" w:header="0"/>
        </w:sectPr>
      </w:pPr>
    </w:p>
    <w:bookmarkStart w:id="368" w:name="page369"/>
    <w:bookmarkEnd w:id="36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THIRD AMENDMENT TO 2021 EQUITY INCENTIVE PLAN</w:t>
      </w:r>
    </w:p>
    <w:p>
      <w:pPr>
        <w:spacing w:after="0" w:line="225" w:lineRule="exact"/>
        <w:rPr>
          <w:sz w:val="20"/>
          <w:szCs w:val="20"/>
          <w:color w:val="auto"/>
        </w:rPr>
      </w:pPr>
    </w:p>
    <w:p>
      <w:pPr>
        <w:jc w:val="both"/>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This Third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Odyssey Therapeutics, Inc. 2021 Equity Incentive Plan, as amended by the First Amendment to the Odyssey Therapeutics, Inc. 2021 Equity Incentive Plan, dated November 15, 2021 and the Second Amendment to the Odyssey Therapeutics, Inc. 2021 Equity Incentive Plan, dated November 22, 2021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effective as of May 13, 2022. Capitalized terms used but not defined herein shall have the meanings ascribed to them in the Plan.</w:t>
      </w:r>
    </w:p>
    <w:p>
      <w:pPr>
        <w:spacing w:after="0" w:line="176" w:lineRule="exact"/>
        <w:rPr>
          <w:sz w:val="20"/>
          <w:szCs w:val="20"/>
          <w:color w:val="auto"/>
        </w:rPr>
      </w:pPr>
    </w:p>
    <w:p>
      <w:pPr>
        <w:ind w:left="4" w:right="8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increase the initial Share Reserve as set forth in Section 3(a) of the Plan from 9,332,520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13,405,678 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 and the Company’s stockholders.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135" w:lineRule="exact"/>
        <w:rPr>
          <w:sz w:val="20"/>
          <w:szCs w:val="20"/>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and replaced in its entirety as follows:</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Subject to the Plan.</w:t>
      </w:r>
    </w:p>
    <w:p>
      <w:pPr>
        <w:spacing w:after="0" w:line="121"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4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hereby set at 13,405,678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1004"/>
          </w:cols>
          <w:pgMar w:left="436" w:top="266"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[Signature Page to Third Amendment to 2021 Equity Incentive Plan]</w:t>
      </w:r>
    </w:p>
    <w:p>
      <w:pPr>
        <w:sectPr>
          <w:pgSz w:w="11900" w:h="16838" w:orient="portrait"/>
          <w:cols w:equalWidth="0" w:num="1">
            <w:col w:w="9579"/>
          </w:cols>
          <w:pgMar w:left="880" w:top="266" w:right="1440" w:bottom="1440" w:gutter="0" w:footer="0" w:header="0"/>
        </w:sectPr>
      </w:pPr>
    </w:p>
    <w:bookmarkStart w:id="370" w:name="page371"/>
    <w:bookmarkEnd w:id="37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FOURTH AMENDMENT TO 2021 EQUITY INCENTIVE PLAN</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This Fourth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Odyssey Therapeutics, Inc. 2021 Equity Incentive Plan, as amended by the First Amendment to the Odyssey Therapeutics, Inc. 2021 Equity Incentive Plan, dated November 15, 2021, the Second Amendment to the Odyssey Therapeutics, Inc. 2021 Equity Incentive Plan, dated November 22, 2021, and the Third Amendment to the Odyssey Therapeutics, Inc. 2021 Equity Incentive Plan, dated May 13, 2022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effective as of October 24, 2022. Capitalized terms used but not defined herein shall have the meanings ascribed to them in the Plan.</w:t>
      </w:r>
    </w:p>
    <w:p>
      <w:pPr>
        <w:spacing w:after="0" w:line="179"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decrease the Share Reserve as set forth in Section 3(a) of the Plan from 13,405,678 shares to 13,227,832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135" w:lineRule="exact"/>
        <w:rPr>
          <w:sz w:val="20"/>
          <w:szCs w:val="20"/>
          <w:color w:val="auto"/>
        </w:rPr>
      </w:pPr>
    </w:p>
    <w:p>
      <w:pPr>
        <w:ind w:left="424" w:hanging="424"/>
        <w:spacing w:after="0"/>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and replaced in its entirety as follows:</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Subject to the Plan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4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Shares. Subject to the provisions of Sections 3(b), 12 and 13 of this Plan, (i) the maximum aggregate number of Shares which may be issued pursuant to all Awards is hereby set at 13,227,832 Shares (the “Share Reserve”),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1004"/>
          </w:cols>
          <w:pgMar w:left="436" w:top="266"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[Signature Page to Fourth Amendment to 2021 Equity Incentive Plan]</w:t>
      </w:r>
    </w:p>
    <w:p>
      <w:pPr>
        <w:sectPr>
          <w:pgSz w:w="11900" w:h="16838" w:orient="portrait"/>
          <w:cols w:equalWidth="0" w:num="1">
            <w:col w:w="9579"/>
          </w:cols>
          <w:pgMar w:left="880" w:top="266" w:right="1440" w:bottom="1440" w:gutter="0" w:footer="0" w:header="0"/>
        </w:sectPr>
      </w:pPr>
    </w:p>
    <w:bookmarkStart w:id="372" w:name="page373"/>
    <w:bookmarkEnd w:id="37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FIFTH AMENDMENT TO 2021 EQUITY INCENTIVE PLAN</w:t>
      </w:r>
    </w:p>
    <w:p>
      <w:pPr>
        <w:spacing w:after="0" w:line="225"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This Fifth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Odyssey Therapeutics, Inc. 2021 Equity Incentive Plan, as amended by the First Amendment to the Odyssey Therapeutics, Inc. 2021 Equity Incentive Plan, dated November 15, 2021, the Second Amendment to the Odyssey Therapeutics, Inc. 2021 Equity Incentive Plan, dated November 22, 2021, the Third Amendment to Odyssey Therapeutics, Inc. 2021 Equity Incentive Plan, dated May 13, 2022, and the Fourth Amendment to Odyssey Therapeutics, Inc. 2021 Equity Incentive Plan, dated October 24, 2022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effective as October 25, 2023. Capitalized terms used but not defined herein shall have the meanings ascribed to them in the Plan.</w:t>
      </w:r>
    </w:p>
    <w:p>
      <w:pPr>
        <w:spacing w:after="0" w:line="179"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increase the initial Share Reserve as set forth in Section 3(a) of the Plan from 13,227,832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16,609,261 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 and the Company’s stockholders.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135" w:lineRule="exact"/>
        <w:rPr>
          <w:sz w:val="20"/>
          <w:szCs w:val="20"/>
          <w:color w:val="auto"/>
        </w:rPr>
      </w:pPr>
    </w:p>
    <w:p>
      <w:pPr>
        <w:ind w:left="424" w:hanging="424"/>
        <w:spacing w:after="0"/>
        <w:tabs>
          <w:tab w:leader="none" w:pos="4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and replaced in its entirety as follows:</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Subject to the Plan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4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hereby set at 16,609,261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1004"/>
          </w:cols>
          <w:pgMar w:left="436" w:top="266" w:right="4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Fifth Amendment to 2021 Equity Incentive Plan]</w:t>
      </w:r>
    </w:p>
    <w:p>
      <w:pPr>
        <w:sectPr>
          <w:pgSz w:w="11900" w:h="16838" w:orient="portrait"/>
          <w:cols w:equalWidth="0" w:num="1">
            <w:col w:w="9579"/>
          </w:cols>
          <w:pgMar w:left="880" w:top="266" w:right="1440" w:bottom="1440" w:gutter="0" w:footer="0" w:header="0"/>
        </w:sectPr>
      </w:pPr>
    </w:p>
    <w:bookmarkStart w:id="374" w:name="page375"/>
    <w:bookmarkEnd w:id="37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AMENDMENT TO 2021 EQUITY INCENTIVE PLAN</w:t>
      </w:r>
    </w:p>
    <w:p>
      <w:pPr>
        <w:spacing w:after="0" w:line="22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This Sixth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Odyssey Therapeutics, Inc. 2021 Equity Incentive Plan, as amended by the First Amendment to the Odyssey Therapeutics, Inc. 2021 Equity Incentive Plan, dated November 15, 2021, the Second Amendment to the Odyssey Therapeutics, Inc. 2021 Equity Incentive Plan, dated November 22, 2021, the Third Amendment to Odyssey Therapeutics, Inc. 2021 Equity Incentive Plan, dated May 13, 2022, the Fourth Amendment to Odyssey Therapeutics, Inc. 2021 Equity Incentive Plan, dated October 24, 2022, and the Fifth Amendment to Odyssey Therapeutics, Inc. 2021 Equity Incentive Plan, dated October 25, 2023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effective as November 28, 2023. Capitalized terms used but not defined herein shall have the meanings ascribed to them in the Plan.</w:t>
      </w:r>
    </w:p>
    <w:p>
      <w:pPr>
        <w:spacing w:after="0" w:line="182"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increase the initial Share Reserve as set forth in Section 3(a) of the Plan from 16,609,261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16,643,944 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 and the Company’s stockholders.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256" w:lineRule="exact"/>
        <w:rPr>
          <w:sz w:val="20"/>
          <w:szCs w:val="20"/>
          <w:color w:val="auto"/>
        </w:rPr>
      </w:pPr>
    </w:p>
    <w:p>
      <w:pPr>
        <w:ind w:left="424" w:hanging="424"/>
        <w:spacing w:after="0"/>
        <w:tabs>
          <w:tab w:leader="none" w:pos="42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and replaced in its entirety as follows:</w:t>
      </w:r>
    </w:p>
    <w:p>
      <w:pPr>
        <w:spacing w:after="0" w:line="113" w:lineRule="exact"/>
        <w:rPr>
          <w:sz w:val="20"/>
          <w:szCs w:val="20"/>
          <w:color w:val="auto"/>
        </w:rPr>
      </w:pPr>
    </w:p>
    <w:p>
      <w:pPr>
        <w:ind w:left="1164" w:hanging="173"/>
        <w:spacing w:after="0"/>
        <w:tabs>
          <w:tab w:leader="none" w:pos="116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Subject to the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firstLine="987"/>
        <w:spacing w:after="0" w:line="266" w:lineRule="auto"/>
        <w:tabs>
          <w:tab w:leader="none" w:pos="12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hereby set at 16,643,944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1004"/>
          </w:cols>
          <w:pgMar w:left="436" w:top="266"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2021 Equity Incentive Plan]</w:t>
      </w:r>
    </w:p>
    <w:p>
      <w:pPr>
        <w:sectPr>
          <w:pgSz w:w="11900" w:h="16838" w:orient="portrait"/>
          <w:cols w:equalWidth="0" w:num="1">
            <w:col w:w="9579"/>
          </w:cols>
          <w:pgMar w:left="880" w:top="266" w:right="1440" w:bottom="1440" w:gutter="0" w:footer="0" w:header="0"/>
        </w:sectPr>
      </w:pPr>
    </w:p>
    <w:bookmarkStart w:id="376" w:name="page377"/>
    <w:bookmarkEnd w:id="37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SEVENTH AMENDMENT TO 2021 EQUITY INCENTIVE PLAN</w:t>
      </w:r>
    </w:p>
    <w:p>
      <w:pPr>
        <w:spacing w:after="0" w:line="225" w:lineRule="exact"/>
        <w:rPr>
          <w:sz w:val="20"/>
          <w:szCs w:val="20"/>
          <w:color w:val="auto"/>
        </w:rPr>
      </w:pPr>
    </w:p>
    <w:p>
      <w:pPr>
        <w:ind w:left="4" w:right="220" w:firstLine="440"/>
        <w:spacing w:after="0" w:line="256" w:lineRule="auto"/>
        <w:rPr>
          <w:sz w:val="20"/>
          <w:szCs w:val="20"/>
          <w:color w:val="auto"/>
        </w:rPr>
      </w:pPr>
      <w:r>
        <w:rPr>
          <w:rFonts w:ascii="Times New Roman" w:cs="Times New Roman" w:eastAsia="Times New Roman" w:hAnsi="Times New Roman"/>
          <w:sz w:val="18"/>
          <w:szCs w:val="18"/>
          <w:color w:val="auto"/>
        </w:rPr>
        <w:t>This Seventh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Odyssey Therapeutics, Inc. 2021 Equity Incentive Plan, as amended by the First Amendment to the Odyssey Therapeutics, Inc. 2021 Equity Incentive Plan, dated November 15, 2021, the Second Amendment to the Odyssey Therapeutics, Inc. 2021 Equity Incentive Plan, dated November 22, 2021, the Third Amendment to Odyssey Therapeutics, Inc. 2021 Equity Incentive Plan, dated May 13, 2022, the Fourth Amendment to Odyssey Therapeutics, Inc. 2021 Equity Incentive Plan, dated October 24, 2022, the Fifth Amendment to Odyssey Therapeutics, Inc. 2021 Equity Incentive Plan, dated October 25, 2023, and the Sixth Amendment to Odyssey Therapeutics, Inc. 2021 Equity Incentive Plan, dated November 28, 2023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effective as March 15, 2024. Capitalized terms used but not defined herein shall have the meanings ascribed to them in the Plan.</w:t>
      </w:r>
    </w:p>
    <w:p>
      <w:pPr>
        <w:spacing w:after="0" w:line="183"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increase the initial Share Reserve as set forth in Section 3(a) of the Plan from 16,643,944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22,043,944 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 and the Company’s stockholders.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256" w:lineRule="exact"/>
        <w:rPr>
          <w:sz w:val="20"/>
          <w:szCs w:val="20"/>
          <w:color w:val="auto"/>
        </w:rPr>
      </w:pPr>
    </w:p>
    <w:p>
      <w:pPr>
        <w:ind w:left="424" w:hanging="424"/>
        <w:spacing w:after="0"/>
        <w:tabs>
          <w:tab w:leader="none" w:pos="4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and replaced in its entirety as follows:</w:t>
      </w:r>
    </w:p>
    <w:p>
      <w:pPr>
        <w:spacing w:after="0" w:line="221" w:lineRule="exact"/>
        <w:rPr>
          <w:sz w:val="20"/>
          <w:szCs w:val="20"/>
          <w:color w:val="auto"/>
        </w:rPr>
      </w:pPr>
    </w:p>
    <w:p>
      <w:pPr>
        <w:ind w:left="1164" w:hanging="173"/>
        <w:spacing w:after="0"/>
        <w:tabs>
          <w:tab w:leader="none" w:pos="116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Subject to the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firstLine="987"/>
        <w:spacing w:after="0" w:line="266" w:lineRule="auto"/>
        <w:tabs>
          <w:tab w:leader="none" w:pos="124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hereby set at 22,043,944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1004"/>
          </w:cols>
          <w:pgMar w:left="436" w:top="266"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[Signature Page to Seventh Amendment to 2021 Equity Incentive Plan]</w:t>
      </w:r>
    </w:p>
    <w:p>
      <w:pPr>
        <w:sectPr>
          <w:pgSz w:w="11900" w:h="16838" w:orient="portrait"/>
          <w:cols w:equalWidth="0" w:num="1">
            <w:col w:w="9579"/>
          </w:cols>
          <w:pgMar w:left="880" w:top="266" w:right="1440" w:bottom="1440" w:gutter="0" w:footer="0" w:header="0"/>
        </w:sectPr>
      </w:pPr>
    </w:p>
    <w:bookmarkStart w:id="378" w:name="page379"/>
    <w:bookmarkEnd w:id="37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ODYSSEY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EIGHT AMENDMENT TO 2021 EQUITY INCENTIVE PLAN</w:t>
      </w:r>
    </w:p>
    <w:p>
      <w:pPr>
        <w:spacing w:after="0" w:line="225"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color w:val="auto"/>
        </w:rPr>
        <w:t>This Eighth Amendment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to the Odyssey Therapeutics, Inc. 2021 Equity Incentive Plan, as amended by the First Amendment to the Odyssey Therapeutics, Inc. 2021 Equity Incentive Plan, dated November 15, 2021, the Second Amendment to the Odyssey Therapeutics, Inc. 2021 Equity Incentive Plan, dated November 22, 2021, the Third Amendment to Odyssey Therapeutics, Inc. 2021 Equity Incentive Plan, dated May 13, 2022, the Fourth Amendment to Odyssey Therapeutics, Inc. 2021 Equity Incentive Plan, dated October 24, 2022, the Fifth Amendment to Odyssey Therapeutics, Inc. 2021 Equity Incentive Plan, dated October 25, 2023, the Sixth Amendment to Odyssey Therapeutics, Inc. 2021 Equity Incentive Plan, dated November 28, 2023, and the Seventh Amendment to Odyssey Therapeutics, Inc. 2021 Equity Incentive Plan, dated March 15, 2024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is made effective as of October 25, 2024. Capitalized terms used but not defined herein shall have the meanings ascribed to them in the Plan.</w:t>
      </w:r>
    </w:p>
    <w:p>
      <w:pPr>
        <w:spacing w:after="0" w:line="171"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increase the initial Share Reserve as set forth in Section 3(a) of the Plan from 22,043,944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25,543,944 shares.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received the requisite approval of the Board and the Company’s stockholders.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256" w:lineRule="exact"/>
        <w:rPr>
          <w:sz w:val="20"/>
          <w:szCs w:val="20"/>
          <w:color w:val="auto"/>
        </w:rPr>
      </w:pPr>
    </w:p>
    <w:p>
      <w:pPr>
        <w:ind w:left="424" w:hanging="424"/>
        <w:spacing w:after="0"/>
        <w:tabs>
          <w:tab w:leader="none" w:pos="4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of Section 3 of the Plan is hereby amended and replaced in its entirety as follows:</w:t>
      </w:r>
    </w:p>
    <w:p>
      <w:pPr>
        <w:spacing w:after="0" w:line="2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Stock Subject to the Plan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 w:firstLine="987"/>
        <w:spacing w:after="0" w:line="266" w:lineRule="auto"/>
        <w:tabs>
          <w:tab w:leader="none" w:pos="12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Shares</w:t>
      </w:r>
      <w:r>
        <w:rPr>
          <w:rFonts w:ascii="Times New Roman" w:cs="Times New Roman" w:eastAsia="Times New Roman" w:hAnsi="Times New Roman"/>
          <w:sz w:val="18"/>
          <w:szCs w:val="18"/>
          <w:color w:val="auto"/>
        </w:rPr>
        <w:t>. Subject to the provisions of Sections 3(b), 12 and 13 of this Plan, (i) the maximum aggregate number of Shares which may be issued pursuant to all Awards is hereby set at 25,543,944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and (ii) the maximum aggregate number of Shares which may be issued pursuant to Incentive Stock Options is equal to the Share Reserve.”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other terms, conditions and provisions of the Plan shall continue in full force and effect.</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[Signatures begin on following page]</w:t>
      </w:r>
    </w:p>
    <w:p>
      <w:pPr>
        <w:sectPr>
          <w:pgSz w:w="11900" w:h="16838" w:orient="portrait"/>
          <w:cols w:equalWidth="0" w:num="1">
            <w:col w:w="11004"/>
          </w:cols>
          <w:pgMar w:left="436" w:top="266" w:right="4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Amendment has been executed as of the date first set forth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[Signature Page to Eighth Amendment to 2021 Equity Incentive Plan]</w:t>
      </w:r>
    </w:p>
    <w:p>
      <w:pPr>
        <w:sectPr>
          <w:pgSz w:w="11900" w:h="16838" w:orient="portrait"/>
          <w:cols w:equalWidth="0" w:num="1">
            <w:col w:w="9579"/>
          </w:cols>
          <w:pgMar w:left="880" w:top="266" w:right="1440"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INDEMNIFICATION AGREEMENT</w:t>
      </w:r>
    </w:p>
    <w:p>
      <w:pPr>
        <w:spacing w:after="0" w:line="22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THIS INDEMNIFICATION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between Odyssey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corporations as directors, officers or in other capacities unless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provided with adequate protection through insurance or adequate indemnification against inordinate risks of claims and actions against them arising out of their service to and activities on behalf of the corporation;</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82"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71"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and to advance expenses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such persons to the fullest extent permitted by applicable law so that they will serve or continue to serve the Company free from undue concern that they will not be so indemnified;</w:t>
      </w:r>
    </w:p>
    <w:p>
      <w:pPr>
        <w:spacing w:after="0" w:line="171" w:lineRule="exact"/>
        <w:rPr>
          <w:sz w:val="20"/>
          <w:szCs w:val="20"/>
          <w:color w:val="auto"/>
        </w:rPr>
      </w:pPr>
    </w:p>
    <w:p>
      <w:pPr>
        <w:ind w:right="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this Agreement is a supplement to and in furtherance of the Bylaws and Certificate of Incorporation of the Company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resolutions adopted pursuant thereto, and shall not be deemed a substitute therefor, nor to diminish or abrogate any rights of Indemnitee thereunder;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81" w:name="page382"/>
    <w:bookmarkEnd w:id="381"/>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Indemnitee does not regard the protection available under the Company’s Bylaws and Certificate of Incorporation and insurance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or she be so indemnified; and</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Indemnitee’s agreement to serve as a director from and after the date hereof, the parties hereto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ind w:right="340" w:firstLine="436"/>
        <w:spacing w:after="0" w:line="282" w:lineRule="auto"/>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5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if, by reason of his or her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her, or on his or her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Indemnitee shall be entitled to the rights of indemnification provided in this</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if, by reason of his or her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80" w:lineRule="exact"/>
        <w:rPr>
          <w:sz w:val="20"/>
          <w:szCs w:val="20"/>
          <w:color w:val="auto"/>
        </w:rPr>
      </w:pPr>
    </w:p>
    <w:p>
      <w:pPr>
        <w:ind w:right="60" w:firstLine="987"/>
        <w:spacing w:after="0" w:line="258" w:lineRule="auto"/>
        <w:tabs>
          <w:tab w:leader="none" w:pos="123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his or her Corporate Status, a party to (or participant in)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Indemnitee is not wholly successful in such Proceeding but is successful, on the merits or otherwise, as to one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82" w:name="page383"/>
    <w:bookmarkEnd w:id="382"/>
    <w:p>
      <w:pPr>
        <w:ind w:left="4" w:right="320" w:hanging="4"/>
        <w:spacing w:after="0" w:line="261" w:lineRule="auto"/>
        <w:tabs>
          <w:tab w:leader="none" w:pos="25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more but less than all claims, issues or matters in such Proceeding, the Company shall indemnify Indemnitee against all Expenses actually and reasonably incurred by him or her,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71"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of Appointing Stockholder</w:t>
      </w:r>
      <w:r>
        <w:rPr>
          <w:rFonts w:ascii="Times New Roman" w:cs="Times New Roman" w:eastAsia="Times New Roman" w:hAnsi="Times New Roman"/>
          <w:sz w:val="18"/>
          <w:szCs w:val="18"/>
          <w:color w:val="auto"/>
        </w:rPr>
        <w:t>. If (i) Indemnitee is or was affiliated with one (1) or more venture capital funds that has invested in the Company (an “</w:t>
      </w:r>
      <w:r>
        <w:rPr>
          <w:rFonts w:ascii="Times New Roman" w:cs="Times New Roman" w:eastAsia="Times New Roman" w:hAnsi="Times New Roman"/>
          <w:sz w:val="18"/>
          <w:szCs w:val="18"/>
          <w:b w:val="1"/>
          <w:bCs w:val="1"/>
          <w:color w:val="auto"/>
        </w:rPr>
        <w:t>Appointing Stockholder</w:t>
      </w:r>
      <w:r>
        <w:rPr>
          <w:rFonts w:ascii="Times New Roman" w:cs="Times New Roman" w:eastAsia="Times New Roman" w:hAnsi="Times New Roman"/>
          <w:sz w:val="18"/>
          <w:szCs w:val="18"/>
          <w:color w:val="auto"/>
        </w:rPr>
        <w:t xml:space="preserve">”), and (ii) the Appointing Stockholder is, or is threatened to be made, a party to or a participant in any Proceeding, and (iii) the Appointing Stockholder’s involvement in the Proceeding (A) arises primarily out of, or relates to, any action taken by the Company that was approved by the Company’s Board, and (B) arises out of facts or circumstances that are the same or substantially similar to the facts and circumstances that form the basis of claims that have been, could have been or could be brought against the Indemnitee in a Proceeding, regardless of whether the legal basis of the claims against the Indemnitee and the Appointing Stockholder are the same or similar, then the Appointing Stockholder shall be entitled to all rights and remedies, including with respect to indemnification and advancement, provided to the Indemnitee under this Agreement as if the Appointing Stockholder were the Indemnitee. The rights provided to the Appointing Stockholder under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shall (i) be suspended during any period during which the Appointing Stockholder does not have a representative on the Company’s Board, and (ii) terminate on an initial public offering of the Company’s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any such suspension or termination, the Appointing Stockholder’s rights to indemnification and advancement of expenses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intend and agree that the Appointing Stockholder is an express third party beneficiary of the terms of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75"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62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him or her, or on his or her behalf, if, by reason of his or her Corporate Status, he or she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to be unlawful.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383" w:name="page384"/>
    <w:bookmarkEnd w:id="383"/>
    <w:p>
      <w:pPr>
        <w:ind w:left="620" w:hanging="184"/>
        <w:spacing w:after="0"/>
        <w:tabs>
          <w:tab w:leader="none" w:pos="6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79" w:lineRule="exact"/>
        <w:rPr>
          <w:rFonts w:ascii="Times New Roman" w:cs="Times New Roman" w:eastAsia="Times New Roman" w:hAnsi="Times New Roman"/>
          <w:sz w:val="18"/>
          <w:szCs w:val="18"/>
          <w:color w:val="auto"/>
        </w:rPr>
      </w:pPr>
    </w:p>
    <w:p>
      <w:pPr>
        <w:ind w:right="100" w:firstLine="987"/>
        <w:spacing w:after="0" w:line="252" w:lineRule="auto"/>
        <w:tabs>
          <w:tab w:leader="none" w:pos="124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88"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53"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84" w:name="page385"/>
    <w:bookmarkEnd w:id="38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76" w:lineRule="exact"/>
        <w:rPr>
          <w:sz w:val="20"/>
          <w:szCs w:val="20"/>
          <w:color w:val="auto"/>
        </w:rPr>
      </w:pPr>
    </w:p>
    <w:p>
      <w:pPr>
        <w:ind w:firstLine="436"/>
        <w:spacing w:after="0" w:line="266"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or her Corporate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spacing w:after="0" w:line="175" w:lineRule="exact"/>
        <w:rPr>
          <w:rFonts w:ascii="Times New Roman" w:cs="Times New Roman" w:eastAsia="Times New Roman" w:hAnsi="Times New Roman"/>
          <w:sz w:val="18"/>
          <w:szCs w:val="18"/>
          <w:color w:val="auto"/>
        </w:rPr>
      </w:pPr>
    </w:p>
    <w:p>
      <w:pPr>
        <w:ind w:right="60" w:firstLine="436"/>
        <w:spacing w:after="0" w:line="255"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 free.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apply to any claim made by Indemnitee for which indemnity is excluded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71"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 The Company will be entitled to participate in the Proceeding at its own expense.</w:t>
      </w:r>
    </w:p>
    <w:p>
      <w:pPr>
        <w:spacing w:after="0" w:line="80"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a determination with respect to Indemnitee’s entitlement thereto shall be made in the specific case by one of the following four methods, which shall be at the election of the Board: (i) by a majority vote of the Disinterested Directors (as defined below),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(as defined below) in a written opinion to the Board, a copy of which shall be delivered to the Indemnitee, or (iv) if so directed by the Board, by the stockholders of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85" w:name="page386"/>
    <w:bookmarkEnd w:id="385"/>
    <w:p>
      <w:pPr>
        <w:ind w:firstLine="987"/>
        <w:spacing w:after="0" w:line="252" w:lineRule="auto"/>
        <w:tabs>
          <w:tab w:leader="none" w:pos="12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determination of entitlement to indemnification is to be made by Independent Counsel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Independent Counsel shall be selected as provided in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The Independent Counsel shall be selected by the Board. Indemnitee may, within ten (10) days after such written notice of selection shall have been given, deliver to the Company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the Company shall pay all reasonable fees and expenses incurred by the Company and the Indemnitee incident to the procedures of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86" w:lineRule="exact"/>
        <w:rPr>
          <w:rFonts w:ascii="Times New Roman" w:cs="Times New Roman" w:eastAsia="Times New Roman" w:hAnsi="Times New Roman"/>
          <w:sz w:val="18"/>
          <w:szCs w:val="18"/>
          <w:color w:val="auto"/>
        </w:rPr>
      </w:pPr>
    </w:p>
    <w:p>
      <w:pPr>
        <w:ind w:right="140" w:firstLine="987"/>
        <w:spacing w:after="0" w:line="255" w:lineRule="auto"/>
        <w:tabs>
          <w:tab w:leader="none" w:pos="12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80" w:lineRule="exact"/>
        <w:rPr>
          <w:rFonts w:ascii="Times New Roman" w:cs="Times New Roman" w:eastAsia="Times New Roman" w:hAnsi="Times New Roman"/>
          <w:sz w:val="18"/>
          <w:szCs w:val="18"/>
          <w:color w:val="auto"/>
        </w:rPr>
      </w:pPr>
    </w:p>
    <w:p>
      <w:pPr>
        <w:ind w:right="380" w:firstLine="987"/>
        <w:spacing w:after="0" w:line="261" w:lineRule="auto"/>
        <w:tabs>
          <w:tab w:leader="none" w:pos="12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86" w:name="page387"/>
    <w:bookmarkEnd w:id="38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shall not be deemed to be exclusive or to limit in any way the other circumstances in which the Indemnitee may be deemed to have met the applicable standard of conduct set forth in this Agreement.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spacing w:after="0" w:line="79" w:lineRule="exact"/>
        <w:rPr>
          <w:sz w:val="20"/>
          <w:szCs w:val="20"/>
          <w:color w:val="auto"/>
        </w:rPr>
      </w:pPr>
    </w:p>
    <w:p>
      <w:pPr>
        <w:ind w:firstLine="987"/>
        <w:spacing w:after="0" w:line="253" w:lineRule="auto"/>
        <w:tabs>
          <w:tab w:leader="none" w:pos="121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foregoing provisions of this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 xml:space="preserve">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79"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387" w:name="page388"/>
    <w:bookmarkEnd w:id="387"/>
    <w:p>
      <w:pPr>
        <w:ind w:left="-60" w:firstLine="987"/>
        <w:spacing w:after="0" w:line="261" w:lineRule="auto"/>
        <w:tabs>
          <w:tab w:leader="none" w:pos="118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action, suit or proceeding to which Indemnitee is a party is resolved in any manner other than by adverse judgment against Indemnitee (including, without limitation, settlement of such action, suit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71" w:lineRule="exact"/>
        <w:rPr>
          <w:rFonts w:ascii="Times New Roman" w:cs="Times New Roman" w:eastAsia="Times New Roman" w:hAnsi="Times New Roman"/>
          <w:sz w:val="18"/>
          <w:szCs w:val="18"/>
          <w:color w:val="auto"/>
        </w:rPr>
      </w:pPr>
    </w:p>
    <w:p>
      <w:pPr>
        <w:ind w:left="-60" w:firstLine="987"/>
        <w:spacing w:after="0" w:line="258" w:lineRule="auto"/>
        <w:tabs>
          <w:tab w:leader="none" w:pos="114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ind w:left="560" w:hanging="184"/>
        <w:spacing w:after="0"/>
        <w:tabs>
          <w:tab w:leader="none" w:pos="5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 w:firstLine="987"/>
        <w:spacing w:after="0" w:line="253" w:lineRule="auto"/>
        <w:tabs>
          <w:tab w:leader="none" w:pos="117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within ninety (90) days after receipt by the Company of the request for indemnification, (iv) payment of indemnification is not made pursuant to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or the last sentence of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xml:space="preserve"> of this Agreement within ten (10) days after receipt by the Company of a written request therefor, or (v) payment of indemnification is not made pursuant to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this Agreement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not oppose Indemnitee’s right to seek any such adjudication.</w:t>
      </w:r>
    </w:p>
    <w:p>
      <w:pPr>
        <w:spacing w:after="0" w:line="86" w:lineRule="exact"/>
        <w:rPr>
          <w:rFonts w:ascii="Times New Roman" w:cs="Times New Roman" w:eastAsia="Times New Roman" w:hAnsi="Times New Roman"/>
          <w:sz w:val="18"/>
          <w:szCs w:val="18"/>
          <w:color w:val="auto"/>
        </w:rPr>
      </w:pPr>
    </w:p>
    <w:p>
      <w:pPr>
        <w:ind w:left="-60" w:right="220" w:firstLine="987"/>
        <w:spacing w:after="0" w:line="266" w:lineRule="auto"/>
        <w:tabs>
          <w:tab w:leader="none" w:pos="118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de novo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0" w:right="100" w:firstLine="987"/>
        <w:spacing w:after="0" w:line="261" w:lineRule="auto"/>
        <w:tabs>
          <w:tab w:leader="none" w:pos="117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70" w:right="519" w:bottom="1440" w:gutter="0" w:footer="0" w:header="0"/>
        </w:sectPr>
      </w:pPr>
    </w:p>
    <w:bookmarkStart w:id="388" w:name="page389"/>
    <w:bookmarkEnd w:id="388"/>
    <w:p>
      <w:pPr>
        <w:ind w:right="140" w:firstLine="987"/>
        <w:spacing w:after="0" w:line="261" w:lineRule="auto"/>
        <w:tabs>
          <w:tab w:leader="none" w:pos="124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seeks a judicial adjudication of his or her rights under, or to recover damages for breach of, this Agreement, or to recover under any directors’ and officers’ liability insurance policies maintained by the Company, the Company shall pay on his or her behalf, in advance, any and all Expenses actually and reasonably incurred by him or her in such judicial adjudication, regardless of whether Indemnitee ultimately is determined to be entitled to such indemnification, advancement of expenses or insurance recovery.</w:t>
      </w:r>
    </w:p>
    <w:p>
      <w:pPr>
        <w:spacing w:after="0" w:line="7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precluded from asserting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83" w:lineRule="exact"/>
        <w:rPr>
          <w:rFonts w:ascii="Times New Roman" w:cs="Times New Roman" w:eastAsia="Times New Roman" w:hAnsi="Times New Roman"/>
          <w:sz w:val="18"/>
          <w:szCs w:val="18"/>
          <w:color w:val="auto"/>
        </w:rPr>
      </w:pPr>
    </w:p>
    <w:p>
      <w:pPr>
        <w:ind w:right="820" w:firstLine="987"/>
        <w:spacing w:after="0" w:line="282" w:lineRule="auto"/>
        <w:tabs>
          <w:tab w:leader="none" w:pos="121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89" w:name="page390"/>
    <w:bookmarkEnd w:id="389"/>
    <w:p>
      <w:pPr>
        <w:ind w:right="20" w:firstLine="987"/>
        <w:spacing w:after="0" w:line="254"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83"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Indemnitee has certain rights to indemnification, advancement of expenses and/or insurance provided by [•] and certain of its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The Company hereby agrees (i)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67"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390" w:name="page391"/>
    <w:bookmarkEnd w:id="390"/>
    <w:p>
      <w:pPr>
        <w:ind w:left="4" w:right="580" w:firstLine="436"/>
        <w:spacing w:after="0" w:line="282" w:lineRule="auto"/>
        <w:tabs>
          <w:tab w:leader="none" w:pos="62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53"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affect the rights of Indemnitee or the Fund Indemnitors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above]; or</w:t>
      </w:r>
    </w:p>
    <w:p>
      <w:pPr>
        <w:spacing w:after="0" w:line="67" w:lineRule="exact"/>
        <w:rPr>
          <w:rFonts w:ascii="Times New Roman" w:cs="Times New Roman" w:eastAsia="Times New Roman" w:hAnsi="Times New Roman"/>
          <w:sz w:val="18"/>
          <w:szCs w:val="18"/>
          <w:color w:val="auto"/>
        </w:rPr>
      </w:pPr>
    </w:p>
    <w:p>
      <w:pPr>
        <w:ind w:left="4" w:right="260" w:firstLine="987"/>
        <w:spacing w:after="0" w:line="276" w:lineRule="auto"/>
        <w:tabs>
          <w:tab w:leader="none" w:pos="1250" w:val="left"/>
        </w:tabs>
        <w:numPr>
          <w:ilvl w:val="2"/>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(i) an accounting of profits made from the purchase and sale (or sale and purchase) by Indemnitee of securities of the Company within the meaning of </w:t>
      </w:r>
      <w:r>
        <w:rPr>
          <w:rFonts w:ascii="Times New Roman" w:cs="Times New Roman" w:eastAsia="Times New Roman" w:hAnsi="Times New Roman"/>
          <w:sz w:val="17"/>
          <w:szCs w:val="17"/>
          <w:u w:val="single" w:color="auto"/>
          <w:color w:val="auto"/>
        </w:rPr>
        <w:t>Section 16(b)</w:t>
      </w:r>
      <w:r>
        <w:rPr>
          <w:rFonts w:ascii="Times New Roman" w:cs="Times New Roman" w:eastAsia="Times New Roman" w:hAnsi="Times New Roman"/>
          <w:sz w:val="17"/>
          <w:szCs w:val="17"/>
          <w:color w:val="auto"/>
        </w:rPr>
        <w:t xml:space="preserve"> of the Securities Exchange Act of 1934, as amended, or similar provisions of state statutory law or common law,</w:t>
      </w:r>
    </w:p>
    <w:p>
      <w:pPr>
        <w:ind w:left="4" w:hanging="4"/>
        <w:spacing w:after="0" w:line="252" w:lineRule="auto"/>
        <w:tabs>
          <w:tab w:leader="none" w:pos="26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80" w:lineRule="exact"/>
        <w:rPr>
          <w:rFonts w:ascii="Times New Roman" w:cs="Times New Roman" w:eastAsia="Times New Roman" w:hAnsi="Times New Roman"/>
          <w:sz w:val="18"/>
          <w:szCs w:val="18"/>
          <w:color w:val="auto"/>
        </w:rPr>
      </w:pPr>
    </w:p>
    <w:p>
      <w:pPr>
        <w:ind w:left="4" w:right="100" w:firstLine="987"/>
        <w:spacing w:after="0" w:line="270" w:lineRule="auto"/>
        <w:tabs>
          <w:tab w:leader="none" w:pos="1240" w:val="left"/>
        </w:tabs>
        <w:numPr>
          <w:ilvl w:val="2"/>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 7(e)</w:t>
      </w:r>
      <w:r>
        <w:rPr>
          <w:rFonts w:ascii="Times New Roman" w:cs="Times New Roman" w:eastAsia="Times New Roman" w:hAnsi="Times New Roman"/>
          <w:sz w:val="17"/>
          <w:szCs w:val="17"/>
          <w:color w:val="auto"/>
        </w:rPr>
        <w:t xml:space="preserve">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any part of any Proceeding) or</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the indemnification, in its sole discretion, pursuant to the powers vested in the Company under applicable law.</w:t>
      </w:r>
    </w:p>
    <w:p>
      <w:pPr>
        <w:spacing w:after="0" w:line="206"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1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for a period of six (6) years thereafter, and shall continue thereafter so long as Indemnitee shall be subject to any Proceeding (or any proceeding commenced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by reason of his or her Corporate Status, whether or not he or she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91" w:name="page392"/>
    <w:bookmarkEnd w:id="391"/>
    <w:p>
      <w:pPr>
        <w:ind w:right="320" w:firstLine="436"/>
        <w:spacing w:after="0" w:line="266" w:lineRule="auto"/>
        <w:tabs>
          <w:tab w:leader="none" w:pos="70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67"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53" w:lineRule="exact"/>
        <w:rPr>
          <w:rFonts w:ascii="Times New Roman" w:cs="Times New Roman" w:eastAsia="Times New Roman" w:hAnsi="Times New Roman"/>
          <w:sz w:val="18"/>
          <w:szCs w:val="18"/>
          <w:color w:val="auto"/>
        </w:rPr>
      </w:pPr>
    </w:p>
    <w:p>
      <w:pPr>
        <w:ind w:right="700" w:firstLine="987"/>
        <w:spacing w:after="0" w:line="282" w:lineRule="auto"/>
        <w:tabs>
          <w:tab w:leader="none" w:pos="123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3" w:lineRule="exact"/>
        <w:rPr>
          <w:rFonts w:ascii="Times New Roman" w:cs="Times New Roman" w:eastAsia="Times New Roman" w:hAnsi="Times New Roman"/>
          <w:sz w:val="18"/>
          <w:szCs w:val="18"/>
          <w:color w:val="auto"/>
        </w:rPr>
      </w:pPr>
    </w:p>
    <w:p>
      <w:pPr>
        <w:ind w:right="120" w:firstLine="987"/>
        <w:spacing w:after="0" w:line="268" w:lineRule="auto"/>
        <w:tabs>
          <w:tab w:leader="none" w:pos="123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request of the Company.</w:t>
      </w:r>
    </w:p>
    <w:p>
      <w:pPr>
        <w:spacing w:after="0" w:line="62" w:lineRule="exact"/>
        <w:rPr>
          <w:rFonts w:ascii="Times New Roman" w:cs="Times New Roman" w:eastAsia="Times New Roman" w:hAnsi="Times New Roman"/>
          <w:sz w:val="18"/>
          <w:szCs w:val="18"/>
          <w:color w:val="auto"/>
        </w:rPr>
      </w:pPr>
    </w:p>
    <w:p>
      <w:pPr>
        <w:ind w:right="500" w:firstLine="987"/>
        <w:spacing w:after="0" w:line="286" w:lineRule="auto"/>
        <w:tabs>
          <w:tab w:leader="none" w:pos="124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46" w:lineRule="exact"/>
        <w:rPr>
          <w:rFonts w:ascii="Times New Roman" w:cs="Times New Roman" w:eastAsia="Times New Roman" w:hAnsi="Times New Roman"/>
          <w:sz w:val="18"/>
          <w:szCs w:val="18"/>
          <w:color w:val="auto"/>
        </w:rPr>
      </w:pPr>
    </w:p>
    <w:p>
      <w:pPr>
        <w:ind w:right="440" w:firstLine="987"/>
        <w:spacing w:after="0" w:line="286" w:lineRule="auto"/>
        <w:tabs>
          <w:tab w:leader="none" w:pos="123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partnership, joint venture, trust, employee benefit plan or other enterprise that Indemnitee is or was serving at the request of the Company as a director, officer, employee, agent or fiduciary.</w:t>
      </w:r>
    </w:p>
    <w:p>
      <w:pPr>
        <w:spacing w:after="0" w:line="46"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witness fees, travel expenses, duplicating costs, printing and binding costs, telephone charges, postage, delivery service fees,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including, without limitation, the premium, security for, and other costs relating to any cost bond, supersedeas bond, or other appeal bond or its equivalent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92" w:name="page393"/>
    <w:bookmarkEnd w:id="392"/>
    <w:p>
      <w:pPr>
        <w:ind w:left="4" w:hanging="4"/>
        <w:spacing w:after="0" w:line="256" w:lineRule="auto"/>
        <w:tabs>
          <w:tab w:leader="none" w:pos="26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only, Expenses incurred by Indemnitee in connection with the interpretation, enforcement or defense of Indemnitee’s rights under this Agreement, the Certificate of Incorporation, the Bylaws or under any directors’ and officers’ liability insurance policies maintained by the Company, by litigation or otherwise. Expenses, however, shall not include amounts paid in settlement by Indemnitee or the amount of judgments or fines against Indemnitee.</w:t>
      </w:r>
    </w:p>
    <w:p>
      <w:pPr>
        <w:spacing w:after="0" w:line="75"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at present is,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76"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2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including any appeal therefrom, in which Indemnitee was, is or will be involved as a party or otherwise, by reason of his or her Corporate Status, by reason of any action taken by him or her, or of any inaction on his or her part, while acting in his or her Corporate Status; in each case whether or not he or she is acting or serving in any such capacity at the time any liability or expense is incurred for which indemnification, reimbursement or advancement of expenses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his or her rights under this Agreement.</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71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393" w:name="page394"/>
    <w:bookmarkEnd w:id="393"/>
    <w:p>
      <w:pPr>
        <w:jc w:val="both"/>
        <w:ind w:right="340" w:firstLine="436"/>
        <w:spacing w:after="0" w:line="266" w:lineRule="auto"/>
        <w:tabs>
          <w:tab w:leader="none" w:pos="71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5" w:lineRule="exact"/>
        <w:rPr>
          <w:rFonts w:ascii="Times New Roman" w:cs="Times New Roman" w:eastAsia="Times New Roman" w:hAnsi="Times New Roman"/>
          <w:sz w:val="18"/>
          <w:szCs w:val="18"/>
          <w:color w:val="auto"/>
        </w:rPr>
      </w:pPr>
    </w:p>
    <w:p>
      <w:pPr>
        <w:jc w:val="both"/>
        <w:ind w:right="460" w:firstLine="436"/>
        <w:spacing w:after="0" w:line="261" w:lineRule="auto"/>
        <w:tabs>
          <w:tab w:leader="none" w:pos="71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9" w:lineRule="exact"/>
        <w:rPr>
          <w:rFonts w:ascii="Times New Roman" w:cs="Times New Roman" w:eastAsia="Times New Roman" w:hAnsi="Times New Roman"/>
          <w:sz w:val="18"/>
          <w:szCs w:val="18"/>
          <w:color w:val="auto"/>
        </w:rPr>
      </w:pPr>
    </w:p>
    <w:p>
      <w:pPr>
        <w:ind w:right="140" w:firstLine="436"/>
        <w:spacing w:after="0" w:line="258" w:lineRule="auto"/>
        <w:tabs>
          <w:tab w:leader="none" w:pos="71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Indemnitee at the address set forth below Indemnitee signature hereto.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Odyssey Therapeutics, Inc.</w:t>
      </w:r>
    </w:p>
    <w:p>
      <w:pPr>
        <w:spacing w:after="0" w:line="27" w:lineRule="exact"/>
        <w:rPr>
          <w:rFonts w:ascii="Times New Roman" w:cs="Times New Roman" w:eastAsia="Times New Roman" w:hAnsi="Times New Roman"/>
          <w:sz w:val="18"/>
          <w:szCs w:val="18"/>
          <w:color w:val="auto"/>
        </w:rPr>
      </w:pPr>
    </w:p>
    <w:p>
      <w:pPr>
        <w:ind w:left="1420" w:right="8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Sleeper Street Suite 800</w:t>
      </w:r>
    </w:p>
    <w:p>
      <w:pPr>
        <w:ind w:left="1420" w:right="7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Massachusetts 02210 Attention: Secretary</w:t>
      </w:r>
    </w:p>
    <w:p>
      <w:pPr>
        <w:spacing w:after="0" w:line="7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Covington &amp; Burling LLP</w:t>
      </w:r>
    </w:p>
    <w:p>
      <w:pPr>
        <w:spacing w:after="0" w:line="27" w:lineRule="exact"/>
        <w:rPr>
          <w:rFonts w:ascii="Times New Roman" w:cs="Times New Roman" w:eastAsia="Times New Roman" w:hAnsi="Times New Roman"/>
          <w:sz w:val="18"/>
          <w:szCs w:val="18"/>
          <w:color w:val="auto"/>
        </w:rPr>
      </w:pPr>
    </w:p>
    <w:p>
      <w:pPr>
        <w:ind w:left="1420" w:right="58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Times Building, 620 Eighth Avenue New York, New York 10018</w:t>
      </w:r>
    </w:p>
    <w:p>
      <w:pPr>
        <w:ind w:left="1420" w:right="70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Joseph Gangitano, Esq. jgangitano@cov.com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225" w:lineRule="exact"/>
        <w:rPr>
          <w:sz w:val="20"/>
          <w:szCs w:val="20"/>
          <w:color w:val="auto"/>
        </w:rPr>
      </w:pPr>
    </w:p>
    <w:p>
      <w:pPr>
        <w:ind w:firstLine="436"/>
        <w:spacing w:after="0" w:line="261" w:lineRule="auto"/>
        <w:tabs>
          <w:tab w:leader="none" w:pos="71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394" w:name="page395"/>
    <w:bookmarkEnd w:id="394"/>
    <w:p>
      <w:pPr>
        <w:ind w:left="4" w:right="220" w:firstLine="436"/>
        <w:spacing w:after="0" w:line="282" w:lineRule="auto"/>
        <w:tabs>
          <w:tab w:leader="none" w:pos="71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1" w:lineRule="exact"/>
        <w:rPr>
          <w:rFonts w:ascii="Times New Roman" w:cs="Times New Roman" w:eastAsia="Times New Roman" w:hAnsi="Times New Roman"/>
          <w:sz w:val="18"/>
          <w:szCs w:val="18"/>
          <w:color w:val="auto"/>
        </w:rPr>
      </w:pPr>
    </w:p>
    <w:p>
      <w:pPr>
        <w:ind w:left="4" w:firstLine="436"/>
        <w:spacing w:after="0" w:line="253" w:lineRule="auto"/>
        <w:tabs>
          <w:tab w:leader="none" w:pos="71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8"/>
          <w:szCs w:val="18"/>
          <w:b w:val="1"/>
          <w:bCs w:val="1"/>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w:t>
      </w:r>
    </w:p>
    <w:p>
      <w:pPr>
        <w:spacing w:after="0" w:line="5" w:lineRule="exact"/>
        <w:rPr>
          <w:rFonts w:ascii="Times New Roman" w:cs="Times New Roman" w:eastAsia="Times New Roman" w:hAnsi="Times New Roman"/>
          <w:sz w:val="18"/>
          <w:szCs w:val="18"/>
          <w:color w:val="auto"/>
        </w:rPr>
      </w:pPr>
    </w:p>
    <w:p>
      <w:pPr>
        <w:ind w:left="4" w:right="520" w:hanging="4"/>
        <w:spacing w:after="0" w:line="260" w:lineRule="auto"/>
        <w:tabs>
          <w:tab w:leader="none" w:pos="30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and agree not to plead or to make, any claim that any such action or proceeding brought in the Delaware Court has been brought in an improper or inconvenient forum.</w:t>
      </w:r>
    </w:p>
    <w:p>
      <w:pPr>
        <w:spacing w:after="0" w:line="18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Indemnification Agreement on and as of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165735</wp:posOffset>
            </wp:positionV>
            <wp:extent cx="27946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200"/>
          </w:cols>
          <w:pgMar w:left="880" w:top="270" w:right="819" w:bottom="1440" w:gutter="0" w:footer="0" w:header="0"/>
        </w:sectPr>
      </w:pPr>
    </w:p>
    <w:bookmarkStart w:id="396" w:name="page397"/>
    <w:bookmarkEnd w:id="396"/>
    <w:p>
      <w:pPr>
        <w:ind w:left="994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160"/>
        <w:spacing w:after="0" w:line="282" w:lineRule="auto"/>
        <w:rPr>
          <w:sz w:val="20"/>
          <w:szCs w:val="20"/>
          <w:color w:val="auto"/>
        </w:rPr>
      </w:pPr>
      <w:r>
        <w:rPr>
          <w:rFonts w:ascii="Times New Roman" w:cs="Times New Roman" w:eastAsia="Times New Roman" w:hAnsi="Times New Roman"/>
          <w:sz w:val="18"/>
          <w:szCs w:val="18"/>
          <w:color w:val="auto"/>
        </w:rPr>
        <w:t>***Certain identified information has been omitted from this exhibit because it is both (i) not material and (ii) of the type that the Registrant treats as private or confidential. Such omitted information is indicated by brackets (“[***]”) in this exhibit.***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OLLABORATION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Y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ETWEEN</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ERRAY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2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DYSSEY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Dated September 11, 2024</w:t>
      </w:r>
    </w:p>
    <w:p>
      <w:pPr>
        <w:sectPr>
          <w:pgSz w:w="11900" w:h="16838" w:orient="portrait"/>
          <w:cols w:equalWidth="0" w:num="1">
            <w:col w:w="10880"/>
          </w:cols>
          <w:pgMar w:left="580" w:top="117" w:right="43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77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7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COLLABORATION OVERVIEW</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IRF5 Program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RESEARCH</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Overview of Research Activities; Diligence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Plans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Candidates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Reports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Materials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Transfer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LICENSES; EXCLUSIVITY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License to Odyssey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License to Terray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Opt-Out License to Continuing Party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Sublicensing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Subcontracting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Unblocking License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Party In-Licenses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Exclusivity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Implied Licenses; Retained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GOVERNANCE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Steering Committee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Committees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Participants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Decision-Making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Resolution of Committee Disputes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Alliance Managers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DEVELOPMENT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Overview of Development Activities; Diligence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Plan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Reports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4"/>
        </w:trPr>
        <w:tc>
          <w:tcPr>
            <w:tcW w:w="780" w:type="dxa"/>
            <w:vAlign w:val="bottom"/>
          </w:tcPr>
          <w:p>
            <w:pPr>
              <w:spacing w:after="0"/>
              <w:rPr>
                <w:sz w:val="24"/>
                <w:szCs w:val="24"/>
                <w:color w:val="auto"/>
              </w:rPr>
            </w:pP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8" w:name="page399"/>
    <w:bookmarkEnd w:id="398"/>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REGULATORY AFFAIRS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Responsibilities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Cooperation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Involvement and Regulatory Authority Interactions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Costs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COMMERCIALIZATION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Effectiveness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Overview of Commercialization Activities; Diligence Obligations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Commercialization Plan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Commercialization Reports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MANUFACTURING AND SUPPLY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Responsibilities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Technology Transfer</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OUT-LICENSING TRANSACTIONS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Out-Licensing Transactions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Out-Licensing Criteria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Restriction on Encumbering IP</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Responsibility; Cooperation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Potential Transaction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Out-Licensing Costs and Income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OPT-OUT RIGHTS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to Opt-Out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Effects of Opt-Out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Re-Opt-In Right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PAYMENTS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Profit and Loss Sharing</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Following Opt-Out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Party Cost Reimbursement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Payments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Records and Audits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of Payment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12.7</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Late Fees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12.8</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Refunds; Offsets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12.9</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64"/>
        </w:trPr>
        <w:tc>
          <w:tcPr>
            <w:tcW w:w="820" w:type="dxa"/>
            <w:vAlign w:val="bottom"/>
          </w:tcPr>
          <w:p>
            <w:pPr>
              <w:spacing w:after="0"/>
              <w:rPr>
                <w:sz w:val="24"/>
                <w:szCs w:val="24"/>
                <w:color w:val="auto"/>
              </w:rPr>
            </w:pPr>
          </w:p>
        </w:tc>
        <w:tc>
          <w:tcPr>
            <w:tcW w:w="7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-ii-</w:t>
            </w:r>
          </w:p>
        </w:tc>
        <w:tc>
          <w:tcPr>
            <w:tcW w:w="2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9" w:name="page400"/>
    <w:bookmarkEnd w:id="399"/>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INTELLECTUAL PROPERTY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 Prosecution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 Enforcement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of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CONFIDENTIALITY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Use of Name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Publications and Presentations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REPRESENTATIONS, WARRANTIES, AND COVENANTS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Representations and Warranties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Representations of Terray as of the Effective Date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Representations of Odyssey as of the Effective Date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Covenants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Disclaimer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16 INDEMNIFICATION; LIMITED LIABILITY; INSURANCE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Terray by Odyssey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Odyssey by Terray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Indemnification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Losses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Consequential Damages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Obligations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17 TERM AND 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Effects of 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Surviving Provisions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18 MISCELLANEOUS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Dispute Resolution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Expedited Dispute Resolution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Baseball Arbitration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Designation of Affiliates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Injunctive Relief</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65"/>
        </w:trPr>
        <w:tc>
          <w:tcPr>
            <w:tcW w:w="820" w:type="dxa"/>
            <w:vAlign w:val="bottom"/>
          </w:tcPr>
          <w:p>
            <w:pPr>
              <w:spacing w:after="0"/>
              <w:rPr>
                <w:sz w:val="24"/>
                <w:szCs w:val="24"/>
                <w:color w:val="auto"/>
              </w:rPr>
            </w:pPr>
          </w:p>
        </w:tc>
        <w:tc>
          <w:tcPr>
            <w:tcW w:w="738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-iii-</w:t>
            </w:r>
          </w:p>
        </w:tc>
        <w:tc>
          <w:tcPr>
            <w:tcW w:w="2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0" w:name="page401"/>
    <w:bookmarkEnd w:id="400"/>
    <w:tbl>
      <w:tblPr>
        <w:tblLayout w:type="fixed"/>
        <w:tblInd w:w="3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18.6</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18.7</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Cumulative Remedies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18.8</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18.9</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Waiver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18.10</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 and Successors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18.11</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Contractors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18.12</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Party Beneficiary</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18.13</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18.14</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Interpretation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18.15</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Integration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18.16</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18.17</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18.18</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1.31 Collaboration Profit and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1.115 Other Opt-Out Profit and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1.182 Terray Platform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3.2.2 Initial Research Plan and Research Budget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12.2.1 Out-Licensing Net Proceeds Sharing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12.2.4 Opt-Out Royalty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18.1.2 Arbitration Procedure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401" w:name="page402"/>
    <w:bookmarkEnd w:id="4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COLLABORATION AND LICENSE AGREEMENT</w:t>
      </w:r>
    </w:p>
    <w:p>
      <w:pPr>
        <w:spacing w:after="0" w:line="225"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This COLLABORATION AND LICENSE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this 11th day of September,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Terray Therapeutics, Inc., a corporation organized under the laws of Delaware having its principal offices at 750 Royal Oaks Drive, Suite 100, Monrovia, CA 91016 (“</w:t>
      </w:r>
      <w:r>
        <w:rPr>
          <w:rFonts w:ascii="Times New Roman" w:cs="Times New Roman" w:eastAsia="Times New Roman" w:hAnsi="Times New Roman"/>
          <w:sz w:val="18"/>
          <w:szCs w:val="18"/>
          <w:b w:val="1"/>
          <w:bCs w:val="1"/>
          <w:color w:val="auto"/>
        </w:rPr>
        <w:t>Terray</w:t>
      </w:r>
      <w:r>
        <w:rPr>
          <w:rFonts w:ascii="Times New Roman" w:cs="Times New Roman" w:eastAsia="Times New Roman" w:hAnsi="Times New Roman"/>
          <w:sz w:val="18"/>
          <w:szCs w:val="18"/>
          <w:color w:val="auto"/>
        </w:rPr>
        <w:t>”), and Odyssey Therapeutics, Inc., a corporation organized under the laws of Delaware, having its principal offices at 51 Sleeper Street, Boston, MA 02210 (“</w:t>
      </w:r>
      <w:r>
        <w:rPr>
          <w:rFonts w:ascii="Times New Roman" w:cs="Times New Roman" w:eastAsia="Times New Roman" w:hAnsi="Times New Roman"/>
          <w:sz w:val="18"/>
          <w:szCs w:val="18"/>
          <w:b w:val="1"/>
          <w:bCs w:val="1"/>
          <w:color w:val="auto"/>
        </w:rPr>
        <w:t>Odyssey</w:t>
      </w:r>
      <w:r>
        <w:rPr>
          <w:rFonts w:ascii="Times New Roman" w:cs="Times New Roman" w:eastAsia="Times New Roman" w:hAnsi="Times New Roman"/>
          <w:sz w:val="18"/>
          <w:szCs w:val="18"/>
          <w:color w:val="auto"/>
        </w:rPr>
        <w:t>”). Terray and Odyssey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Terray possesses a proprietary artificial intelligence-enabled drug discovery and development platform and Know-How.</w:t>
      </w:r>
    </w:p>
    <w:p>
      <w:pPr>
        <w:spacing w:after="0" w:line="225"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Odyssey possesses expertise in discovering and developing human therapeutics, including through the use of artificial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intelligence/machine learning drug discovery; and</w:t>
      </w:r>
    </w:p>
    <w:p>
      <w:pPr>
        <w:spacing w:after="0" w:line="155" w:lineRule="exact"/>
        <w:rPr>
          <w:sz w:val="20"/>
          <w:szCs w:val="20"/>
          <w:color w:val="auto"/>
        </w:rPr>
      </w:pPr>
    </w:p>
    <w:p>
      <w:pPr>
        <w:ind w:right="3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collaborate to discover, develop and commercialize or out-license products directed to IRF5 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and loss share arrangement, subject to rights of a Party to opt-out.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3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ARTICLE 1</w:t>
            </w:r>
          </w:p>
        </w:tc>
      </w:tr>
      <w:tr>
        <w:trPr>
          <w:trHeight w:val="238"/>
        </w:trPr>
        <w:tc>
          <w:tcPr>
            <w:tcW w:w="600" w:type="dxa"/>
            <w:vAlign w:val="bottom"/>
          </w:tcPr>
          <w:p>
            <w:pPr>
              <w:spacing w:after="0"/>
              <w:rPr>
                <w:sz w:val="20"/>
                <w:szCs w:val="20"/>
                <w:color w:val="auto"/>
              </w:rPr>
            </w:pPr>
          </w:p>
        </w:tc>
        <w:tc>
          <w:tcPr>
            <w:tcW w:w="103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DEFINITIONS</w:t>
            </w:r>
          </w:p>
        </w:tc>
      </w:tr>
      <w:tr>
        <w:trPr>
          <w:trHeight w:val="432"/>
        </w:trPr>
        <w:tc>
          <w:tcPr>
            <w:tcW w:w="600" w:type="dxa"/>
            <w:vAlign w:val="bottom"/>
          </w:tcPr>
          <w:p>
            <w:pPr>
              <w:spacing w:after="0"/>
              <w:rPr>
                <w:sz w:val="24"/>
                <w:szCs w:val="24"/>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following terms, whether used in the singular or plural, will have the following meanings:</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Active Ingredient</w:t>
            </w:r>
            <w:r>
              <w:rPr>
                <w:rFonts w:ascii="Times New Roman" w:cs="Times New Roman" w:eastAsia="Times New Roman" w:hAnsi="Times New Roman"/>
                <w:sz w:val="18"/>
                <w:szCs w:val="18"/>
                <w:color w:val="auto"/>
              </w:rPr>
              <w:t>” means any material that provides pharmacological activity to treat, ameliorate or prevent a disease or condition in a</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pharmaceutical product (excluding formulation components such as coatings, stabilizers, excipients or solvents, adjuvants or controlled</w:t>
            </w:r>
          </w:p>
        </w:tc>
      </w:tr>
      <w:tr>
        <w:trPr>
          <w:trHeight w:val="234"/>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release technologies).</w:t>
            </w:r>
          </w:p>
        </w:tc>
      </w:tr>
      <w:tr>
        <w:trPr>
          <w:trHeight w:val="3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Unbudgeted Expenses</w:t>
            </w:r>
            <w:r>
              <w:rPr>
                <w:rFonts w:ascii="Times New Roman" w:cs="Times New Roman" w:eastAsia="Times New Roman" w:hAnsi="Times New Roman"/>
                <w:sz w:val="18"/>
                <w:szCs w:val="18"/>
                <w:color w:val="auto"/>
              </w:rPr>
              <w:t>” means with respect to a period of time, the total sum of [***] in each case, for such period.</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Person controlling, controlled by or under common control with such Person. For</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purposes of this Section 1.3 (Affiliate), the term “control” (including, with correlative meaning, the terms “controlled by” and “under</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control with”), means the possession, directly or indirectly, of more than 50% of the voting stock or other ownership interest of</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such Person, or the possession, directly or indirectly, of the power to direct or cause the direction of the affairs or management and policies</w:t>
            </w:r>
          </w:p>
        </w:tc>
      </w:tr>
      <w:tr>
        <w:trPr>
          <w:trHeight w:val="234"/>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such Person or the power to elect or appoint more than 50% of the members of the governing body of such Person.</w:t>
            </w:r>
          </w:p>
        </w:tc>
      </w:tr>
      <w:tr>
        <w:trPr>
          <w:trHeight w:val="3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has the meaning set forth in Section 5.7 (Alliance Managers).</w:t>
            </w:r>
          </w:p>
        </w:tc>
      </w:tr>
      <w:tr>
        <w:trPr>
          <w:trHeight w:val="3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Allowable Overruns</w:t>
            </w:r>
            <w:r>
              <w:rPr>
                <w:rFonts w:ascii="Times New Roman" w:cs="Times New Roman" w:eastAsia="Times New Roman" w:hAnsi="Times New Roman"/>
                <w:sz w:val="18"/>
                <w:szCs w:val="18"/>
                <w:color w:val="auto"/>
              </w:rPr>
              <w:t>” means, [***].</w:t>
            </w:r>
          </w:p>
        </w:tc>
      </w:tr>
      <w:tr>
        <w:trPr>
          <w:trHeight w:val="365"/>
        </w:trPr>
        <w:tc>
          <w:tcPr>
            <w:tcW w:w="600" w:type="dxa"/>
            <w:vAlign w:val="bottom"/>
          </w:tcPr>
          <w:p>
            <w:pPr>
              <w:spacing w:after="0"/>
              <w:rPr>
                <w:sz w:val="24"/>
                <w:szCs w:val="24"/>
                <w:color w:val="auto"/>
              </w:rPr>
            </w:pPr>
          </w:p>
        </w:tc>
        <w:tc>
          <w:tcPr>
            <w:tcW w:w="103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5"/>
              </w:rPr>
              <w:t>-1-</w:t>
            </w:r>
          </w:p>
        </w:tc>
      </w:tr>
    </w:tbl>
    <w:p>
      <w:pPr>
        <w:sectPr>
          <w:pgSz w:w="11900" w:h="16838" w:orient="portrait"/>
          <w:cols w:equalWidth="0" w:num="1">
            <w:col w:w="10980"/>
          </w:cols>
          <w:pgMar w:left="440" w:top="266" w:right="479" w:bottom="1440" w:gutter="0" w:footer="0" w:header="0"/>
        </w:sectPr>
      </w:pPr>
    </w:p>
    <w:bookmarkStart w:id="402" w:name="page403"/>
    <w:bookmarkEnd w:id="4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applicable federal, state, local, municipal, foreign, or other law, statute, legislation, principle of common</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law, ordinance, code, rule, regulation, or other pronouncement issued, enacted, adopted, passed, approved, promulgated, made,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implemented, or otherwise put into effect by or under the authority of any Governmental Authority, including the applicable regulations</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and guidance of the FDA and European Union (and national implementations thereof) that constitute cGLP practices, cGMP practices, and</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cGCP practices (and, if and as appropriate under the circumstances, International Conference on Harmonization (ICH) guidance or other</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comparable regulation and guidance of any applicable Governmental Authority).</w:t>
            </w:r>
          </w:p>
        </w:tc>
      </w:tr>
      <w:tr>
        <w:trPr>
          <w:trHeight w:val="3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has the meaning set forth in Section 12.5.1 (Books and Records).</w:t>
            </w:r>
          </w:p>
        </w:tc>
      </w:tr>
      <w:tr>
        <w:trPr>
          <w:trHeight w:val="3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has the meaning set forth in Section 12.5.1 (Books and Records).</w:t>
            </w:r>
          </w:p>
        </w:tc>
      </w:tr>
      <w:tr>
        <w:trPr>
          <w:trHeight w:val="3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has the meaning set forth in Section 12.5.1 (Books and Records).</w:t>
            </w:r>
          </w:p>
        </w:tc>
      </w:tr>
      <w:tr>
        <w:trPr>
          <w:trHeight w:val="319"/>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Background IP</w:t>
            </w:r>
            <w:r>
              <w:rPr>
                <w:rFonts w:ascii="Times New Roman" w:cs="Times New Roman" w:eastAsia="Times New Roman" w:hAnsi="Times New Roman"/>
                <w:sz w:val="18"/>
                <w:szCs w:val="18"/>
                <w:color w:val="auto"/>
                <w:w w:val="99"/>
              </w:rPr>
              <w:t>” means any Know-How or Patent Rights which (a) are Controlled by a Party or its Affiliates before the Effective Date or</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 which come into a Party’s or its Affiliate’s Control during the Term but outside the scope of this Agreement, in each case ((a) and (b)),</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excluding, [***].</w:t>
            </w:r>
          </w:p>
        </w:tc>
      </w:tr>
      <w:tr>
        <w:trPr>
          <w:trHeight w:val="3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 Party</w:t>
            </w:r>
            <w:r>
              <w:rPr>
                <w:rFonts w:ascii="Times New Roman" w:cs="Times New Roman" w:eastAsia="Times New Roman" w:hAnsi="Times New Roman"/>
                <w:sz w:val="18"/>
                <w:szCs w:val="18"/>
                <w:color w:val="auto"/>
              </w:rPr>
              <w:t>” has the meaning set forth in Section 17.2.3 (Termination for Bankruptcy).</w:t>
            </w:r>
          </w:p>
        </w:tc>
      </w:tr>
      <w:tr>
        <w:trPr>
          <w:trHeight w:val="3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Baseball Arbitration Matter</w:t>
            </w:r>
            <w:r>
              <w:rPr>
                <w:rFonts w:ascii="Times New Roman" w:cs="Times New Roman" w:eastAsia="Times New Roman" w:hAnsi="Times New Roman"/>
                <w:sz w:val="18"/>
                <w:szCs w:val="18"/>
                <w:color w:val="auto"/>
              </w:rPr>
              <w:t>” has the meaning set forth in Section 18.3 (Baseball Arbitration).</w:t>
            </w:r>
          </w:p>
        </w:tc>
      </w:tr>
      <w:tr>
        <w:trPr>
          <w:trHeight w:val="319"/>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1.13</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that is not a Saturday, Sunday, or a day on which banking institutions in Boston, Massachusetts or Los</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Angeles, California are authorized or required by Applicable Law to remain closed.</w:t>
            </w:r>
          </w:p>
        </w:tc>
      </w:tr>
      <w:tr>
        <w:trPr>
          <w:trHeight w:val="319"/>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1.14</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each period of three consecutive calendar months ending on March 31, June 30, September 30, or</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December 31, except that the first Calendar Quarter of the Term will commence on the Effective Date, and the last Calendar Quarter of the</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will end on the effective date of the termination or expiration of this Agreement.</w:t>
            </w:r>
          </w:p>
        </w:tc>
      </w:tr>
      <w:tr>
        <w:trPr>
          <w:trHeight w:val="319"/>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1.15</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period of 12 consecutive calendar months commencing on January 1 and ending on December 31, except</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that the first Calendar Year of the Term will commence on the Effective Date, and the last Calendar Year of the Term will end on the</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effective date of the termination or expiration of this Agreement.</w:t>
            </w:r>
          </w:p>
        </w:tc>
      </w:tr>
      <w:tr>
        <w:trPr>
          <w:trHeight w:val="3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1.16</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CDA</w:t>
            </w:r>
            <w:r>
              <w:rPr>
                <w:rFonts w:ascii="Times New Roman" w:cs="Times New Roman" w:eastAsia="Times New Roman" w:hAnsi="Times New Roman"/>
                <w:sz w:val="18"/>
                <w:szCs w:val="18"/>
                <w:color w:val="auto"/>
              </w:rPr>
              <w:t>” has the meaning set forth in Section 1.40 (Confidential Information).</w:t>
            </w:r>
          </w:p>
        </w:tc>
      </w:tr>
      <w:tr>
        <w:trPr>
          <w:trHeight w:val="319"/>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1.17</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cGCP</w:t>
            </w:r>
            <w:r>
              <w:rPr>
                <w:rFonts w:ascii="Times New Roman" w:cs="Times New Roman" w:eastAsia="Times New Roman" w:hAnsi="Times New Roman"/>
                <w:sz w:val="18"/>
                <w:szCs w:val="18"/>
                <w:color w:val="auto"/>
              </w:rPr>
              <w:t>” means the then-current ethical, scientific, and quality standards as required by FDA for designing, conducting, recording, and</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reporting trials that involve the participation of human subjects, as set forth in FDA regulations in 21 C.F.R. Parts 11, 50, 54, 56, and 312</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related FDA guidance documents, and by the International Conference on Harmonization E6: Good Clinical Practices Consolidated</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Guideline, or as otherwise required by Applicable Law.</w:t>
            </w:r>
          </w:p>
        </w:tc>
      </w:tr>
      <w:tr>
        <w:trPr>
          <w:trHeight w:val="365"/>
        </w:trPr>
        <w:tc>
          <w:tcPr>
            <w:tcW w:w="640" w:type="dxa"/>
            <w:vAlign w:val="bottom"/>
          </w:tcPr>
          <w:p>
            <w:pPr>
              <w:spacing w:after="0"/>
              <w:rPr>
                <w:sz w:val="24"/>
                <w:szCs w:val="24"/>
                <w:color w:val="auto"/>
              </w:rPr>
            </w:pPr>
          </w:p>
        </w:tc>
        <w:tc>
          <w:tcPr>
            <w:tcW w:w="103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80"/>
          </w:cols>
          <w:pgMar w:left="440" w:top="266" w:right="479" w:bottom="1440" w:gutter="0" w:footer="0" w:header="0"/>
        </w:sectPr>
      </w:pPr>
    </w:p>
    <w:bookmarkStart w:id="403" w:name="page404"/>
    <w:bookmarkEnd w:id="4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1.18</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cGLP</w:t>
            </w:r>
            <w:r>
              <w:rPr>
                <w:rFonts w:ascii="Times New Roman" w:cs="Times New Roman" w:eastAsia="Times New Roman" w:hAnsi="Times New Roman"/>
                <w:sz w:val="18"/>
                <w:szCs w:val="18"/>
                <w:color w:val="auto"/>
              </w:rPr>
              <w:t>” means the then-current good laboratory practice as required by the FDA under 21 C.F.R. Part 58 and all applicable FDA rules,</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regulations, orders, and guidances, and the requirements with respect to current good laboratory practices prescribed by the European</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Community, the OECD (Organization for Economic Cooperation and Development Council) and the ICH Guidelines, or as otherwise</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required by Applicable Law.</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1.19</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the then-current good manufacturing practices as required by the FDA under provisions of 21 C.F.R. Parts 210 and 211</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all applicable FDA rules, regulations, orders, and guidances, and the requirements with respect to current good manufacturing</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practices prescribed by the European Community under provisions of “The Rules Governing Medicinal Products in the European</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Community, Volume 4, Good Manufacturing Practices, Annex 13, Manufacture of Investigational Medicinal Products, July 2003,” or as</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otherwise required by Applicable Law.</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1.20</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(a) a merger, reorganization, combination, or consolidation of such Party with a</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Party that results in the holders of beneficial ownership of the voting securities or other voting interests of such Party (or, if</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 the ultimate parent of such Party) immediately prior to such merger, reorganization, combination, or consolidation ceasing to</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hold beneficial ownership of more than 50% of the combined voting power of the surviving entity or the ultimate parent of the surviving</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entity immediately after such merger, reorganization, combination or consolidation, (b) a transaction or series of related transactions in</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which a Third Party, together with its Affiliates, becomes the beneficial owner of 50% or more of the combined voting power of the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outstanding securities or other voting interest of such Party, or (c) the sale, exchange, contribution, or other transfer (in one transaction or a</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of related transactions) to a Third Party of all or substantially all of such Party’s assets. Notwithstanding the foregoing clauses (a) or</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 a bona fide private equity financing of a Party or a registered underwritten initial public equity offering or public direct listing of</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interests of a Party shall not constitute a Change of Control.</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1.21</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has the meaning set forth in Section 18.1.1 (Escalation).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1.22</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Trial</w:t>
            </w:r>
            <w:r>
              <w:rPr>
                <w:rFonts w:ascii="Times New Roman" w:cs="Times New Roman" w:eastAsia="Times New Roman" w:hAnsi="Times New Roman"/>
                <w:sz w:val="18"/>
                <w:szCs w:val="18"/>
                <w:color w:val="auto"/>
              </w:rPr>
              <w:t>” means any clinical trial in humans designed to generate data in support or maintenance of an IND or MAA, or other</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similar marketing application, including all Phase 1 Clinical Trials, Phase 2 Clinical Trials, Phase 2b Clinical Trials, Phase 3 Clinical</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Trials, Registrational Trials, or Post Approval Clinical Trials.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1.23</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Compound</w:t>
            </w:r>
            <w:r>
              <w:rPr>
                <w:rFonts w:ascii="Times New Roman" w:cs="Times New Roman" w:eastAsia="Times New Roman" w:hAnsi="Times New Roman"/>
                <w:sz w:val="18"/>
                <w:szCs w:val="18"/>
                <w:color w:val="auto"/>
              </w:rPr>
              <w:t>” means a compound that (a) (i) is Controlled by a Party or its Affiliates on the Effective Date and is the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subject of and researched or developed in the performance of the Research Activities, or (ii) is first Controlled by a Party after the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Effective Date and was identified, developed, or generated by such Party in the performance of its Research Activities, and (b) satisfies the</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Inclusion Criteria.</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1.24</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Compound Know-How</w:t>
            </w:r>
            <w:r>
              <w:rPr>
                <w:rFonts w:ascii="Times New Roman" w:cs="Times New Roman" w:eastAsia="Times New Roman" w:hAnsi="Times New Roman"/>
                <w:sz w:val="18"/>
                <w:szCs w:val="18"/>
                <w:color w:val="auto"/>
              </w:rPr>
              <w:t>” means all Know-How, whether (a) Controlled by a Party or its Affiliates prior to the Effective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 or which comes into a Party’s or its Affiliate’s Control during the Term but outside the scope of this Agreement, or (b) developed,</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invented, or otherwise arising during the Term in the performance of activities under the Research Plan, Development Plan or</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Commercialization Plan by or on behalf of one or both Parties or its or their Affiliates, licensees (other than Third Party Out-Licensees) or</w:t>
            </w:r>
          </w:p>
        </w:tc>
      </w:tr>
    </w:tbl>
    <w:p>
      <w:pPr>
        <w:ind w:left="980" w:right="860"/>
        <w:spacing w:after="0" w:line="260" w:lineRule="auto"/>
        <w:rPr>
          <w:sz w:val="20"/>
          <w:szCs w:val="20"/>
          <w:color w:val="auto"/>
        </w:rPr>
      </w:pPr>
      <w:r>
        <w:rPr>
          <w:rFonts w:ascii="Times New Roman" w:cs="Times New Roman" w:eastAsia="Times New Roman" w:hAnsi="Times New Roman"/>
          <w:sz w:val="18"/>
          <w:szCs w:val="18"/>
          <w:color w:val="auto"/>
        </w:rPr>
        <w:t>Sublicensees under this Agreement, in each case ((a) and (b)), with respect to the Collaboration Compounds; provided that, the Collaboration Compound Know-How shall not include [***].</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1.25</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Compound Patent Rights</w:t>
            </w:r>
            <w:r>
              <w:rPr>
                <w:rFonts w:ascii="Times New Roman" w:cs="Times New Roman" w:eastAsia="Times New Roman" w:hAnsi="Times New Roman"/>
                <w:sz w:val="18"/>
                <w:szCs w:val="18"/>
                <w:color w:val="auto"/>
              </w:rPr>
              <w:t>” means all Patent Rights Controlled by one or both Parties that Cover the Collaboration</w:t>
            </w:r>
          </w:p>
        </w:tc>
      </w:tr>
      <w:tr>
        <w:trPr>
          <w:trHeight w:val="234"/>
        </w:trPr>
        <w:tc>
          <w:tcPr>
            <w:tcW w:w="64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Compound Know-How.</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1.26</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Compound Technology</w:t>
            </w:r>
            <w:r>
              <w:rPr>
                <w:rFonts w:ascii="Times New Roman" w:cs="Times New Roman" w:eastAsia="Times New Roman" w:hAnsi="Times New Roman"/>
                <w:sz w:val="18"/>
                <w:szCs w:val="18"/>
                <w:color w:val="auto"/>
              </w:rPr>
              <w:t>” means Collaboration Compound Know-How and Collaboration Compound Patent Rights.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1.27</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In-License</w:t>
            </w:r>
            <w:r>
              <w:rPr>
                <w:rFonts w:ascii="Times New Roman" w:cs="Times New Roman" w:eastAsia="Times New Roman" w:hAnsi="Times New Roman"/>
                <w:sz w:val="18"/>
                <w:szCs w:val="18"/>
                <w:color w:val="auto"/>
              </w:rPr>
              <w:t>” means any Potential In-License that an In-Licensing Party enters into in accordance with Section 4.7.2(b)</w:t>
            </w:r>
          </w:p>
        </w:tc>
      </w:tr>
      <w:tr>
        <w:trPr>
          <w:trHeight w:val="234"/>
        </w:trPr>
        <w:tc>
          <w:tcPr>
            <w:tcW w:w="64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(Negotiation of Potential In-License).</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1.28</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Know-How</w:t>
            </w:r>
            <w:r>
              <w:rPr>
                <w:rFonts w:ascii="Times New Roman" w:cs="Times New Roman" w:eastAsia="Times New Roman" w:hAnsi="Times New Roman"/>
                <w:sz w:val="18"/>
                <w:szCs w:val="18"/>
                <w:color w:val="auto"/>
              </w:rPr>
              <w:t>” means any Know-How developed, invented, or otherwise arising during the Term in the performance of</w:t>
            </w:r>
          </w:p>
        </w:tc>
      </w:tr>
      <w:tr>
        <w:trPr>
          <w:trHeight w:val="216"/>
        </w:trPr>
        <w:tc>
          <w:tcPr>
            <w:tcW w:w="64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 under the Research Plan, Development Plan or Commercialization Plan by or on behalf of one or both Parties or its or their</w:t>
            </w:r>
          </w:p>
        </w:tc>
      </w:tr>
      <w:tr>
        <w:trPr>
          <w:trHeight w:val="234"/>
        </w:trPr>
        <w:tc>
          <w:tcPr>
            <w:tcW w:w="64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Affiliates, licensees (other than Third Party Out-Licensees) or Sublicensees under this Agreement.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1.29</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Patent Right</w:t>
            </w:r>
            <w:r>
              <w:rPr>
                <w:rFonts w:ascii="Times New Roman" w:cs="Times New Roman" w:eastAsia="Times New Roman" w:hAnsi="Times New Roman"/>
                <w:sz w:val="18"/>
                <w:szCs w:val="18"/>
                <w:color w:val="auto"/>
              </w:rPr>
              <w:t>” means any Patent Right that (a) Covers any Collaboration Know-How and (b) has a priority date after the</w:t>
            </w:r>
          </w:p>
        </w:tc>
      </w:tr>
      <w:tr>
        <w:trPr>
          <w:trHeight w:val="234"/>
        </w:trPr>
        <w:tc>
          <w:tcPr>
            <w:tcW w:w="64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Effective Date.</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1.30</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 xml:space="preserve">“Collaboration Profit” </w:t>
            </w:r>
            <w:r>
              <w:rPr>
                <w:rFonts w:ascii="Times New Roman" w:cs="Times New Roman" w:eastAsia="Times New Roman" w:hAnsi="Times New Roman"/>
                <w:sz w:val="18"/>
                <w:szCs w:val="18"/>
                <w:color w:val="auto"/>
                <w:w w:val="99"/>
              </w:rPr>
              <w:t>and “Collaboration Losses” has the meaning set forth in Schedule 1.31 (Collaboration Profit and Loss), as may be</w:t>
            </w:r>
          </w:p>
        </w:tc>
      </w:tr>
      <w:tr>
        <w:trPr>
          <w:trHeight w:val="234"/>
        </w:trPr>
        <w:tc>
          <w:tcPr>
            <w:tcW w:w="64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by the JSC from time to time.</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1.31</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has the meaning set forth is Section 1.99 (Net Sales).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1.32</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with respect to a product, any and all activities directed to the marketing, advertising, promotion, medical</w:t>
            </w:r>
          </w:p>
        </w:tc>
      </w:tr>
      <w:tr>
        <w:trPr>
          <w:trHeight w:val="216"/>
        </w:trPr>
        <w:tc>
          <w:tcPr>
            <w:tcW w:w="64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affairs, branding, distribution, pricing, reimbursement, import, export, offering for sale, having sold, booking of sales, patient access</w:t>
            </w:r>
          </w:p>
        </w:tc>
      </w:tr>
      <w:tr>
        <w:trPr>
          <w:trHeight w:val="216"/>
        </w:trPr>
        <w:tc>
          <w:tcPr>
            <w:tcW w:w="64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 payer market access strategy, and sale of such product, pre-launch activities to prepare a market for potential sales and</w:t>
            </w:r>
          </w:p>
        </w:tc>
      </w:tr>
      <w:tr>
        <w:trPr>
          <w:trHeight w:val="212"/>
        </w:trPr>
        <w:tc>
          <w:tcPr>
            <w:tcW w:w="64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interacting with Regulatory Authorities regarding any of the foregoing, including seeking and maintaining any required Pricing Approval,</w:t>
            </w:r>
          </w:p>
        </w:tc>
      </w:tr>
      <w:tr>
        <w:trPr>
          <w:trHeight w:val="220"/>
        </w:trPr>
        <w:tc>
          <w:tcPr>
            <w:tcW w:w="6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but excluding any activities directed to Manufacturing or Development.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Commercialized</w:t>
            </w:r>
            <w:r>
              <w:rPr>
                <w:rFonts w:ascii="Times New Roman" w:cs="Times New Roman" w:eastAsia="Times New Roman" w:hAnsi="Times New Roman"/>
                <w:sz w:val="18"/>
                <w:szCs w:val="18"/>
                <w:color w:val="auto"/>
              </w:rPr>
              <w:t>”</w:t>
            </w:r>
          </w:p>
        </w:tc>
      </w:tr>
      <w:tr>
        <w:trPr>
          <w:trHeight w:val="234"/>
        </w:trPr>
        <w:tc>
          <w:tcPr>
            <w:tcW w:w="64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will be construed accordingly.</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1.33</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 Approval</w:t>
            </w:r>
            <w:r>
              <w:rPr>
                <w:rFonts w:ascii="Times New Roman" w:cs="Times New Roman" w:eastAsia="Times New Roman" w:hAnsi="Times New Roman"/>
                <w:sz w:val="18"/>
                <w:szCs w:val="18"/>
                <w:color w:val="auto"/>
              </w:rPr>
              <w:t>” has the meaning set forth in Section 8.1 (Effectiveness).</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1.34</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 Budget</w:t>
            </w:r>
            <w:r>
              <w:rPr>
                <w:rFonts w:ascii="Times New Roman" w:cs="Times New Roman" w:eastAsia="Times New Roman" w:hAnsi="Times New Roman"/>
                <w:sz w:val="18"/>
                <w:szCs w:val="18"/>
                <w:color w:val="auto"/>
              </w:rPr>
              <w:t>” has the meaning set forth in Section 8.3.3 (Commercialization Costs; Commercialization Budget).</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1.35</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 Plan</w:t>
            </w:r>
            <w:r>
              <w:rPr>
                <w:rFonts w:ascii="Times New Roman" w:cs="Times New Roman" w:eastAsia="Times New Roman" w:hAnsi="Times New Roman"/>
                <w:sz w:val="18"/>
                <w:szCs w:val="18"/>
                <w:color w:val="auto"/>
              </w:rPr>
              <w:t>” has the meaning set forth in Section 8.3.1 (Content of Commercialization Plan).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1.36</w:t>
            </w: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the efforts to be expended by a Party or its Affiliates with respect to any</w:t>
            </w:r>
          </w:p>
        </w:tc>
      </w:tr>
      <w:tr>
        <w:trPr>
          <w:trHeight w:val="234"/>
        </w:trPr>
        <w:tc>
          <w:tcPr>
            <w:tcW w:w="64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objective or activity under this Agreement by a Party, those efforts and resources, [***].</w:t>
            </w:r>
          </w:p>
        </w:tc>
      </w:tr>
      <w:tr>
        <w:trPr>
          <w:trHeight w:val="365"/>
        </w:trPr>
        <w:tc>
          <w:tcPr>
            <w:tcW w:w="640" w:type="dxa"/>
            <w:vAlign w:val="bottom"/>
          </w:tcPr>
          <w:p>
            <w:pPr>
              <w:spacing w:after="0"/>
              <w:rPr>
                <w:sz w:val="24"/>
                <w:szCs w:val="24"/>
                <w:color w:val="auto"/>
              </w:rPr>
            </w:pPr>
          </w:p>
        </w:tc>
        <w:tc>
          <w:tcPr>
            <w:tcW w:w="1032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-4-</w:t>
            </w:r>
          </w:p>
        </w:tc>
      </w:tr>
    </w:tbl>
    <w:p>
      <w:pPr>
        <w:ind w:left="4760"/>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5" w:name="page406"/>
    <w:bookmarkEnd w:id="405"/>
    <w:tbl>
      <w:tblPr>
        <w:tblLayout w:type="fixed"/>
        <w:tblInd w:w="0" w:type="dxa"/>
        <w:tblCellMar>
          <w:top w:w="0" w:type="dxa"/>
          <w:left w:w="0" w:type="dxa"/>
          <w:bottom w:w="0" w:type="dxa"/>
          <w:right w:w="0" w:type="dxa"/>
        </w:tblCellMar>
      </w:tblPr>
      <w:tr>
        <w:trPr>
          <w:trHeight w:val="2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1.37</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Activities</w:t>
            </w:r>
            <w:r>
              <w:rPr>
                <w:rFonts w:ascii="Times New Roman" w:cs="Times New Roman" w:eastAsia="Times New Roman" w:hAnsi="Times New Roman"/>
                <w:sz w:val="18"/>
                <w:szCs w:val="18"/>
                <w:color w:val="auto"/>
              </w:rPr>
              <w:t>” has the meaning set forth in Section 4.8.1 (Covenant).</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1.38</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Competitive Infringement</w:t>
            </w:r>
            <w:r>
              <w:rPr>
                <w:rFonts w:ascii="Times New Roman" w:cs="Times New Roman" w:eastAsia="Times New Roman" w:hAnsi="Times New Roman"/>
                <w:sz w:val="18"/>
                <w:szCs w:val="18"/>
                <w:color w:val="auto"/>
              </w:rPr>
              <w:t>” has the meaning set forth in Section 13.3.1 (Notification).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1.39</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Completion</w:t>
            </w:r>
            <w:r>
              <w:rPr>
                <w:rFonts w:ascii="Times New Roman" w:cs="Times New Roman" w:eastAsia="Times New Roman" w:hAnsi="Times New Roman"/>
                <w:sz w:val="18"/>
                <w:szCs w:val="18"/>
                <w:color w:val="auto"/>
                <w:w w:val="99"/>
              </w:rPr>
              <w:t>” means, with respect to a Clinical Trial, the point in time at which database lock for such trial has occurred and, if such trial</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has a statistical analysis plan, the point in time at which the primary endpoint and key safety data (including tables, listings and figures</w:t>
            </w:r>
          </w:p>
        </w:tc>
      </w:tr>
      <w:tr>
        <w:trPr>
          <w:trHeight w:val="234"/>
        </w:trPr>
        <w:tc>
          <w:tcPr>
            <w:tcW w:w="64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generated based on that database lock) under the statistical analysis plan for such trial are available.</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1.40</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 any and all confidential or proprietary information and data, including scientific, pre clinical,</w:t>
            </w:r>
          </w:p>
        </w:tc>
      </w:tr>
      <w:tr>
        <w:trPr>
          <w:trHeight w:val="212"/>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clinical, regulatory, manufacturing, marketing, financial and commercial information or data, unpublished patent applications, and</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related thereto and set forth therein, in each case, that is or has been provided by or on behalf of one Party (the “</w:t>
            </w:r>
            <w:r>
              <w:rPr>
                <w:rFonts w:ascii="Times New Roman" w:cs="Times New Roman" w:eastAsia="Times New Roman" w:hAnsi="Times New Roman"/>
                <w:sz w:val="18"/>
                <w:szCs w:val="18"/>
                <w:b w:val="1"/>
                <w:bCs w:val="1"/>
                <w:color w:val="auto"/>
              </w:rPr>
              <w:t>Disclosing</w:t>
            </w:r>
          </w:p>
        </w:tc>
      </w:tr>
      <w:tr>
        <w:trPr>
          <w:trHeight w:val="220"/>
        </w:trPr>
        <w:tc>
          <w:tcPr>
            <w:tcW w:w="640" w:type="dxa"/>
            <w:vAlign w:val="bottom"/>
          </w:tcPr>
          <w:p>
            <w:pPr>
              <w:spacing w:after="0"/>
              <w:rPr>
                <w:sz w:val="19"/>
                <w:szCs w:val="19"/>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with respect to such information) to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with respect to such information) in connection with</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this Agreement or any related negotiations, discussions, or diligence, whether communicated in writing or orally or by any other method,</w:t>
            </w:r>
          </w:p>
        </w:tc>
      </w:tr>
      <w:tr>
        <w:trPr>
          <w:trHeight w:val="212"/>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 the terms of this Agreement, and (c) all information disclosed by a Party under that certain Mutual Nondisclosure Agreement between</w:t>
            </w:r>
          </w:p>
        </w:tc>
      </w:tr>
      <w:tr>
        <w:trPr>
          <w:trHeight w:val="220"/>
        </w:trPr>
        <w:tc>
          <w:tcPr>
            <w:tcW w:w="640" w:type="dxa"/>
            <w:vAlign w:val="bottom"/>
          </w:tcPr>
          <w:p>
            <w:pPr>
              <w:spacing w:after="0"/>
              <w:rPr>
                <w:sz w:val="19"/>
                <w:szCs w:val="19"/>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Parties dated [***] (as amended, the “</w:t>
            </w:r>
            <w:r>
              <w:rPr>
                <w:rFonts w:ascii="Times New Roman" w:cs="Times New Roman" w:eastAsia="Times New Roman" w:hAnsi="Times New Roman"/>
                <w:sz w:val="18"/>
                <w:szCs w:val="18"/>
                <w:b w:val="1"/>
                <w:bCs w:val="1"/>
                <w:color w:val="auto"/>
              </w:rPr>
              <w:t>CDA</w:t>
            </w:r>
            <w:r>
              <w:rPr>
                <w:rFonts w:ascii="Times New Roman" w:cs="Times New Roman" w:eastAsia="Times New Roman" w:hAnsi="Times New Roman"/>
                <w:sz w:val="18"/>
                <w:szCs w:val="18"/>
                <w:color w:val="auto"/>
              </w:rPr>
              <w:t>”), which information will be deemed the Confidential Information of the disclosing Party</w:t>
            </w:r>
          </w:p>
        </w:tc>
      </w:tr>
      <w:tr>
        <w:trPr>
          <w:trHeight w:val="234"/>
        </w:trPr>
        <w:tc>
          <w:tcPr>
            <w:tcW w:w="64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purposes of this Agreement.</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Continuation Notice</w:t>
            </w:r>
            <w:r>
              <w:rPr>
                <w:rFonts w:ascii="Times New Roman" w:cs="Times New Roman" w:eastAsia="Times New Roman" w:hAnsi="Times New Roman"/>
                <w:sz w:val="18"/>
                <w:szCs w:val="18"/>
                <w:color w:val="auto"/>
              </w:rPr>
              <w:t>” has the meaning set forth in Section 11.1.2 (Deemed Opt-Out).</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1.42</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Party</w:t>
            </w:r>
            <w:r>
              <w:rPr>
                <w:rFonts w:ascii="Times New Roman" w:cs="Times New Roman" w:eastAsia="Times New Roman" w:hAnsi="Times New Roman"/>
                <w:sz w:val="18"/>
                <w:szCs w:val="18"/>
                <w:color w:val="auto"/>
              </w:rPr>
              <w:t>” has the meaning set forth is Section 11.1 (Right to Opt-Out).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1.43</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the possession by a Party (whether by ownership, license, or otherwise other than pursuant to this</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of, (a) with respect to any materials or other tangible Know-How, the legal authority or right to physical possession of such</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materials or tangible Know-How, with the right to provide such materials or tangible Know-How to the other Party on the terms set forth</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herein, (b) with respect to Patent Rights, Regulatory Approvals, Regulatory Submissions, intangible Know-How, or other intellectual</w:t>
            </w:r>
          </w:p>
        </w:tc>
      </w:tr>
      <w:tr>
        <w:trPr>
          <w:trHeight w:val="234"/>
        </w:trPr>
        <w:tc>
          <w:tcPr>
            <w:tcW w:w="64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the legal authority or right to grant a license, sublicense, access, or right to use (as applicable) to the other Party under such</w:t>
            </w:r>
          </w:p>
        </w:tc>
      </w:tr>
    </w:tbl>
    <w:p>
      <w:pPr>
        <w:ind w:left="9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Patent Rights, Regulatory Approvals, Regulatory Submissions, intangible Know-How, or other intellectual property on the terms set forth herein, in each case ((a) and (b)), without breaching, or otherwise violating the terms of any arrangement or agreement with a Third Party (including any Collaboration In-License) in existence as of the time such Party or its Affiliates would first be required hereunder to grant the other Party such access, right to use, license, or sublicense or incurring any additional payment obligations to a Third Party as a result of such access, right to use, license, or sublicense. Notwithstanding the foregoing, a Party and its Affiliates will not be deemed to “Control” any of the foregoing (a) or (b) that, prior to or after the consummation of a Change of Control of such Party, is owned or in-licensed by a Third Party that becomes an Affiliate of such acquired Party (or that merges or consolidates with such Party) after the Effective Date as a result of such Change of Control unless and to the extent (i) immediately prior to the consummation of such Change of Control, such acquired Party or any of its Affiliates also</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Controlled such Patent Rights, Regulatory Approvals, Regulatory Submissions, Know-How, or other intellectual property owned or</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in-licensed by such Third Party, (ii) any such Patent Rights, Regulatory Approvals, Regulatory Submissions, Know-How, or other</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intellectual property owned or in-licensed by such Third Party was or is generated by employees or consultants of such Third Party in the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of Development, Manufacturing or Commercialization activities with respect to Licensed Compounds or Licensed Products</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this Agreement or (iii) the Patent Rights, Regulatory Approvals, Regulatory Submissions, Know-How, or other intellectual property</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 or in-licensed by such Third Party were not used in the performance of Development, Manufacturing or Commercialization</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 with respect to Licensed Compounds or Licensed Products under this Agreement prior to the consummation of such Change of</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 but after the consummation of such Change of Control, such acquired Party or any of its Affiliates uses any such Patent Rights,</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Approvals, Regulatory Submissions, Know-How, or other intellectual property (excluding Know-How within any of the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foregoing that is in the public domain) in the performance of Development, Manufacturing or Commercialization activities with respect to</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Licensed Compounds or Licensed Products under this Agreement.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1.44</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Covers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means, with respect to a Licensed Product, Know-How or other subject matter at issue, that in the</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absence of ownership of or a license granted under a particular Valid Claim, the Manufacture, use, sale, offer for sale, or importation of</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such Licensed Product, any invention included in such Know-How or other subject matter by a Person would infringe such Valid Claim or,</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 the case of a claim that has not yet issued, would infringe such claim if it were to issue without modification and become a Valid Claim.</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1.45</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Criteria</w:t>
            </w:r>
            <w:r>
              <w:rPr>
                <w:rFonts w:ascii="Times New Roman" w:cs="Times New Roman" w:eastAsia="Times New Roman" w:hAnsi="Times New Roman"/>
                <w:sz w:val="18"/>
                <w:szCs w:val="18"/>
                <w:color w:val="auto"/>
              </w:rPr>
              <w:t>” means the criteria used to determine whether a Collaboration Compound is suitable for IND-enabling studies, as amended</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the JSC from time to time. The DC Criteria as of the Effective Date are set forth in the initial Research Plan.</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1.46</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Data Package</w:t>
            </w:r>
            <w:r>
              <w:rPr>
                <w:rFonts w:ascii="Times New Roman" w:cs="Times New Roman" w:eastAsia="Times New Roman" w:hAnsi="Times New Roman"/>
                <w:sz w:val="18"/>
                <w:szCs w:val="18"/>
                <w:color w:val="auto"/>
              </w:rPr>
              <w:t>” has the meaning set forth in Section 3.3.2 (DC Data Package).</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1.47</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Data Package Requirements</w:t>
            </w:r>
            <w:r>
              <w:rPr>
                <w:rFonts w:ascii="Times New Roman" w:cs="Times New Roman" w:eastAsia="Times New Roman" w:hAnsi="Times New Roman"/>
                <w:sz w:val="18"/>
                <w:szCs w:val="18"/>
                <w:color w:val="auto"/>
              </w:rPr>
              <w:t>” has the meaning set forth in Section 3.2.1 (Content of Research Plan).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1.48</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Identification Date</w:t>
            </w:r>
            <w:r>
              <w:rPr>
                <w:rFonts w:ascii="Times New Roman" w:cs="Times New Roman" w:eastAsia="Times New Roman" w:hAnsi="Times New Roman"/>
                <w:sz w:val="18"/>
                <w:szCs w:val="18"/>
                <w:color w:val="auto"/>
              </w:rPr>
              <w:t>” means the earliest date that (a) the JSC determines that one or more Collaboration Compounds satisfies the DC</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Criteria, or (b) the JSC otherwise designates a Collaboration Compound as a Development Candidate, in each case, as set forth in</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3.3.3 (Development Candidate Identification).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1.49</w:t>
            </w: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with respect to any compound or product, any and all internal and external research, development, and regulatory</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 regarding such compound or product, including (a) research, process development, non-clinical testing, toxicology, non-clinical</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activities, GLP toxicology studies, and Clinical Trials, and (b) preparation, submission, review, and development of data or information for</w:t>
            </w:r>
          </w:p>
        </w:tc>
      </w:tr>
      <w:tr>
        <w:trPr>
          <w:trHeight w:val="216"/>
        </w:trPr>
        <w:tc>
          <w:tcPr>
            <w:tcW w:w="6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purpose of submission to a Regulatory Authority to obtain authorization to conduct Clinical Trials and to obtain, support, or maintain</w:t>
            </w:r>
          </w:p>
        </w:tc>
      </w:tr>
      <w:tr>
        <w:trPr>
          <w:trHeight w:val="234"/>
        </w:trPr>
        <w:tc>
          <w:tcPr>
            <w:tcW w:w="64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Approval of such product, but excluding any activities directed to Manufacturing or Commercialization. Development will</w:t>
            </w:r>
          </w:p>
        </w:tc>
      </w:tr>
    </w:tbl>
    <w:p>
      <w:pPr>
        <w:ind w:left="980"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 research, development, and regulatory activities for additional presentations or indications for a compound or product after receipt of Regulatory Approval of the applicable product,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indication (such as post-marketing approval studies and observational studies, if required by any Regulatory Authority in any country in the Territory to support or maintain Regulatory Approval for a product in such country) (each such Clinical Trial, a “</w:t>
      </w:r>
      <w:r>
        <w:rPr>
          <w:rFonts w:ascii="Times New Roman" w:cs="Times New Roman" w:eastAsia="Times New Roman" w:hAnsi="Times New Roman"/>
          <w:sz w:val="18"/>
          <w:szCs w:val="18"/>
          <w:b w:val="1"/>
          <w:bCs w:val="1"/>
          <w:color w:val="auto"/>
        </w:rPr>
        <w:t>Post Approval Clinical Trial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Developed</w:t>
      </w:r>
      <w:r>
        <w:rPr>
          <w:rFonts w:ascii="Times New Roman" w:cs="Times New Roman" w:eastAsia="Times New Roman" w:hAnsi="Times New Roman"/>
          <w:sz w:val="18"/>
          <w:szCs w:val="18"/>
          <w:color w:val="auto"/>
        </w:rPr>
        <w:t>” will be construed accordingly.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1.50</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Budget</w:t>
            </w:r>
            <w:r>
              <w:rPr>
                <w:rFonts w:ascii="Times New Roman" w:cs="Times New Roman" w:eastAsia="Times New Roman" w:hAnsi="Times New Roman"/>
                <w:sz w:val="18"/>
                <w:szCs w:val="18"/>
                <w:color w:val="auto"/>
              </w:rPr>
              <w:t>” has the meaning set forth in Section 6.3.3 (Development Costs; Development Budget).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1.51</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Candidate</w:t>
            </w:r>
            <w:r>
              <w:rPr>
                <w:rFonts w:ascii="Times New Roman" w:cs="Times New Roman" w:eastAsia="Times New Roman" w:hAnsi="Times New Roman"/>
                <w:sz w:val="18"/>
                <w:szCs w:val="18"/>
                <w:color w:val="auto"/>
              </w:rPr>
              <w:t>” means a Collaboration Compound that (a) has been determined by the JSC to satisfy the DC Criteria in</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accordance with Section 3.3.3(a) (Development Candidate Identification), or (b) that the JSC has otherwise designated a Development</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Candidate in accordance with Section 3.3.3(b) (Development Candidate Identification).</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1.52</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has the meaning set forth in Section 6.3.1 (Content of Development Plan).</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1.53</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forth in Section 1.40 (Confidential Information).</w:t>
            </w:r>
          </w:p>
        </w:tc>
      </w:tr>
      <w:tr>
        <w:trPr>
          <w:trHeight w:val="337"/>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1.54</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1.55</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or any successor agency thereto.</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1.56</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European Union</w:t>
            </w:r>
            <w:r>
              <w:rPr>
                <w:rFonts w:ascii="Times New Roman" w:cs="Times New Roman" w:eastAsia="Times New Roman" w:hAnsi="Times New Roman"/>
                <w:sz w:val="18"/>
                <w:szCs w:val="18"/>
                <w:color w:val="auto"/>
                <w:w w:val="99"/>
              </w:rPr>
              <w:t>” or “</w:t>
            </w:r>
            <w:r>
              <w:rPr>
                <w:rFonts w:ascii="Times New Roman" w:cs="Times New Roman" w:eastAsia="Times New Roman" w:hAnsi="Times New Roman"/>
                <w:sz w:val="18"/>
                <w:szCs w:val="18"/>
                <w:b w:val="1"/>
                <w:bCs w:val="1"/>
                <w:color w:val="auto"/>
                <w:w w:val="99"/>
              </w:rPr>
              <w:t>EU</w:t>
            </w:r>
            <w:r>
              <w:rPr>
                <w:rFonts w:ascii="Times New Roman" w:cs="Times New Roman" w:eastAsia="Times New Roman" w:hAnsi="Times New Roman"/>
                <w:sz w:val="18"/>
                <w:szCs w:val="18"/>
                <w:color w:val="auto"/>
                <w:w w:val="99"/>
              </w:rPr>
              <w:t>” means (a) all countries or territories that are officially part of the European Union, as constituted from time to</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 and (b) the United Kingdom.</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1.57</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has the meaning set forth in Section 18.1.1 (Escalation).</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1.58</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Expert</w:t>
            </w:r>
            <w:r>
              <w:rPr>
                <w:rFonts w:ascii="Times New Roman" w:cs="Times New Roman" w:eastAsia="Times New Roman" w:hAnsi="Times New Roman"/>
                <w:sz w:val="18"/>
                <w:szCs w:val="18"/>
                <w:color w:val="auto"/>
              </w:rPr>
              <w:t>” has the meaning set forth in Section 18.3.3 (Designation of Expert).</w:t>
            </w:r>
          </w:p>
        </w:tc>
      </w:tr>
      <w:tr>
        <w:trPr>
          <w:trHeight w:val="315"/>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1.59</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use, sell, offer for sale, have sold, import, Develop, Manufacture, Commercialize, or otherwise</w:t>
            </w:r>
          </w:p>
        </w:tc>
      </w:tr>
      <w:tr>
        <w:trPr>
          <w:trHeight w:val="238"/>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exploit.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Exploiting</w:t>
            </w:r>
            <w:r>
              <w:rPr>
                <w:rFonts w:ascii="Times New Roman" w:cs="Times New Roman" w:eastAsia="Times New Roman" w:hAnsi="Times New Roman"/>
                <w:sz w:val="18"/>
                <w:szCs w:val="18"/>
                <w:color w:val="auto"/>
              </w:rPr>
              <w:t>” will be construed accordingly.</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1.60</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FD&amp;C Act</w:t>
            </w:r>
            <w:r>
              <w:rPr>
                <w:rFonts w:ascii="Times New Roman" w:cs="Times New Roman" w:eastAsia="Times New Roman" w:hAnsi="Times New Roman"/>
                <w:sz w:val="18"/>
                <w:szCs w:val="18"/>
                <w:color w:val="auto"/>
              </w:rPr>
              <w:t>” means the United States Federal Food, Drug and Cosmetic Act, as amended from time-to-time, together with any rules,</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regulations, and requirements promulgated thereunder (including all additions, supplements, extensions, and modifications thereto).</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1.61</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successor agency or authority thereto.</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1.62</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all diagnostic, prophylactic and therapeutic uses.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1.63</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on a Licensed Product-by-Licensed Product and country-by-country basis, the date of the first sale of a</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Licensed Product to a Third Party for end use or consumption following receipt of any required Regulatory Approval and Pricing</w:t>
            </w:r>
          </w:p>
        </w:tc>
      </w:tr>
      <w:tr>
        <w:trPr>
          <w:trHeight w:val="214"/>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Approval for such Licensed Product in the country in which such Licensed Product is sold, excluding any named patient sales or any sale</w:t>
            </w:r>
          </w:p>
        </w:tc>
      </w:tr>
      <w:tr>
        <w:trPr>
          <w:trHeight w:val="218"/>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or other distribution at cost or less than cost for use in any Clinical Trial,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charitable purposes, test marketing program, or for</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compassionate use.</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1.64</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has the meaning set forth in Section 18.13 (Force Majeure).</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1.65</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means the equivalent of a full-time individual’s work, performed by one or more individuals, at [***] hours per year for a 12</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month period, performing activities pursuant to this Agreement. For clarity, indirect personnel (including support functions such as</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managerial, financial, legal, or business development) will not constitute FTEs. In the case that any full-time</w:t>
            </w:r>
          </w:p>
        </w:tc>
      </w:tr>
      <w:tr>
        <w:trPr>
          <w:trHeight w:val="364"/>
        </w:trPr>
        <w:tc>
          <w:tcPr>
            <w:tcW w:w="640" w:type="dxa"/>
            <w:vAlign w:val="bottom"/>
          </w:tcPr>
          <w:p>
            <w:pPr>
              <w:spacing w:after="0"/>
              <w:rPr>
                <w:sz w:val="24"/>
                <w:szCs w:val="24"/>
                <w:color w:val="auto"/>
              </w:rPr>
            </w:pPr>
          </w:p>
        </w:tc>
        <w:tc>
          <w:tcPr>
            <w:tcW w:w="1036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-7-</w:t>
            </w:r>
          </w:p>
        </w:tc>
      </w:tr>
    </w:tbl>
    <w:p>
      <w:pPr>
        <w:ind w:left="4760"/>
        <w:spacing w:after="0"/>
        <w:rPr>
          <w:sz w:val="20"/>
          <w:szCs w:val="20"/>
          <w:color w:val="auto"/>
        </w:rPr>
        <w:sectPr>
          <w:pgSz w:w="11900" w:h="16838" w:orient="portrait"/>
          <w:cols w:equalWidth="0" w:num="1">
            <w:col w:w="11000"/>
          </w:cols>
          <w:pgMar w:left="440" w:top="26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8" w:name="page409"/>
    <w:bookmarkEnd w:id="408"/>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personnel of a Party works partially on work pursuant to this Agreement and partially on other work in a given time period, then the full-</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 equivalent to be attributed to such individual’s work hereunder will be calculated based upon (a) the percentage of such individual’s</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work time in such time period that such individual spent working under this Agreement and (b) the percentage of a 12 month period</w:t>
            </w:r>
          </w:p>
        </w:tc>
      </w:tr>
      <w:tr>
        <w:trPr>
          <w:trHeight w:val="234"/>
        </w:trPr>
        <w:tc>
          <w:tcPr>
            <w:tcW w:w="6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that such time period equals.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1.66</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 Costs</w:t>
            </w:r>
            <w:r>
              <w:rPr>
                <w:rFonts w:ascii="Times New Roman" w:cs="Times New Roman" w:eastAsia="Times New Roman" w:hAnsi="Times New Roman"/>
                <w:sz w:val="18"/>
                <w:szCs w:val="18"/>
                <w:color w:val="auto"/>
              </w:rPr>
              <w:t>” means, with respect to a period and an activity under this Agreement, the FTE Rate times the number of FTEs, or portion</w:t>
            </w:r>
          </w:p>
        </w:tc>
      </w:tr>
      <w:tr>
        <w:trPr>
          <w:trHeight w:val="234"/>
        </w:trPr>
        <w:tc>
          <w:tcPr>
            <w:tcW w:w="6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thereof, actually utilized in performing such activity during such period.</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1.67</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FTE Rate</w:t>
            </w:r>
            <w:r>
              <w:rPr>
                <w:rFonts w:ascii="Times New Roman" w:cs="Times New Roman" w:eastAsia="Times New Roman" w:hAnsi="Times New Roman"/>
                <w:sz w:val="18"/>
                <w:szCs w:val="18"/>
                <w:color w:val="auto"/>
                <w:w w:val="99"/>
              </w:rPr>
              <w:t>” means the rate of [***] per FTE per Calendar Year, which rate will be prorated on a daily basis as necessary, and which rate</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 subject to annual increase each Calendar Year during the Term by the percentage increase in the CPI as of December 31 of each</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Calendar Year, over the level of the CPI as of December 31 of the prior Calendar Year, with the first such increases to be effective on</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January 1, 2025. For the avoidance of doubt, such FTE Rate will be the fully-burdened rate and is intended to cover the cost of salaries,</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benefits, infrastructure costs, travel, general laboratory or office supplies, postage, insurance, and all other general expenses and overhead</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items, as applicable. Notwithstanding the foregoing, for any Calendar Year during the Term that is less than a full year, the above</w:t>
            </w:r>
          </w:p>
        </w:tc>
      </w:tr>
      <w:tr>
        <w:trPr>
          <w:trHeight w:val="234"/>
        </w:trPr>
        <w:tc>
          <w:tcPr>
            <w:tcW w:w="6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referenced rates will be proportionately reduced to reflect such portion of such full Calendar Year.</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1.68</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Further Development Approval</w:t>
            </w:r>
            <w:r>
              <w:rPr>
                <w:rFonts w:ascii="Times New Roman" w:cs="Times New Roman" w:eastAsia="Times New Roman" w:hAnsi="Times New Roman"/>
                <w:sz w:val="18"/>
                <w:szCs w:val="18"/>
                <w:color w:val="auto"/>
              </w:rPr>
              <w:t>” has the meaning set forth in Section 6.1 (Effectiveness).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1.69</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accounting principles generally accepted in the United States of America, as in effect from time to time, consistently</w:t>
            </w:r>
          </w:p>
        </w:tc>
      </w:tr>
      <w:tr>
        <w:trPr>
          <w:trHeight w:val="234"/>
        </w:trPr>
        <w:tc>
          <w:tcPr>
            <w:tcW w:w="6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applied.</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1.70</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1.71</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1.72</w:t>
            </w: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national, provincial, or local government, or political subdivision thereof, or any</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multinational organization or any authority, agency, or commission entitled to exercise any administrative, executive, judicial, legislative,</w:t>
            </w:r>
          </w:p>
        </w:tc>
      </w:tr>
      <w:tr>
        <w:trPr>
          <w:trHeight w:val="216"/>
        </w:trPr>
        <w:tc>
          <w:tcPr>
            <w:tcW w:w="6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police, regulatory or taxing authority or power, or any court or tribunal (or any department, bureau or division thereof, or any</w:t>
            </w:r>
          </w:p>
        </w:tc>
      </w:tr>
      <w:tr>
        <w:trPr>
          <w:trHeight w:val="234"/>
        </w:trPr>
        <w:tc>
          <w:tcPr>
            <w:tcW w:w="6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governmental arbitrator or arbitral body). Governmental Authorities include all Regulatory Authorities.</w:t>
            </w:r>
          </w:p>
        </w:tc>
      </w:tr>
      <w:tr>
        <w:trPr>
          <w:trHeight w:val="364"/>
        </w:trPr>
        <w:tc>
          <w:tcPr>
            <w:tcW w:w="640" w:type="dxa"/>
            <w:vAlign w:val="bottom"/>
          </w:tcPr>
          <w:p>
            <w:pPr>
              <w:spacing w:after="0"/>
              <w:rPr>
                <w:sz w:val="24"/>
                <w:szCs w:val="24"/>
                <w:color w:val="auto"/>
              </w:rPr>
            </w:pPr>
          </w:p>
        </w:tc>
        <w:tc>
          <w:tcPr>
            <w:tcW w:w="1026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-8-</w:t>
            </w:r>
          </w:p>
        </w:tc>
      </w:tr>
    </w:tbl>
    <w:p>
      <w:pPr>
        <w:ind w:left="4760"/>
        <w:spacing w:after="0"/>
        <w:rPr>
          <w:sz w:val="20"/>
          <w:szCs w:val="20"/>
          <w:color w:val="auto"/>
        </w:rPr>
        <w:sectPr>
          <w:pgSz w:w="11900" w:h="16838" w:orient="portrait"/>
          <w:cols w:equalWidth="0" w:num="1">
            <w:col w:w="10900"/>
          </w:cols>
          <w:pgMar w:left="440" w:top="270"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9" w:name="page410"/>
    <w:bookmarkEnd w:id="409"/>
    <w:tbl>
      <w:tblPr>
        <w:tblLayout w:type="fixed"/>
        <w:tblInd w:w="0" w:type="dxa"/>
        <w:tblCellMar>
          <w:top w:w="0" w:type="dxa"/>
          <w:left w:w="0" w:type="dxa"/>
          <w:bottom w:w="0" w:type="dxa"/>
          <w:right w:w="0" w:type="dxa"/>
        </w:tblCellMar>
      </w:tblPr>
      <w:tr>
        <w:trPr>
          <w:trHeight w:val="2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1.73</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Sales</w:t>
            </w:r>
            <w:r>
              <w:rPr>
                <w:rFonts w:ascii="Times New Roman" w:cs="Times New Roman" w:eastAsia="Times New Roman" w:hAnsi="Times New Roman"/>
                <w:sz w:val="18"/>
                <w:szCs w:val="18"/>
                <w:color w:val="auto"/>
              </w:rPr>
              <w:t>” has the meaning set forth in Section 1.99 (Net Sales).</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1.74</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Identified Rights</w:t>
            </w:r>
            <w:r>
              <w:rPr>
                <w:rFonts w:ascii="Times New Roman" w:cs="Times New Roman" w:eastAsia="Times New Roman" w:hAnsi="Times New Roman"/>
                <w:sz w:val="18"/>
                <w:szCs w:val="18"/>
                <w:color w:val="auto"/>
              </w:rPr>
              <w:t>” has the meaning set forth in Section 4.7.2(a) (Identification of Potential In-Licenses).</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1.75</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Inclusion Criteria</w:t>
            </w:r>
            <w:r>
              <w:rPr>
                <w:rFonts w:ascii="Times New Roman" w:cs="Times New Roman" w:eastAsia="Times New Roman" w:hAnsi="Times New Roman"/>
                <w:sz w:val="18"/>
                <w:szCs w:val="18"/>
                <w:color w:val="auto"/>
              </w:rPr>
              <w:t>” means, [***].</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1.76</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IND</w:t>
            </w:r>
            <w:r>
              <w:rPr>
                <w:rFonts w:ascii="Times New Roman" w:cs="Times New Roman" w:eastAsia="Times New Roman" w:hAnsi="Times New Roman"/>
                <w:sz w:val="18"/>
                <w:szCs w:val="18"/>
                <w:color w:val="auto"/>
                <w:w w:val="99"/>
              </w:rPr>
              <w:t>” means an investigational new drug application filed with the FDA with respect to a Licensed Product, or equivalent application</w:t>
            </w:r>
          </w:p>
        </w:tc>
      </w:tr>
      <w:tr>
        <w:trPr>
          <w:trHeight w:val="216"/>
        </w:trPr>
        <w:tc>
          <w:tcPr>
            <w:tcW w:w="64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filed with the Regulatory Authority of a country in the Territory other than the U.S. (such as an application for a Clinical Trial</w:t>
            </w:r>
          </w:p>
        </w:tc>
      </w:tr>
      <w:tr>
        <w:trPr>
          <w:trHeight w:val="234"/>
        </w:trPr>
        <w:tc>
          <w:tcPr>
            <w:tcW w:w="64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authorization in the EU).</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1.77</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 Acceptance</w:t>
            </w:r>
            <w:r>
              <w:rPr>
                <w:rFonts w:ascii="Times New Roman" w:cs="Times New Roman" w:eastAsia="Times New Roman" w:hAnsi="Times New Roman"/>
                <w:sz w:val="18"/>
                <w:szCs w:val="18"/>
                <w:color w:val="auto"/>
              </w:rPr>
              <w:t>” means, with respect to an IND in the U.S., the earlier of (a) receipt of a written confirmation from the FDA that</w:t>
            </w:r>
          </w:p>
        </w:tc>
      </w:tr>
      <w:tr>
        <w:trPr>
          <w:trHeight w:val="216"/>
        </w:trPr>
        <w:tc>
          <w:tcPr>
            <w:tcW w:w="64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Clinical Trials may proceed under such IND, or (b) expiration of the applicable waiting period after which Clinical Trials may proceed</w:t>
            </w:r>
          </w:p>
        </w:tc>
      </w:tr>
      <w:tr>
        <w:trPr>
          <w:trHeight w:val="234"/>
        </w:trPr>
        <w:tc>
          <w:tcPr>
            <w:tcW w:w="64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such IND.</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1.78</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has the meaning set forth in Section 16.3 (Conditions to Indemnification).</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1.79</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1.80</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has the meaning set forth in Section 13.3.1 (Notification).</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1.81</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Infringement Action</w:t>
            </w:r>
            <w:r>
              <w:rPr>
                <w:rFonts w:ascii="Times New Roman" w:cs="Times New Roman" w:eastAsia="Times New Roman" w:hAnsi="Times New Roman"/>
                <w:sz w:val="18"/>
                <w:szCs w:val="18"/>
                <w:color w:val="auto"/>
              </w:rPr>
              <w:t>” has the meaning set forth in Section 13.3.2(a) (Competitive Infringements).</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1.82</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Initiation</w:t>
            </w:r>
            <w:r>
              <w:rPr>
                <w:rFonts w:ascii="Times New Roman" w:cs="Times New Roman" w:eastAsia="Times New Roman" w:hAnsi="Times New Roman"/>
                <w:sz w:val="18"/>
                <w:szCs w:val="18"/>
                <w:color w:val="auto"/>
              </w:rPr>
              <w:t>” means, with respect to any Clinical Trial, the date of the first dosing of the first patient in such Clinical Trial.</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1.83</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has the meaning set forth in Section 12.7 (Late Fees).</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1.84</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In-Licensing Party</w:t>
            </w:r>
            <w:r>
              <w:rPr>
                <w:rFonts w:ascii="Times New Roman" w:cs="Times New Roman" w:eastAsia="Times New Roman" w:hAnsi="Times New Roman"/>
                <w:sz w:val="18"/>
                <w:szCs w:val="18"/>
                <w:color w:val="auto"/>
              </w:rPr>
              <w:t>” has the meaning set forth in Section 4.7.2(a) (Potential In-Licenses).</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1.85</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IRF5</w:t>
            </w:r>
            <w:r>
              <w:rPr>
                <w:rFonts w:ascii="Times New Roman" w:cs="Times New Roman" w:eastAsia="Times New Roman" w:hAnsi="Times New Roman"/>
                <w:sz w:val="18"/>
                <w:szCs w:val="18"/>
                <w:color w:val="auto"/>
              </w:rPr>
              <w:t>” means Interferon regulatory factor 5.</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1.86</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Collaboration Know-How</w:t>
            </w:r>
            <w:r>
              <w:rPr>
                <w:rFonts w:ascii="Times New Roman" w:cs="Times New Roman" w:eastAsia="Times New Roman" w:hAnsi="Times New Roman"/>
                <w:sz w:val="18"/>
                <w:szCs w:val="18"/>
                <w:color w:val="auto"/>
              </w:rPr>
              <w:t>” means [***].</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1.87</w:t>
            </w: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Collaboration Patent Rights</w:t>
            </w:r>
            <w:r>
              <w:rPr>
                <w:rFonts w:ascii="Times New Roman" w:cs="Times New Roman" w:eastAsia="Times New Roman" w:hAnsi="Times New Roman"/>
                <w:sz w:val="18"/>
                <w:szCs w:val="18"/>
                <w:color w:val="auto"/>
              </w:rPr>
              <w:t>” means [***].</w:t>
            </w:r>
          </w:p>
        </w:tc>
      </w:tr>
      <w:tr>
        <w:trPr>
          <w:trHeight w:val="364"/>
        </w:trPr>
        <w:tc>
          <w:tcPr>
            <w:tcW w:w="640" w:type="dxa"/>
            <w:vAlign w:val="bottom"/>
          </w:tcPr>
          <w:p>
            <w:pPr>
              <w:spacing w:after="0"/>
              <w:rPr>
                <w:sz w:val="24"/>
                <w:szCs w:val="24"/>
                <w:color w:val="auto"/>
              </w:rPr>
            </w:pPr>
          </w:p>
        </w:tc>
        <w:tc>
          <w:tcPr>
            <w:tcW w:w="100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-9-</w:t>
            </w:r>
          </w:p>
        </w:tc>
      </w:tr>
    </w:tbl>
    <w:p>
      <w:pPr>
        <w:ind w:left="4760"/>
        <w:spacing w:after="0"/>
        <w:rPr>
          <w:sz w:val="20"/>
          <w:szCs w:val="20"/>
          <w:color w:val="auto"/>
        </w:rPr>
        <w:sectPr>
          <w:pgSz w:w="11900" w:h="16838" w:orient="portrait"/>
          <w:cols w:equalWidth="0" w:num="1">
            <w:col w:w="10680"/>
          </w:cols>
          <w:pgMar w:left="440" w:top="266" w:right="7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10" w:name="page411"/>
    <w:bookmarkEnd w:id="410"/>
    <w:tbl>
      <w:tblPr>
        <w:tblLayout w:type="fixed"/>
        <w:tblInd w:w="0" w:type="dxa"/>
        <w:tblCellMar>
          <w:top w:w="0" w:type="dxa"/>
          <w:left w:w="0" w:type="dxa"/>
          <w:bottom w:w="0" w:type="dxa"/>
          <w:right w:w="0" w:type="dxa"/>
        </w:tblCellMar>
      </w:tblPr>
      <w:tr>
        <w:trPr>
          <w:trHeight w:val="2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1.88</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Collaboration Technology</w:t>
            </w:r>
            <w:r>
              <w:rPr>
                <w:rFonts w:ascii="Times New Roman" w:cs="Times New Roman" w:eastAsia="Times New Roman" w:hAnsi="Times New Roman"/>
                <w:sz w:val="18"/>
                <w:szCs w:val="18"/>
                <w:color w:val="auto"/>
              </w:rPr>
              <w:t>” means the Joint Collaboration Know-How and the Joint Collaboration Patent Rights.</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1.89</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has the meaning set forth in Section 5.1.1 (Formation and Purpose of the JSC).</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1.90</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know-how, trade secrets, results, data (including pharmacological, medicinal chemistry, biological, chemical,</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biochemical, toxicological and preclinical and clinical data, analytical and quality control data, stability data, studies, and procedures),</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inventions, processes, techniques, procedures, compositions, devices, practices, methods, specifications, algorithms, formulations,</w:t>
            </w:r>
          </w:p>
        </w:tc>
      </w:tr>
      <w:tr>
        <w:trPr>
          <w:trHeight w:val="234"/>
        </w:trPr>
        <w:tc>
          <w:tcPr>
            <w:tcW w:w="64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formulas, protocols, Materials, and information (including confidential information), in all cases, whether or not patentable.</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Launch Window</w:t>
            </w:r>
            <w:r>
              <w:rPr>
                <w:rFonts w:ascii="Times New Roman" w:cs="Times New Roman" w:eastAsia="Times New Roman" w:hAnsi="Times New Roman"/>
                <w:sz w:val="18"/>
                <w:szCs w:val="18"/>
                <w:color w:val="auto"/>
              </w:rPr>
              <w:t>” means, for a Licensed Product in [***], the time period commencing [***] and expiring [***].</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1.92</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Compound</w:t>
            </w:r>
            <w:r>
              <w:rPr>
                <w:rFonts w:ascii="Times New Roman" w:cs="Times New Roman" w:eastAsia="Times New Roman" w:hAnsi="Times New Roman"/>
                <w:sz w:val="18"/>
                <w:szCs w:val="18"/>
                <w:color w:val="auto"/>
              </w:rPr>
              <w:t>” means any Collaboration Compound, together with any other compound that meets the Inclusion Criteria that is</w:t>
            </w:r>
          </w:p>
        </w:tc>
      </w:tr>
      <w:tr>
        <w:trPr>
          <w:trHeight w:val="234"/>
        </w:trPr>
        <w:tc>
          <w:tcPr>
            <w:tcW w:w="64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1.93</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any product containing a Licensed Compound, alone or in combination with one or more other Active</w:t>
            </w:r>
          </w:p>
        </w:tc>
      </w:tr>
      <w:tr>
        <w:trPr>
          <w:trHeight w:val="234"/>
        </w:trPr>
        <w:tc>
          <w:tcPr>
            <w:tcW w:w="64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Ingredients, and in any formulation, dosage strength, or method of delivery.</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1.94</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has the meaning set forth in Section 16.1 (Indemnification by Terray).</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1.95</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any new drug application or other marketing authorization application, in each case, filed with the applicable Regulatory</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Authority in a country or other regulatory jurisdiction (and all supplements and amendments thereto), which application is required to</w:t>
            </w:r>
          </w:p>
        </w:tc>
      </w:tr>
      <w:tr>
        <w:trPr>
          <w:trHeight w:val="216"/>
        </w:trPr>
        <w:tc>
          <w:tcPr>
            <w:tcW w:w="64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commercially market or sell a pharmaceutical or biologic product in such country or jurisdiction, including (a) all New Drug Applications</w:t>
            </w:r>
          </w:p>
        </w:tc>
      </w:tr>
      <w:tr>
        <w:trPr>
          <w:trHeight w:val="234"/>
        </w:trPr>
        <w:tc>
          <w:tcPr>
            <w:tcW w:w="64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submitted to the FDA in the United States in accordance with the FD&amp;C Act with</w:t>
            </w:r>
          </w:p>
        </w:tc>
      </w:tr>
      <w:tr>
        <w:trPr>
          <w:trHeight w:val="364"/>
        </w:trPr>
        <w:tc>
          <w:tcPr>
            <w:tcW w:w="640" w:type="dxa"/>
            <w:vAlign w:val="bottom"/>
          </w:tcPr>
          <w:p>
            <w:pPr>
              <w:spacing w:after="0"/>
              <w:rPr>
                <w:sz w:val="24"/>
                <w:szCs w:val="24"/>
                <w:color w:val="auto"/>
              </w:rPr>
            </w:pPr>
          </w:p>
        </w:tc>
        <w:tc>
          <w:tcPr>
            <w:tcW w:w="102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-10-</w:t>
            </w:r>
          </w:p>
        </w:tc>
      </w:tr>
    </w:tbl>
    <w:p>
      <w:pPr>
        <w:ind w:left="4720"/>
        <w:spacing w:after="0"/>
        <w:rPr>
          <w:sz w:val="20"/>
          <w:szCs w:val="20"/>
          <w:color w:val="auto"/>
        </w:rPr>
        <w:sectPr>
          <w:pgSz w:w="11900" w:h="16838" w:orient="portrait"/>
          <w:cols w:equalWidth="0" w:num="1">
            <w:col w:w="10920"/>
          </w:cols>
          <w:pgMar w:left="440" w:top="266"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11" w:name="page412"/>
    <w:bookmarkEnd w:id="411"/>
    <w:p>
      <w:pPr>
        <w:ind w:left="9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a pharmaceutical product, (b) all MAAs submitted to (i) the EMA under the centralized EMA filing procedure in the EU or (ii) a Regulatory Authority in any EU country if the centralized EMA filing procedure is not used to gain Regulatory Approval in such country,</w:t>
      </w:r>
    </w:p>
    <w:p>
      <w:pPr>
        <w:spacing w:after="0" w:line="1" w:lineRule="exact"/>
        <w:rPr>
          <w:sz w:val="20"/>
          <w:szCs w:val="20"/>
          <w:color w:val="auto"/>
        </w:rPr>
      </w:pPr>
    </w:p>
    <w:p>
      <w:pPr>
        <w:ind w:left="980" w:right="160" w:firstLine="1"/>
        <w:spacing w:after="0" w:line="260" w:lineRule="auto"/>
        <w:tabs>
          <w:tab w:leader="none" w:pos="122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Drug Applications submitted to the Pharmaceuticals and Medical Devices Agency in Japan, or (d) any analogous application or submission with any Regulatory Authority in any other country or regulatory jurisdiction.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1.96</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means with respect to any product, any and all activities directed to manufacturing, processing, packaging, labeling,</w:t>
            </w:r>
          </w:p>
        </w:tc>
      </w:tr>
      <w:tr>
        <w:trPr>
          <w:trHeight w:val="216"/>
        </w:trPr>
        <w:tc>
          <w:tcPr>
            <w:tcW w:w="64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filling, finishing, assembly, quality assurance, quality control, testing and release, shipping, supply, or storage of such product (or any</w:t>
            </w:r>
          </w:p>
        </w:tc>
      </w:tr>
      <w:tr>
        <w:trPr>
          <w:trHeight w:val="216"/>
        </w:trPr>
        <w:tc>
          <w:tcPr>
            <w:tcW w:w="64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components or process steps involving such product or any companion diagnostic), placebo, or comparator agent, as the case may be,</w:t>
            </w:r>
          </w:p>
        </w:tc>
      </w:tr>
      <w:tr>
        <w:trPr>
          <w:trHeight w:val="212"/>
        </w:trPr>
        <w:tc>
          <w:tcPr>
            <w:tcW w:w="64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including qualification, validation, and scale-up, pre-clinical, clinical, and commercial manufacture and analytic development, product</w:t>
            </w:r>
          </w:p>
        </w:tc>
      </w:tr>
      <w:tr>
        <w:trPr>
          <w:trHeight w:val="216"/>
        </w:trPr>
        <w:tc>
          <w:tcPr>
            <w:tcW w:w="64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characterization, and stability testing, but excluding any activities directed to Development or Commercialization. “</w:t>
            </w:r>
            <w:r>
              <w:rPr>
                <w:rFonts w:ascii="Times New Roman" w:cs="Times New Roman" w:eastAsia="Times New Roman" w:hAnsi="Times New Roman"/>
                <w:sz w:val="18"/>
                <w:szCs w:val="18"/>
                <w:b w:val="1"/>
                <w:bCs w:val="1"/>
                <w:color w:val="auto"/>
                <w:w w:val="99"/>
              </w:rPr>
              <w:t>Manufacturing</w:t>
            </w:r>
            <w:r>
              <w:rPr>
                <w:rFonts w:ascii="Times New Roman" w:cs="Times New Roman" w:eastAsia="Times New Roman" w:hAnsi="Times New Roman"/>
                <w:sz w:val="18"/>
                <w:szCs w:val="18"/>
                <w:color w:val="auto"/>
                <w:w w:val="99"/>
              </w:rPr>
              <w:t>” and</w:t>
            </w:r>
          </w:p>
        </w:tc>
      </w:tr>
      <w:tr>
        <w:trPr>
          <w:trHeight w:val="238"/>
        </w:trPr>
        <w:tc>
          <w:tcPr>
            <w:tcW w:w="640" w:type="dxa"/>
            <w:vAlign w:val="bottom"/>
          </w:tcPr>
          <w:p>
            <w:pPr>
              <w:spacing w:after="0"/>
              <w:rPr>
                <w:sz w:val="20"/>
                <w:szCs w:val="20"/>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Manufactured</w:t>
            </w:r>
            <w:r>
              <w:rPr>
                <w:rFonts w:ascii="Times New Roman" w:cs="Times New Roman" w:eastAsia="Times New Roman" w:hAnsi="Times New Roman"/>
                <w:sz w:val="18"/>
                <w:szCs w:val="18"/>
                <w:color w:val="auto"/>
              </w:rPr>
              <w:t>” will be construed accordingly.</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1.97</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any tangible compositions of matter, articles of manufacture, assays, chemical, biological or physical materials, or</w:t>
            </w:r>
          </w:p>
        </w:tc>
      </w:tr>
      <w:tr>
        <w:trPr>
          <w:trHeight w:val="234"/>
        </w:trPr>
        <w:tc>
          <w:tcPr>
            <w:tcW w:w="640" w:type="dxa"/>
            <w:vAlign w:val="bottom"/>
          </w:tcPr>
          <w:p>
            <w:pPr>
              <w:spacing w:after="0"/>
              <w:rPr>
                <w:sz w:val="20"/>
                <w:szCs w:val="20"/>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similar materials.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1.98</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Necessary Third Party Agreements</w:t>
            </w:r>
            <w:r>
              <w:rPr>
                <w:rFonts w:ascii="Times New Roman" w:cs="Times New Roman" w:eastAsia="Times New Roman" w:hAnsi="Times New Roman"/>
                <w:sz w:val="18"/>
                <w:szCs w:val="18"/>
                <w:color w:val="auto"/>
              </w:rPr>
              <w:t>” means any agreement entered into by and between a Party or any of its Affiliates or its</w:t>
            </w:r>
          </w:p>
        </w:tc>
      </w:tr>
      <w:tr>
        <w:trPr>
          <w:trHeight w:val="216"/>
        </w:trPr>
        <w:tc>
          <w:tcPr>
            <w:tcW w:w="64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Sublicensees, on the one hand, and one or more Third Parties, on the other hand, that is solely related to Developing, Manufacturing,</w:t>
            </w:r>
          </w:p>
        </w:tc>
      </w:tr>
      <w:tr>
        <w:trPr>
          <w:trHeight w:val="216"/>
        </w:trPr>
        <w:tc>
          <w:tcPr>
            <w:tcW w:w="64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Commercializing, or otherwise Exploiting (with or through any Third Party) any Licensed Compounds or Licensed Products in the</w:t>
            </w:r>
          </w:p>
        </w:tc>
      </w:tr>
      <w:tr>
        <w:trPr>
          <w:trHeight w:val="234"/>
        </w:trPr>
        <w:tc>
          <w:tcPr>
            <w:tcW w:w="640" w:type="dxa"/>
            <w:vAlign w:val="bottom"/>
          </w:tcPr>
          <w:p>
            <w:pPr>
              <w:spacing w:after="0"/>
              <w:rPr>
                <w:sz w:val="20"/>
                <w:szCs w:val="20"/>
                <w:color w:val="auto"/>
              </w:rPr>
            </w:pP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Territory.</w:t>
            </w:r>
          </w:p>
        </w:tc>
        <w:tc>
          <w:tcPr>
            <w:tcW w:w="9060" w:type="dxa"/>
            <w:vAlign w:val="bottom"/>
          </w:tcPr>
          <w:p>
            <w:pPr>
              <w:spacing w:after="0"/>
              <w:rPr>
                <w:sz w:val="20"/>
                <w:szCs w:val="20"/>
                <w:color w:val="auto"/>
              </w:rPr>
            </w:pP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1.99</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w:t>
            </w:r>
          </w:p>
        </w:tc>
      </w:tr>
      <w:tr>
        <w:trPr>
          <w:trHeight w:val="338"/>
        </w:trPr>
        <w:tc>
          <w:tcPr>
            <w:tcW w:w="64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1.99.1</w:t>
            </w:r>
          </w:p>
        </w:tc>
        <w:tc>
          <w:tcPr>
            <w:tcW w:w="9060" w:type="dxa"/>
            <w:vAlign w:val="bottom"/>
          </w:tcPr>
          <w:p>
            <w:pPr>
              <w:jc w:val="right"/>
              <w:ind w:right="841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64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1.99.2</w:t>
            </w:r>
          </w:p>
        </w:tc>
        <w:tc>
          <w:tcPr>
            <w:tcW w:w="9060" w:type="dxa"/>
            <w:vAlign w:val="bottom"/>
          </w:tcPr>
          <w:p>
            <w:pPr>
              <w:jc w:val="right"/>
              <w:ind w:right="841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64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1.99.3</w:t>
            </w:r>
          </w:p>
        </w:tc>
        <w:tc>
          <w:tcPr>
            <w:tcW w:w="9060" w:type="dxa"/>
            <w:vAlign w:val="bottom"/>
          </w:tcPr>
          <w:p>
            <w:pPr>
              <w:jc w:val="right"/>
              <w:ind w:right="841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64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1.99.4</w:t>
            </w:r>
          </w:p>
        </w:tc>
        <w:tc>
          <w:tcPr>
            <w:tcW w:w="9060" w:type="dxa"/>
            <w:vAlign w:val="bottom"/>
          </w:tcPr>
          <w:p>
            <w:pPr>
              <w:jc w:val="right"/>
              <w:ind w:right="841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6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0980"/>
          </w:cols>
          <w:pgMar w:left="440" w:top="270" w:right="479" w:bottom="1440" w:gutter="0" w:footer="0" w:header="0"/>
        </w:sectPr>
      </w:pPr>
    </w:p>
    <w:bookmarkStart w:id="412" w:name="page413"/>
    <w:bookmarkEnd w:id="412"/>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1.99.5</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1.99.6</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color w:val="auto"/>
        </w:rPr>
        <w:t>If a Licensed Product includes, or is sold in combination with, another Active Ingredient that is not a Licensed Compound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then Net Sales, on a country-by-country basis, for the purposes of determining royalty payments on such Combination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calculated using one of the following alternative methods:</w:t>
      </w:r>
    </w:p>
    <w:p>
      <w:pPr>
        <w:spacing w:after="0" w:line="67" w:lineRule="exact"/>
        <w:rPr>
          <w:sz w:val="20"/>
          <w:szCs w:val="20"/>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particular Combination Product is not addressed by the foregoing, [***].</w:t>
      </w:r>
    </w:p>
    <w:p>
      <w:pPr>
        <w:spacing w:after="0" w:line="1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1.100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Non-Bankrupt Party</w:t>
      </w:r>
      <w:r>
        <w:rPr>
          <w:rFonts w:ascii="Times New Roman" w:cs="Times New Roman" w:eastAsia="Times New Roman" w:hAnsi="Times New Roman"/>
          <w:sz w:val="17"/>
          <w:szCs w:val="17"/>
          <w:color w:val="auto"/>
        </w:rPr>
        <w:t>” has the meaning set forth in Section 17.2.3 (Termination for Bankruptcy).</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Non-Withholding Party</w:t>
      </w:r>
      <w:r>
        <w:rPr>
          <w:rFonts w:ascii="Times New Roman" w:cs="Times New Roman" w:eastAsia="Times New Roman" w:hAnsi="Times New Roman"/>
          <w:sz w:val="17"/>
          <w:szCs w:val="17"/>
          <w:color w:val="auto"/>
        </w:rPr>
        <w:t>” has the meaning set forth in Section 12.9 (Withholding Taxes).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1.102</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w:t>
            </w:r>
            <w:r>
              <w:rPr>
                <w:rFonts w:ascii="Times New Roman" w:cs="Times New Roman" w:eastAsia="Times New Roman" w:hAnsi="Times New Roman"/>
                <w:sz w:val="18"/>
                <w:szCs w:val="18"/>
                <w:color w:val="auto"/>
              </w:rPr>
              <w:t>” has the meaning set forth in the Preamble.</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1.103</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Collaboration Know-How</w:t>
            </w:r>
            <w:r>
              <w:rPr>
                <w:rFonts w:ascii="Times New Roman" w:cs="Times New Roman" w:eastAsia="Times New Roman" w:hAnsi="Times New Roman"/>
                <w:sz w:val="18"/>
                <w:szCs w:val="18"/>
                <w:color w:val="auto"/>
              </w:rPr>
              <w:t>” means [***].</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1.104</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Collaboration Patent Rights</w:t>
            </w:r>
            <w:r>
              <w:rPr>
                <w:rFonts w:ascii="Times New Roman" w:cs="Times New Roman" w:eastAsia="Times New Roman" w:hAnsi="Times New Roman"/>
                <w:sz w:val="18"/>
                <w:szCs w:val="18"/>
                <w:color w:val="auto"/>
              </w:rPr>
              <w:t>” means [***].</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1.105</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Collaboration Technology</w:t>
            </w:r>
            <w:r>
              <w:rPr>
                <w:rFonts w:ascii="Times New Roman" w:cs="Times New Roman" w:eastAsia="Times New Roman" w:hAnsi="Times New Roman"/>
                <w:sz w:val="18"/>
                <w:szCs w:val="18"/>
                <w:color w:val="auto"/>
              </w:rPr>
              <w:t>” means the Odyssey Collaboration Know-How and Odyssey Collaboration Patent Rights.</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1.106</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Indemnitees</w:t>
            </w:r>
            <w:r>
              <w:rPr>
                <w:rFonts w:ascii="Times New Roman" w:cs="Times New Roman" w:eastAsia="Times New Roman" w:hAnsi="Times New Roman"/>
                <w:sz w:val="18"/>
                <w:szCs w:val="18"/>
                <w:color w:val="auto"/>
              </w:rPr>
              <w:t>” has the meaning set forth in Section 16.2 (Indemnification of Odyssey by Terray).</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1.107</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Licensed Know-How</w:t>
            </w:r>
            <w:r>
              <w:rPr>
                <w:rFonts w:ascii="Times New Roman" w:cs="Times New Roman" w:eastAsia="Times New Roman" w:hAnsi="Times New Roman"/>
                <w:sz w:val="18"/>
                <w:szCs w:val="18"/>
                <w:color w:val="auto"/>
              </w:rPr>
              <w:t>” means [***].</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1.108</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Licensed Patent Rights</w:t>
            </w:r>
            <w:r>
              <w:rPr>
                <w:rFonts w:ascii="Times New Roman" w:cs="Times New Roman" w:eastAsia="Times New Roman" w:hAnsi="Times New Roman"/>
                <w:sz w:val="18"/>
                <w:szCs w:val="18"/>
                <w:color w:val="auto"/>
              </w:rPr>
              <w:t>” means [***].</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1.109</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Licensed Technology</w:t>
            </w:r>
            <w:r>
              <w:rPr>
                <w:rFonts w:ascii="Times New Roman" w:cs="Times New Roman" w:eastAsia="Times New Roman" w:hAnsi="Times New Roman"/>
                <w:sz w:val="18"/>
                <w:szCs w:val="18"/>
                <w:color w:val="auto"/>
              </w:rPr>
              <w:t>” means Odyssey Licensed Know-How and Odyssey Licensed Patent Rights.</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1.110</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Ongoing Party</w:t>
            </w:r>
            <w:r>
              <w:rPr>
                <w:rFonts w:ascii="Times New Roman" w:cs="Times New Roman" w:eastAsia="Times New Roman" w:hAnsi="Times New Roman"/>
                <w:sz w:val="18"/>
                <w:szCs w:val="18"/>
                <w:color w:val="auto"/>
              </w:rPr>
              <w:t>” has the meaning set forth in Section 17.3.1 (Right to Continue Non-Out-Licensed Program).</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1.111</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Opt-Out</w:t>
            </w:r>
            <w:r>
              <w:rPr>
                <w:rFonts w:ascii="Times New Roman" w:cs="Times New Roman" w:eastAsia="Times New Roman" w:hAnsi="Times New Roman"/>
                <w:sz w:val="18"/>
                <w:szCs w:val="18"/>
                <w:color w:val="auto"/>
              </w:rPr>
              <w:t>” has the meaning set forth in Section 11.1 (Right to Opt-Out).</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1.112</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Opt-Out Date</w:t>
            </w:r>
            <w:r>
              <w:rPr>
                <w:rFonts w:ascii="Times New Roman" w:cs="Times New Roman" w:eastAsia="Times New Roman" w:hAnsi="Times New Roman"/>
                <w:sz w:val="18"/>
                <w:szCs w:val="18"/>
                <w:color w:val="auto"/>
              </w:rPr>
              <w:t>” has the meaning set forth in Section 11.1 (Right to Opt-Out).</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1.113</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Opt-Out Out-Licensing Share</w:t>
            </w:r>
            <w:r>
              <w:rPr>
                <w:rFonts w:ascii="Times New Roman" w:cs="Times New Roman" w:eastAsia="Times New Roman" w:hAnsi="Times New Roman"/>
                <w:sz w:val="18"/>
                <w:szCs w:val="18"/>
                <w:color w:val="auto"/>
              </w:rPr>
              <w:t>” has the meaning set forth in Section 12.2.1 (Out-Licensing Net Proceeds Sharing).</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1.114</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Opt-Out Out-Licensing Share Report</w:t>
            </w:r>
            <w:r>
              <w:rPr>
                <w:rFonts w:ascii="Times New Roman" w:cs="Times New Roman" w:eastAsia="Times New Roman" w:hAnsi="Times New Roman"/>
                <w:sz w:val="18"/>
                <w:szCs w:val="18"/>
                <w:color w:val="auto"/>
              </w:rPr>
              <w:t>” has the meaning set forth in Section 12.2.2(Opt-Out Out-Licensing Share Report).</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1.115</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Opt-Out Party</w:t>
            </w:r>
            <w:r>
              <w:rPr>
                <w:rFonts w:ascii="Times New Roman" w:cs="Times New Roman" w:eastAsia="Times New Roman" w:hAnsi="Times New Roman"/>
                <w:sz w:val="18"/>
                <w:szCs w:val="18"/>
                <w:color w:val="auto"/>
              </w:rPr>
              <w:t>” has the meaning set forth in Section 11.1 (Right to Opt-Out).</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1.116</w:t>
            </w: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Opt-Out Period</w:t>
            </w:r>
            <w:r>
              <w:rPr>
                <w:rFonts w:ascii="Times New Roman" w:cs="Times New Roman" w:eastAsia="Times New Roman" w:hAnsi="Times New Roman"/>
                <w:sz w:val="18"/>
                <w:szCs w:val="18"/>
                <w:color w:val="auto"/>
                <w:w w:val="99"/>
              </w:rPr>
              <w:t>” means the period of time: (a) commencing [***]; (b) commencing [***]; (c) commencing [***]; (d) commencing</w:t>
            </w:r>
          </w:p>
        </w:tc>
      </w:tr>
      <w:tr>
        <w:trPr>
          <w:trHeight w:val="234"/>
        </w:trPr>
        <w:tc>
          <w:tcPr>
            <w:tcW w:w="70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and (e) commencing [***].</w:t>
            </w:r>
          </w:p>
        </w:tc>
      </w:tr>
      <w:tr>
        <w:trPr>
          <w:trHeight w:val="365"/>
        </w:trPr>
        <w:tc>
          <w:tcPr>
            <w:tcW w:w="700" w:type="dxa"/>
            <w:vAlign w:val="bottom"/>
          </w:tcPr>
          <w:p>
            <w:pPr>
              <w:spacing w:after="0"/>
              <w:rPr>
                <w:sz w:val="24"/>
                <w:szCs w:val="24"/>
                <w:color w:val="auto"/>
              </w:rPr>
            </w:pPr>
          </w:p>
        </w:tc>
        <w:tc>
          <w:tcPr>
            <w:tcW w:w="988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-13-</w:t>
            </w:r>
          </w:p>
        </w:tc>
      </w:tr>
    </w:tbl>
    <w:p>
      <w:pPr>
        <w:ind w:left="4660"/>
        <w:spacing w:after="0"/>
        <w:rPr>
          <w:sz w:val="20"/>
          <w:szCs w:val="20"/>
          <w:color w:val="auto"/>
        </w:rPr>
        <w:sectPr>
          <w:pgSz w:w="11900" w:h="16838" w:orient="portrait"/>
          <w:cols w:equalWidth="0" w:num="1">
            <w:col w:w="10580"/>
          </w:cols>
          <w:pgMar w:left="440" w:top="266" w:right="8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14" w:name="page415"/>
    <w:bookmarkEnd w:id="414"/>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1.117</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Opt-Out Royalty</w:t>
            </w:r>
            <w:r>
              <w:rPr>
                <w:rFonts w:ascii="Times New Roman" w:cs="Times New Roman" w:eastAsia="Times New Roman" w:hAnsi="Times New Roman"/>
                <w:sz w:val="18"/>
                <w:szCs w:val="18"/>
                <w:color w:val="auto"/>
              </w:rPr>
              <w:t>” has the meaning set forth in Section 12.2.4(a) (Royalties).</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1.118</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“Other Opt-Out Profit”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“Other Opt-Out Loss” </w:t>
            </w:r>
            <w:r>
              <w:rPr>
                <w:rFonts w:ascii="Times New Roman" w:cs="Times New Roman" w:eastAsia="Times New Roman" w:hAnsi="Times New Roman"/>
                <w:sz w:val="18"/>
                <w:szCs w:val="18"/>
                <w:color w:val="auto"/>
              </w:rPr>
              <w:t>have the meaning set forth in</w:t>
            </w:r>
            <w:r>
              <w:rPr>
                <w:rFonts w:ascii="Times New Roman" w:cs="Times New Roman" w:eastAsia="Times New Roman" w:hAnsi="Times New Roman"/>
                <w:sz w:val="18"/>
                <w:szCs w:val="18"/>
                <w:b w:val="1"/>
                <w:bCs w:val="1"/>
                <w:color w:val="auto"/>
              </w:rPr>
              <w:t xml:space="preserve"> Schedule 1.115 </w:t>
            </w:r>
            <w:r>
              <w:rPr>
                <w:rFonts w:ascii="Times New Roman" w:cs="Times New Roman" w:eastAsia="Times New Roman" w:hAnsi="Times New Roman"/>
                <w:sz w:val="18"/>
                <w:szCs w:val="18"/>
                <w:color w:val="auto"/>
              </w:rPr>
              <w:t>(Other Opt-Out Profit and Loss), as</w:t>
            </w:r>
          </w:p>
        </w:tc>
      </w:tr>
      <w:tr>
        <w:trPr>
          <w:trHeight w:val="234"/>
        </w:trPr>
        <w:tc>
          <w:tcPr>
            <w:tcW w:w="70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be amended by the Parties from time to time.</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1.119</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Out-Licensing Agreement</w:t>
            </w:r>
            <w:r>
              <w:rPr>
                <w:rFonts w:ascii="Times New Roman" w:cs="Times New Roman" w:eastAsia="Times New Roman" w:hAnsi="Times New Roman"/>
                <w:sz w:val="18"/>
                <w:szCs w:val="18"/>
                <w:color w:val="auto"/>
              </w:rPr>
              <w:t>” means an agreement entered into between a Third Party, on the one hand, and a Party or the Parties or its or</w:t>
            </w:r>
          </w:p>
        </w:tc>
      </w:tr>
      <w:tr>
        <w:trPr>
          <w:trHeight w:val="234"/>
        </w:trPr>
        <w:tc>
          <w:tcPr>
            <w:tcW w:w="70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their Affiliates, on the other hand, that memorializes an Out-Licensing Transaction.</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Out-Licensing Criteria</w:t>
            </w:r>
            <w:r>
              <w:rPr>
                <w:rFonts w:ascii="Times New Roman" w:cs="Times New Roman" w:eastAsia="Times New Roman" w:hAnsi="Times New Roman"/>
                <w:sz w:val="18"/>
                <w:szCs w:val="18"/>
                <w:color w:val="auto"/>
              </w:rPr>
              <w:t>” has the meaning set forth in 10.2 (Out-Licensing Criteria).</w:t>
            </w:r>
          </w:p>
        </w:tc>
      </w:tr>
      <w:tr>
        <w:trPr>
          <w:trHeight w:val="31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1.121</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Out-Licensing Net Proceeds</w:t>
            </w:r>
            <w:r>
              <w:rPr>
                <w:rFonts w:ascii="Times New Roman" w:cs="Times New Roman" w:eastAsia="Times New Roman" w:hAnsi="Times New Roman"/>
                <w:sz w:val="18"/>
                <w:szCs w:val="18"/>
                <w:color w:val="auto"/>
              </w:rPr>
              <w:t>” means, with respect to a period of time, the amount equal to Shared Out-Licensing Income during such</w:t>
            </w:r>
          </w:p>
        </w:tc>
      </w:tr>
      <w:tr>
        <w:trPr>
          <w:trHeight w:val="236"/>
        </w:trPr>
        <w:tc>
          <w:tcPr>
            <w:tcW w:w="70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period of time,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 [***].</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1.122</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Out-Licensing Transaction</w:t>
            </w:r>
            <w:r>
              <w:rPr>
                <w:rFonts w:ascii="Times New Roman" w:cs="Times New Roman" w:eastAsia="Times New Roman" w:hAnsi="Times New Roman"/>
                <w:sz w:val="18"/>
                <w:szCs w:val="18"/>
                <w:color w:val="auto"/>
              </w:rPr>
              <w:t>” means a transaction between a Third Party, on the one hand, and a Party or the Parties or its or their</w:t>
            </w:r>
          </w:p>
        </w:tc>
      </w:tr>
      <w:tr>
        <w:trPr>
          <w:trHeight w:val="216"/>
        </w:trPr>
        <w:tc>
          <w:tcPr>
            <w:tcW w:w="7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Affiliates, on the other hand, in which such Party or the Parties or its or their Affiliates licenses, assigns, transfers or otherwise grants</w:t>
            </w:r>
          </w:p>
        </w:tc>
      </w:tr>
      <w:tr>
        <w:trPr>
          <w:trHeight w:val="216"/>
        </w:trPr>
        <w:tc>
          <w:tcPr>
            <w:tcW w:w="7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rights under the Terray Licensed Technology or the Odyssey Licensed Technology to such Third Party to Exploit Licensed Compounds or</w:t>
            </w:r>
          </w:p>
        </w:tc>
      </w:tr>
      <w:tr>
        <w:trPr>
          <w:trHeight w:val="216"/>
        </w:trPr>
        <w:tc>
          <w:tcPr>
            <w:tcW w:w="7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Licensed Products; provided that, for clarity, an Out-Licensing Transaction excludes a transaction or series of transactions under which a</w:t>
            </w:r>
          </w:p>
        </w:tc>
      </w:tr>
      <w:tr>
        <w:trPr>
          <w:trHeight w:val="234"/>
        </w:trPr>
        <w:tc>
          <w:tcPr>
            <w:tcW w:w="70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Party undergoes a Change of Control.</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1.123</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Out-of-Pocket Costs</w:t>
            </w:r>
            <w:r>
              <w:rPr>
                <w:rFonts w:ascii="Times New Roman" w:cs="Times New Roman" w:eastAsia="Times New Roman" w:hAnsi="Times New Roman"/>
                <w:sz w:val="18"/>
                <w:szCs w:val="18"/>
                <w:color w:val="auto"/>
              </w:rPr>
              <w:t>” means amounts actually incurred by a Party or its Affiliates with respect to Third Parties (including</w:t>
            </w:r>
          </w:p>
        </w:tc>
      </w:tr>
      <w:tr>
        <w:trPr>
          <w:trHeight w:val="234"/>
        </w:trPr>
        <w:tc>
          <w:tcPr>
            <w:tcW w:w="70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Subcontractors) in consideration for goods or services provided by such Third Parties in connection with this Agreement.</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1.124</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the Preamble.</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1.125</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means any challenge to the validity or enforceability of a Patent Right by commencing any opposition proceeding,</w:t>
            </w:r>
          </w:p>
        </w:tc>
      </w:tr>
      <w:tr>
        <w:trPr>
          <w:trHeight w:val="216"/>
        </w:trPr>
        <w:tc>
          <w:tcPr>
            <w:tcW w:w="7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post-grant review, inter partes review, or declaratory action, or any foreign equivalent thereof, in any court, arbitration proceeding, or other</w:t>
            </w:r>
          </w:p>
        </w:tc>
      </w:tr>
      <w:tr>
        <w:trPr>
          <w:trHeight w:val="234"/>
        </w:trPr>
        <w:tc>
          <w:tcPr>
            <w:tcW w:w="70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tribunal, including the United States Patent and Trademark Office and any foreign counterpart thereof.</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1.126</w:t>
            </w: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all rights, title, and interests in and to (a) all national, regional, and international patents and patent applications</w:t>
            </w:r>
          </w:p>
        </w:tc>
      </w:tr>
      <w:tr>
        <w:trPr>
          <w:trHeight w:val="216"/>
        </w:trPr>
        <w:tc>
          <w:tcPr>
            <w:tcW w:w="7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filed in any country of the world including provisional patent applications and all supplementary protection certificates, (b) all patent</w:t>
            </w:r>
          </w:p>
        </w:tc>
      </w:tr>
      <w:tr>
        <w:trPr>
          <w:trHeight w:val="234"/>
        </w:trPr>
        <w:tc>
          <w:tcPr>
            <w:tcW w:w="70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applications filed either from such patents, patent applications, or provisional applications or from an application claiming priority to any</w:t>
            </w:r>
          </w:p>
        </w:tc>
      </w:tr>
    </w:tbl>
    <w:p>
      <w:pPr>
        <w:ind w:left="980" w:right="2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foregoing, including any continuation, continuation-in part, divisional, provisional, converted provisionals and continued prosecution applications, or any substitute applications, (c) any patent issued with respect to or in the future issued from any such patent applications, including utility models, petty patents, design patents and certificates of invention, and (d) any and all extensions or restorations by existing or future extension or restoration mechanisms, including revalidations, reissues, reexaminations and extensions (including any supplementary protection certificates and the like) of the foregoing patents or patent applications.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1.127</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Subcontractor</w:t>
            </w:r>
            <w:r>
              <w:rPr>
                <w:rFonts w:ascii="Times New Roman" w:cs="Times New Roman" w:eastAsia="Times New Roman" w:hAnsi="Times New Roman"/>
                <w:sz w:val="18"/>
                <w:szCs w:val="18"/>
                <w:color w:val="auto"/>
              </w:rPr>
              <w:t>” has the meaning set forth in Section 3.5 (Research Materials).</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1.128</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sole proprietorship, partnership, limited partnership, limited liability partnership, corporation, limited</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company, business trust, joint stock company, trust, incorporated association, joint venture or similar entity or organization,</w:t>
            </w:r>
          </w:p>
        </w:tc>
      </w:tr>
      <w:tr>
        <w:trPr>
          <w:trHeight w:val="234"/>
        </w:trPr>
        <w:tc>
          <w:tcPr>
            <w:tcW w:w="7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including any Governmental Authority (or any department, agency, or political subdivision thereof).</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1.129</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1 Clinical Trial</w:t>
            </w:r>
            <w:r>
              <w:rPr>
                <w:rFonts w:ascii="Times New Roman" w:cs="Times New Roman" w:eastAsia="Times New Roman" w:hAnsi="Times New Roman"/>
                <w:sz w:val="18"/>
                <w:szCs w:val="18"/>
                <w:color w:val="auto"/>
              </w:rPr>
              <w:t>” means a clinical trial, or arm thereof, of an investigational product as described in 21 C.F.R. 312.21(a), as</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from time to time, or a comparable Clinical Trial prescribed by the relevant Regulatory Authority in a country other than the</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 The investigational product can be administered to patients as a single agent or in combination with other investigational or</w:t>
            </w:r>
          </w:p>
        </w:tc>
      </w:tr>
      <w:tr>
        <w:trPr>
          <w:trHeight w:val="234"/>
        </w:trPr>
        <w:tc>
          <w:tcPr>
            <w:tcW w:w="7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marketed agents.</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1.130</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 Clinical Trial</w:t>
            </w:r>
            <w:r>
              <w:rPr>
                <w:rFonts w:ascii="Times New Roman" w:cs="Times New Roman" w:eastAsia="Times New Roman" w:hAnsi="Times New Roman"/>
                <w:sz w:val="18"/>
                <w:szCs w:val="18"/>
                <w:color w:val="auto"/>
              </w:rPr>
              <w:t>” means a clinical trial, or arm thereof, of an investigational product as described in 21 C.F.R. 312.21(b), as</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from time to time, or a comparable Clinical Trial prescribed by the relevant Regulatory Authority in a country other than the</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 including a human clinical trial that is also designed to satisfy the requirements of 21 C.F.R. 312.21(a) or corresponding</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foreign regulations and is subsequently optimized or expanded to satisfy the requirements of 21 C.F.R. 312.21(b) (or corresponding foreign</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regulations). The investigational product can be administered to patients as a single agent or in combination with other investigational or</w:t>
            </w:r>
          </w:p>
        </w:tc>
      </w:tr>
      <w:tr>
        <w:trPr>
          <w:trHeight w:val="234"/>
        </w:trPr>
        <w:tc>
          <w:tcPr>
            <w:tcW w:w="7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marketed agents.</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1.131</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2b Clinical Trial</w:t>
            </w:r>
            <w:r>
              <w:rPr>
                <w:rFonts w:ascii="Times New Roman" w:cs="Times New Roman" w:eastAsia="Times New Roman" w:hAnsi="Times New Roman"/>
                <w:sz w:val="18"/>
                <w:szCs w:val="18"/>
                <w:color w:val="auto"/>
              </w:rPr>
              <w:t>” means (a) the second Phase 2 Clinical Trial for such Licensed Product or (b) any Phase 2 Clinical Trial the</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purpose of which is a determination of efficacy and safety, in the target population, at the intended clinical dose or doses or range</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doses, on a sufficient number of subjects and for a sufficient period of time to confirm the optimal manner of use of the applicable</w:t>
            </w:r>
          </w:p>
        </w:tc>
      </w:tr>
      <w:tr>
        <w:trPr>
          <w:trHeight w:val="234"/>
        </w:trPr>
        <w:tc>
          <w:tcPr>
            <w:tcW w:w="7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(dose and dose regimen) prior to the Initiation of a Phase 3 Clinical Trial.</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1.132</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Clinical Trial</w:t>
            </w:r>
            <w:r>
              <w:rPr>
                <w:rFonts w:ascii="Times New Roman" w:cs="Times New Roman" w:eastAsia="Times New Roman" w:hAnsi="Times New Roman"/>
                <w:sz w:val="18"/>
                <w:szCs w:val="18"/>
                <w:color w:val="auto"/>
              </w:rPr>
              <w:t>” means a clinical trial, or arm thereof, of an investigational product as described in 21 C.F.R. 312.21(c), as</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from time to time, or a comparable Clinical Trial prescribed by the relevant Regulatory Authority in a country other than the</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 including a human clinical trial that is also designed to satisfy the requirements of 21 C.F.R. 312.21(a) or (b) or</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corresponding foreign regulations and is subsequently optimized or expanded to satisfy the requirements of 21 C.F.R. 312.21(c) (or</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corresponding foreign regulations); provided that, in the event any clinical trial is subsequently optimized or expanded to satisfy 21 C.F.R.</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312.21(c) (or corresponding foreign regulations), such clinical trial shall be deemed a Phase 3 Clinical Trial on and after the date of</w:t>
            </w:r>
          </w:p>
        </w:tc>
      </w:tr>
      <w:tr>
        <w:trPr>
          <w:trHeight w:val="216"/>
        </w:trPr>
        <w:tc>
          <w:tcPr>
            <w:tcW w:w="7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Initiation of such expanded clinical trial. The investigational product can be administered to patients as a single agent or in combination</w:t>
            </w:r>
          </w:p>
        </w:tc>
      </w:tr>
      <w:tr>
        <w:trPr>
          <w:trHeight w:val="234"/>
        </w:trPr>
        <w:tc>
          <w:tcPr>
            <w:tcW w:w="7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other investigational or marketed agents.</w:t>
            </w:r>
          </w:p>
        </w:tc>
      </w:tr>
      <w:tr>
        <w:trPr>
          <w:trHeight w:val="3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1.133</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 Approval Clinical Trial</w:t>
            </w:r>
            <w:r>
              <w:rPr>
                <w:rFonts w:ascii="Times New Roman" w:cs="Times New Roman" w:eastAsia="Times New Roman" w:hAnsi="Times New Roman"/>
                <w:sz w:val="18"/>
                <w:szCs w:val="18"/>
                <w:color w:val="auto"/>
              </w:rPr>
              <w:t>” has the meaning set forth in Section 1.49 (Development).</w:t>
            </w:r>
          </w:p>
        </w:tc>
      </w:tr>
      <w:tr>
        <w:trPr>
          <w:trHeight w:val="3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1.134</w:t>
            </w:r>
          </w:p>
        </w:tc>
        <w:tc>
          <w:tcPr>
            <w:tcW w:w="10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In-License</w:t>
            </w:r>
            <w:r>
              <w:rPr>
                <w:rFonts w:ascii="Times New Roman" w:cs="Times New Roman" w:eastAsia="Times New Roman" w:hAnsi="Times New Roman"/>
                <w:sz w:val="18"/>
                <w:szCs w:val="18"/>
                <w:color w:val="auto"/>
              </w:rPr>
              <w:t>” has the meaning set forth in Section 4.7.2(b) (Negotiation of Potential In-Licenses).</w:t>
            </w:r>
          </w:p>
        </w:tc>
      </w:tr>
      <w:tr>
        <w:trPr>
          <w:trHeight w:val="365"/>
        </w:trPr>
        <w:tc>
          <w:tcPr>
            <w:tcW w:w="700" w:type="dxa"/>
            <w:vAlign w:val="bottom"/>
          </w:tcPr>
          <w:p>
            <w:pPr>
              <w:spacing w:after="0"/>
              <w:rPr>
                <w:sz w:val="24"/>
                <w:szCs w:val="24"/>
                <w:color w:val="auto"/>
              </w:rPr>
            </w:pPr>
          </w:p>
        </w:tc>
        <w:tc>
          <w:tcPr>
            <w:tcW w:w="1032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-15-</w:t>
            </w:r>
          </w:p>
        </w:tc>
      </w:tr>
    </w:tbl>
    <w:p>
      <w:pPr>
        <w:ind w:left="466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16" w:name="page417"/>
    <w:bookmarkEnd w:id="416"/>
    <w:tbl>
      <w:tblPr>
        <w:tblLayout w:type="fixed"/>
        <w:tblInd w:w="0" w:type="dxa"/>
        <w:tblCellMar>
          <w:top w:w="0" w:type="dxa"/>
          <w:left w:w="0" w:type="dxa"/>
          <w:bottom w:w="0" w:type="dxa"/>
          <w:right w:w="0" w:type="dxa"/>
        </w:tblCellMar>
      </w:tblPr>
      <w:tr>
        <w:trPr>
          <w:trHeight w:val="2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1.135</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Transaction</w:t>
            </w:r>
            <w:r>
              <w:rPr>
                <w:rFonts w:ascii="Times New Roman" w:cs="Times New Roman" w:eastAsia="Times New Roman" w:hAnsi="Times New Roman"/>
                <w:sz w:val="18"/>
                <w:szCs w:val="18"/>
                <w:color w:val="auto"/>
              </w:rPr>
              <w:t>” has the meaning set forth in Section 10.5 (Notice of Potential Transaction).</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1.136</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Pricing Approval</w:t>
            </w:r>
            <w:r>
              <w:rPr>
                <w:rFonts w:ascii="Times New Roman" w:cs="Times New Roman" w:eastAsia="Times New Roman" w:hAnsi="Times New Roman"/>
                <w:sz w:val="18"/>
                <w:szCs w:val="18"/>
                <w:color w:val="auto"/>
                <w:w w:val="99"/>
              </w:rPr>
              <w:t>” means any approval, agreement, determination, or decision establishing prices that can be charged to consumers for a</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pharmaceutical product or that will be reimbursed by Governmental Authorities for a pharmaceutical product, in each case, in a country in</w:t>
            </w:r>
          </w:p>
        </w:tc>
      </w:tr>
      <w:tr>
        <w:trPr>
          <w:trHeight w:val="234"/>
        </w:trPr>
        <w:tc>
          <w:tcPr>
            <w:tcW w:w="700" w:type="dxa"/>
            <w:vAlign w:val="bottom"/>
          </w:tcPr>
          <w:p>
            <w:pPr>
              <w:spacing w:after="0"/>
              <w:rPr>
                <w:sz w:val="20"/>
                <w:szCs w:val="20"/>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Territory where Governmental Authorities approve or determine pricing for pharmaceutical products for reimbursement or otherwise.</w:t>
            </w:r>
          </w:p>
        </w:tc>
      </w:tr>
      <w:tr>
        <w:trPr>
          <w:trHeight w:val="3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1.137</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has the meaning set forth in Section 2.1 (IRF5 Program).</w:t>
            </w:r>
          </w:p>
        </w:tc>
      </w:tr>
      <w:tr>
        <w:trPr>
          <w:trHeight w:val="3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1.138</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has the meaning set forth in Section 18.3.1 (Proposals).</w:t>
            </w:r>
          </w:p>
        </w:tc>
      </w:tr>
      <w:tr>
        <w:trPr>
          <w:trHeight w:val="3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1.139</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has the meaning set forth in Section 14.3 (Publications and Presentations).</w:t>
            </w:r>
          </w:p>
        </w:tc>
      </w:tr>
      <w:tr>
        <w:trPr>
          <w:trHeight w:val="3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1.140</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has the meaning set forth in Section 1.40 (Confidential Information).</w:t>
            </w:r>
          </w:p>
        </w:tc>
      </w:tr>
      <w:tr>
        <w:trPr>
          <w:trHeight w:val="3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1.141</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Reconciliation Report</w:t>
            </w:r>
            <w:r>
              <w:rPr>
                <w:rFonts w:ascii="Times New Roman" w:cs="Times New Roman" w:eastAsia="Times New Roman" w:hAnsi="Times New Roman"/>
                <w:sz w:val="18"/>
                <w:szCs w:val="18"/>
                <w:color w:val="auto"/>
              </w:rPr>
              <w:t>” has the meaning set forth in Section 12.1.1 (Reconciliation of Collaboration Profits and Losses).</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1.142</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Registrational Trial</w:t>
            </w:r>
            <w:r>
              <w:rPr>
                <w:rFonts w:ascii="Times New Roman" w:cs="Times New Roman" w:eastAsia="Times New Roman" w:hAnsi="Times New Roman"/>
                <w:sz w:val="18"/>
                <w:szCs w:val="18"/>
                <w:color w:val="auto"/>
              </w:rPr>
              <w:t>” means any (a) a Phase 3 Clinical Trial, or (b) other Clinical Trial (or arm thereof) of a pharmaceutical or biologic</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the results of which, together with prior data and information concerning such product, are intended to be or otherwise are</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sufficient, without any additional Clinical Trial, to meet the evidentiary standard for demonstrating the safety, purity, efficacy, and potency</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the active substance of such product established by a Regulatory Authority in any particular jurisdiction and is intended to support, or</w:t>
            </w:r>
          </w:p>
        </w:tc>
      </w:tr>
      <w:tr>
        <w:trPr>
          <w:trHeight w:val="234"/>
        </w:trPr>
        <w:tc>
          <w:tcPr>
            <w:tcW w:w="700" w:type="dxa"/>
            <w:vAlign w:val="bottom"/>
          </w:tcPr>
          <w:p>
            <w:pPr>
              <w:spacing w:after="0"/>
              <w:rPr>
                <w:sz w:val="20"/>
                <w:szCs w:val="20"/>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otherwise supports, the filing of an MAA in such jurisdiction (including any bridging study meeting the foregoing requirements).</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1.143</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any pharmaceutical or biologic product in any country or jurisdiction, any approval</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(excluding any Pricing Approval), registration, license, or authorization from a Regulatory Authority in a country or other jurisdiction</w:t>
            </w:r>
          </w:p>
        </w:tc>
      </w:tr>
      <w:tr>
        <w:trPr>
          <w:trHeight w:val="234"/>
        </w:trPr>
        <w:tc>
          <w:tcPr>
            <w:tcW w:w="700" w:type="dxa"/>
            <w:vAlign w:val="bottom"/>
          </w:tcPr>
          <w:p>
            <w:pPr>
              <w:spacing w:after="0"/>
              <w:rPr>
                <w:sz w:val="20"/>
                <w:szCs w:val="20"/>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required to market and sell such Licensed Product in such country or jurisdiction.</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1.144</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Governmental Authority responsible for granting Regulatory Approvals or any Pricing</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Approvals, as applicable, for pharmaceutical or biologic products, including the FDA and the EMA, and any corresponding national or</w:t>
            </w:r>
          </w:p>
        </w:tc>
      </w:tr>
      <w:tr>
        <w:trPr>
          <w:trHeight w:val="234"/>
        </w:trPr>
        <w:tc>
          <w:tcPr>
            <w:tcW w:w="700" w:type="dxa"/>
            <w:vAlign w:val="bottom"/>
          </w:tcPr>
          <w:p>
            <w:pPr>
              <w:spacing w:after="0"/>
              <w:rPr>
                <w:sz w:val="20"/>
                <w:szCs w:val="20"/>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regional regulatory authorities.</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1.145</w:t>
            </w: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Exclusivity</w:t>
            </w:r>
            <w:r>
              <w:rPr>
                <w:rFonts w:ascii="Times New Roman" w:cs="Times New Roman" w:eastAsia="Times New Roman" w:hAnsi="Times New Roman"/>
                <w:sz w:val="18"/>
                <w:szCs w:val="18"/>
                <w:color w:val="auto"/>
              </w:rPr>
              <w:t>” means, with respect to any Licensed Product in any country or jurisdiction in the Territory, the period of time</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during which: (a) a Party or its Affiliate or Sublicensee has been granted the exclusive legal right by a Regulatory Authority, other than</w:t>
            </w:r>
          </w:p>
        </w:tc>
      </w:tr>
      <w:tr>
        <w:trPr>
          <w:trHeight w:val="216"/>
        </w:trPr>
        <w:tc>
          <w:tcPr>
            <w:tcW w:w="7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through a Patent Right, including orphan drug exclusivity, pediatric exclusivity, rights conferred in the U.S. under the FD&amp;C Act, rights in</w:t>
            </w:r>
          </w:p>
        </w:tc>
      </w:tr>
      <w:tr>
        <w:trPr>
          <w:trHeight w:val="234"/>
        </w:trPr>
        <w:tc>
          <w:tcPr>
            <w:tcW w:w="700" w:type="dxa"/>
            <w:vAlign w:val="bottom"/>
          </w:tcPr>
          <w:p>
            <w:pPr>
              <w:spacing w:after="0"/>
              <w:rPr>
                <w:sz w:val="20"/>
                <w:szCs w:val="20"/>
                <w:color w:val="auto"/>
              </w:rPr>
            </w:pPr>
          </w:p>
        </w:tc>
        <w:tc>
          <w:tcPr>
            <w:tcW w:w="10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EU under Directive 2001/83/EC, or rights similar thereto in other countries or regulatory jurisdictions in the Territory, or is otherwise</w:t>
            </w:r>
          </w:p>
        </w:tc>
      </w:tr>
    </w:tbl>
    <w:p>
      <w:pPr>
        <w:ind w:left="9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entitled to the exclusive legal right by operation of Applicable Law in such country to market and sell such Licensed Product, and such right precludes the receipt of Regulatory Approval of any Third Party product that is deemed to be the same or a similar drug, in each case, under applicable orphan drug regulations; or (b) the data and information submitted by a Party or its Affiliate or Sublicensee to the relevant Regulatory Authority in such country or jurisdiction for purposes of obtaining Regulatory Approval of such Licensed Product may not be disclosed, referenced, or relied upon in any way by any Third Party or such Regulatory Authority to support the Regulatory Approval or</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417" w:name="page418"/>
    <w:bookmarkEnd w:id="417"/>
    <w:p>
      <w:pPr>
        <w:ind w:left="98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marketing of any product by any Third Party in such country or jurisdiction, or if such data and information is disclosed, referenced, or relied upon to support a Regulatory Approval granted to any Third Party in such country or jurisdiction, then the product may not be placed on the market for any indication.</w:t>
      </w:r>
    </w:p>
    <w:p>
      <w:pPr>
        <w:spacing w:after="0" w:line="77" w:lineRule="exact"/>
        <w:rPr>
          <w:sz w:val="20"/>
          <w:szCs w:val="20"/>
          <w:color w:val="auto"/>
        </w:rPr>
      </w:pPr>
    </w:p>
    <w:p>
      <w:pPr>
        <w:ind w:left="980" w:hanging="984"/>
        <w:spacing w:after="0" w:line="259"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1.146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Submissions</w:t>
      </w:r>
      <w:r>
        <w:rPr>
          <w:rFonts w:ascii="Times New Roman" w:cs="Times New Roman" w:eastAsia="Times New Roman" w:hAnsi="Times New Roman"/>
          <w:sz w:val="18"/>
          <w:szCs w:val="18"/>
          <w:color w:val="auto"/>
        </w:rPr>
        <w:t>” means any regulatory application, submission, notification, communication, correspondence, registration, Regulatory Approval, and other filing, made to, received from or otherwise conducted with a Regulatory Authority related to Developing, Manufacturing, obtaining marketing authorization, or otherwise Commercializing a pharmaceutical or biologic product in a particular country or jurisdiction, including all INDs and MAAs, and all applications for Regulatory Approval together with all supplements or amendments to any of the foregoing.</w:t>
      </w:r>
    </w:p>
    <w:p>
      <w:pPr>
        <w:spacing w:after="0" w:line="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Re-Opt-In</w:t>
      </w:r>
      <w:r>
        <w:rPr>
          <w:rFonts w:ascii="Times New Roman" w:cs="Times New Roman" w:eastAsia="Times New Roman" w:hAnsi="Times New Roman"/>
          <w:sz w:val="18"/>
          <w:szCs w:val="18"/>
          <w:color w:val="auto"/>
        </w:rPr>
        <w:t>” has the meaning set forth in Section 11.3.1 (Option to Re-Opt-In).</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Re-Opt-In Date</w:t>
      </w:r>
      <w:r>
        <w:rPr>
          <w:rFonts w:ascii="Times New Roman" w:cs="Times New Roman" w:eastAsia="Times New Roman" w:hAnsi="Times New Roman"/>
          <w:sz w:val="17"/>
          <w:szCs w:val="17"/>
          <w:color w:val="auto"/>
        </w:rPr>
        <w:t>” has the meaning set forth in Section 11.3.2 (Exercise of Re-Opt-In).</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1.149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Re-Opt-In Deadline</w:t>
      </w:r>
      <w:r>
        <w:rPr>
          <w:rFonts w:ascii="Times New Roman" w:cs="Times New Roman" w:eastAsia="Times New Roman" w:hAnsi="Times New Roman"/>
          <w:sz w:val="18"/>
          <w:szCs w:val="18"/>
          <w:color w:val="auto"/>
        </w:rPr>
        <w:t>” has the meaning set forth in Section 3.2.1 (Content of Research Plan).</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Re-Opt-In Payment</w:t>
      </w:r>
      <w:r>
        <w:rPr>
          <w:rFonts w:ascii="Times New Roman" w:cs="Times New Roman" w:eastAsia="Times New Roman" w:hAnsi="Times New Roman"/>
          <w:sz w:val="18"/>
          <w:szCs w:val="18"/>
          <w:color w:val="auto"/>
        </w:rPr>
        <w:t>” means an amount equal to (a) [***].</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Research Activities</w:t>
      </w:r>
      <w:r>
        <w:rPr>
          <w:rFonts w:ascii="Times New Roman" w:cs="Times New Roman" w:eastAsia="Times New Roman" w:hAnsi="Times New Roman"/>
          <w:sz w:val="17"/>
          <w:szCs w:val="17"/>
          <w:color w:val="auto"/>
        </w:rPr>
        <w:t>” means the activities assigned to a Party within the Research Plan.</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Research Budget</w:t>
      </w:r>
      <w:r>
        <w:rPr>
          <w:rFonts w:ascii="Times New Roman" w:cs="Times New Roman" w:eastAsia="Times New Roman" w:hAnsi="Times New Roman"/>
          <w:sz w:val="17"/>
          <w:szCs w:val="17"/>
          <w:color w:val="auto"/>
        </w:rPr>
        <w:t>” has the meaning set forth in Section 3.2.3 (Research Costs; Research Budget).</w:t>
      </w:r>
    </w:p>
    <w:p>
      <w:pPr>
        <w:spacing w:after="0" w:line="131" w:lineRule="exact"/>
        <w:rPr>
          <w:sz w:val="20"/>
          <w:szCs w:val="20"/>
          <w:color w:val="auto"/>
        </w:rPr>
      </w:pPr>
    </w:p>
    <w:p>
      <w:pPr>
        <w:ind w:left="980" w:right="2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1.153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Materials</w:t>
      </w:r>
      <w:r>
        <w:rPr>
          <w:rFonts w:ascii="Times New Roman" w:cs="Times New Roman" w:eastAsia="Times New Roman" w:hAnsi="Times New Roman"/>
          <w:sz w:val="18"/>
          <w:szCs w:val="18"/>
          <w:color w:val="auto"/>
        </w:rPr>
        <w:t>” means those Materials set forth in the Research Plan to be provided by one Party to the other Party for the conduct of activities under the Research Plan, including by way of example, animal models.</w:t>
      </w:r>
    </w:p>
    <w:p>
      <w:pPr>
        <w:spacing w:after="0" w:line="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Plan</w:t>
      </w:r>
      <w:r>
        <w:rPr>
          <w:rFonts w:ascii="Times New Roman" w:cs="Times New Roman" w:eastAsia="Times New Roman" w:hAnsi="Times New Roman"/>
          <w:sz w:val="18"/>
          <w:szCs w:val="18"/>
          <w:color w:val="auto"/>
        </w:rPr>
        <w:t>” has the meaning set forth in Section 3.2.1 (Content of Research Plan).</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Report</w:t>
      </w:r>
      <w:r>
        <w:rPr>
          <w:rFonts w:ascii="Times New Roman" w:cs="Times New Roman" w:eastAsia="Times New Roman" w:hAnsi="Times New Roman"/>
          <w:sz w:val="17"/>
          <w:szCs w:val="17"/>
          <w:color w:val="auto"/>
        </w:rPr>
        <w:t>” has the meaning set forth in Section 12.2.4(c) (Royalty Reports; Payments).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means, on a Licensed Product-by-Licensed Product and country-by-country basis, the period commencing on [***].</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Commercialization Costs</w:t>
      </w:r>
      <w:r>
        <w:rPr>
          <w:rFonts w:ascii="Times New Roman" w:cs="Times New Roman" w:eastAsia="Times New Roman" w:hAnsi="Times New Roman"/>
          <w:sz w:val="17"/>
          <w:szCs w:val="17"/>
          <w:color w:val="auto"/>
        </w:rPr>
        <w:t>” has the meaning set forth in Section 8.3.3 (Commercialization Costs; Commercialization Budget).</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Defense Costs</w:t>
      </w:r>
      <w:r>
        <w:rPr>
          <w:rFonts w:ascii="Times New Roman" w:cs="Times New Roman" w:eastAsia="Times New Roman" w:hAnsi="Times New Roman"/>
          <w:sz w:val="17"/>
          <w:szCs w:val="17"/>
          <w:color w:val="auto"/>
        </w:rPr>
        <w:t>” has the meaning set forth in Section 13.4 (Defense of Claims).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70" w:right="539" w:bottom="1440" w:gutter="0" w:footer="0" w:header="0"/>
        </w:sectPr>
      </w:pPr>
    </w:p>
    <w:bookmarkStart w:id="418" w:name="page419"/>
    <w:bookmarkEnd w:id="41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Development Costs</w:t>
      </w:r>
      <w:r>
        <w:rPr>
          <w:rFonts w:ascii="Times New Roman" w:cs="Times New Roman" w:eastAsia="Times New Roman" w:hAnsi="Times New Roman"/>
          <w:sz w:val="17"/>
          <w:szCs w:val="17"/>
          <w:color w:val="auto"/>
        </w:rPr>
        <w:t>” has the meaning set forth in Section 6.3.3 (Development Costs; Development Budget).</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Enforcement Costs</w:t>
      </w:r>
      <w:r>
        <w:rPr>
          <w:rFonts w:ascii="Times New Roman" w:cs="Times New Roman" w:eastAsia="Times New Roman" w:hAnsi="Times New Roman"/>
          <w:sz w:val="17"/>
          <w:szCs w:val="17"/>
          <w:color w:val="auto"/>
        </w:rPr>
        <w:t>” has the meaning set forth in Section 13.3.5 (Enforcement Costs and Recoveries).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Enforcement Recoveries</w:t>
      </w:r>
      <w:r>
        <w:rPr>
          <w:rFonts w:ascii="Times New Roman" w:cs="Times New Roman" w:eastAsia="Times New Roman" w:hAnsi="Times New Roman"/>
          <w:sz w:val="17"/>
          <w:szCs w:val="17"/>
          <w:color w:val="auto"/>
        </w:rPr>
        <w:t>” has the meaning set forth in Section 13.3.5 (Enforcement Costs and Recoveries).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In-Licensing Costs</w:t>
      </w:r>
      <w:r>
        <w:rPr>
          <w:rFonts w:ascii="Times New Roman" w:cs="Times New Roman" w:eastAsia="Times New Roman" w:hAnsi="Times New Roman"/>
          <w:sz w:val="17"/>
          <w:szCs w:val="17"/>
          <w:color w:val="auto"/>
        </w:rPr>
        <w:t>” has the meaning set forth in Section 4.7.2(b)(ii) (Negotiation of Potential In-Licenses).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Insurance Costs</w:t>
      </w:r>
      <w:r>
        <w:rPr>
          <w:rFonts w:ascii="Times New Roman" w:cs="Times New Roman" w:eastAsia="Times New Roman" w:hAnsi="Times New Roman"/>
          <w:sz w:val="17"/>
          <w:szCs w:val="17"/>
          <w:color w:val="auto"/>
        </w:rPr>
        <w:t>” has the meaning set forth in Section 16.6 (Insurance Obligations).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Loss Costs</w:t>
      </w:r>
      <w:r>
        <w:rPr>
          <w:rFonts w:ascii="Times New Roman" w:cs="Times New Roman" w:eastAsia="Times New Roman" w:hAnsi="Times New Roman"/>
          <w:sz w:val="18"/>
          <w:szCs w:val="18"/>
          <w:color w:val="auto"/>
        </w:rPr>
        <w:t>” has the meaning set forth in Section 16.4 (Shared Losses).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Out-Licensing Costs</w:t>
      </w:r>
      <w:r>
        <w:rPr>
          <w:rFonts w:ascii="Times New Roman" w:cs="Times New Roman" w:eastAsia="Times New Roman" w:hAnsi="Times New Roman"/>
          <w:sz w:val="17"/>
          <w:szCs w:val="17"/>
          <w:color w:val="auto"/>
        </w:rPr>
        <w:t>” has the meaning set forth in Section 10.6 (Out-Licensing Costs and Income).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Out-Licensing Income</w:t>
      </w:r>
      <w:r>
        <w:rPr>
          <w:rFonts w:ascii="Times New Roman" w:cs="Times New Roman" w:eastAsia="Times New Roman" w:hAnsi="Times New Roman"/>
          <w:sz w:val="18"/>
          <w:szCs w:val="18"/>
          <w:color w:val="auto"/>
        </w:rPr>
        <w:t>” has the meaning set forth in Section 10.6 (Out-Licensing Costs and Income).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Prosecution Costs</w:t>
      </w:r>
      <w:r>
        <w:rPr>
          <w:rFonts w:ascii="Times New Roman" w:cs="Times New Roman" w:eastAsia="Times New Roman" w:hAnsi="Times New Roman"/>
          <w:sz w:val="17"/>
          <w:szCs w:val="17"/>
          <w:color w:val="auto"/>
        </w:rPr>
        <w:t>” has the meaning set forth in Section 13.2.5 (Prosecution Costs).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Regulatory Costs</w:t>
      </w:r>
      <w:r>
        <w:rPr>
          <w:rFonts w:ascii="Times New Roman" w:cs="Times New Roman" w:eastAsia="Times New Roman" w:hAnsi="Times New Roman"/>
          <w:sz w:val="17"/>
          <w:szCs w:val="17"/>
          <w:color w:val="auto"/>
        </w:rPr>
        <w:t>” has the meaning set forth in Section 7.4 (Regulatory Costs).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1.169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has the meaning set forth in Section 14.1.4(a)(vi) (Of Confidential Information).</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1.170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Research Costs</w:t>
      </w:r>
      <w:r>
        <w:rPr>
          <w:rFonts w:ascii="Times New Roman" w:cs="Times New Roman" w:eastAsia="Times New Roman" w:hAnsi="Times New Roman"/>
          <w:sz w:val="17"/>
          <w:szCs w:val="17"/>
          <w:color w:val="auto"/>
        </w:rPr>
        <w:t>” has the meaning set forth in Section 3.2.3 (Research Costs; Research Budget).</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1.171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Subcommittee</w:t>
      </w:r>
      <w:r>
        <w:rPr>
          <w:rFonts w:ascii="Times New Roman" w:cs="Times New Roman" w:eastAsia="Times New Roman" w:hAnsi="Times New Roman"/>
          <w:sz w:val="17"/>
          <w:szCs w:val="17"/>
          <w:color w:val="auto"/>
        </w:rPr>
        <w:t>” has the meaning set forth in Section 5.2 (Additional Committees).</w:t>
      </w:r>
    </w:p>
    <w:p>
      <w:pPr>
        <w:spacing w:after="0" w:line="131" w:lineRule="exact"/>
        <w:rPr>
          <w:sz w:val="20"/>
          <w:szCs w:val="20"/>
          <w:color w:val="auto"/>
        </w:rPr>
      </w:pPr>
    </w:p>
    <w:p>
      <w:pPr>
        <w:jc w:val="right"/>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means a Third Party contractor engaged by a Party to perform certain obligations or exercise certain rights of such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on a fee-for-service basis (including any contract research organizations and contract manufacturing organizations).</w:t>
      </w:r>
    </w:p>
    <w:p>
      <w:pPr>
        <w:spacing w:after="0" w:line="60" w:lineRule="exact"/>
        <w:rPr>
          <w:sz w:val="20"/>
          <w:szCs w:val="20"/>
          <w:color w:val="auto"/>
        </w:rPr>
      </w:pPr>
    </w:p>
    <w:p>
      <w:pPr>
        <w:ind w:left="980" w:hanging="984"/>
        <w:spacing w:after="0" w:line="268"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1.173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any Person, other than a Party or an Affiliate of a Party, to whom a Party (or a downstream Sublicensee of a Party) grants a sublicense of the licenses granted to such Party under this Agreement. Notwithstanding the foregoing, a Third Party Out-Licensee shall not be deemed a Sublicensee.</w:t>
      </w:r>
    </w:p>
    <w:p>
      <w:pPr>
        <w:spacing w:after="0" w:line="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1.174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has the meaning set forth in Section 17.1 (Term).</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1.175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w:t>
      </w:r>
      <w:r>
        <w:rPr>
          <w:rFonts w:ascii="Times New Roman" w:cs="Times New Roman" w:eastAsia="Times New Roman" w:hAnsi="Times New Roman"/>
          <w:sz w:val="17"/>
          <w:szCs w:val="17"/>
          <w:color w:val="auto"/>
        </w:rPr>
        <w:t>” has the meaning set forth in the Preamble.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1.176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Collaboration Know-How</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66" w:right="519" w:bottom="1440" w:gutter="0" w:footer="0" w:header="0"/>
        </w:sectPr>
      </w:pPr>
    </w:p>
    <w:bookmarkStart w:id="419" w:name="page420"/>
    <w:bookmarkEnd w:id="41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1.177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Collaboration Patent Rights</w:t>
      </w:r>
      <w:r>
        <w:rPr>
          <w:rFonts w:ascii="Times New Roman" w:cs="Times New Roman" w:eastAsia="Times New Roman" w:hAnsi="Times New Roman"/>
          <w:sz w:val="17"/>
          <w:szCs w:val="17"/>
          <w:color w:val="auto"/>
        </w:rPr>
        <w:t>” means [***].</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Collaboration Technology</w:t>
      </w:r>
      <w:r>
        <w:rPr>
          <w:rFonts w:ascii="Times New Roman" w:cs="Times New Roman" w:eastAsia="Times New Roman" w:hAnsi="Times New Roman"/>
          <w:sz w:val="17"/>
          <w:szCs w:val="17"/>
          <w:color w:val="auto"/>
        </w:rPr>
        <w:t>” means the Terray Collaboration Know-How and Terray Collaboration Patent Rights.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1.179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Indemnitees</w:t>
      </w:r>
      <w:r>
        <w:rPr>
          <w:rFonts w:ascii="Times New Roman" w:cs="Times New Roman" w:eastAsia="Times New Roman" w:hAnsi="Times New Roman"/>
          <w:sz w:val="17"/>
          <w:szCs w:val="17"/>
          <w:color w:val="auto"/>
        </w:rPr>
        <w:t>” has the meaning set forth in Section 16.1 (Indemnification of Terray by Odyssey).</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1.180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Licensed Know-How</w:t>
      </w:r>
      <w:r>
        <w:rPr>
          <w:rFonts w:ascii="Times New Roman" w:cs="Times New Roman" w:eastAsia="Times New Roman" w:hAnsi="Times New Roman"/>
          <w:sz w:val="17"/>
          <w:szCs w:val="17"/>
          <w:color w:val="auto"/>
        </w:rPr>
        <w:t>” means, [***].</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1.181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Licensed Patent Rights</w:t>
      </w:r>
      <w:r>
        <w:rPr>
          <w:rFonts w:ascii="Times New Roman" w:cs="Times New Roman" w:eastAsia="Times New Roman" w:hAnsi="Times New Roman"/>
          <w:sz w:val="17"/>
          <w:szCs w:val="17"/>
          <w:color w:val="auto"/>
        </w:rPr>
        <w:t>” means [***].</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1.182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Licensed Technology</w:t>
      </w:r>
      <w:r>
        <w:rPr>
          <w:rFonts w:ascii="Times New Roman" w:cs="Times New Roman" w:eastAsia="Times New Roman" w:hAnsi="Times New Roman"/>
          <w:sz w:val="17"/>
          <w:szCs w:val="17"/>
          <w:color w:val="auto"/>
        </w:rPr>
        <w:t>” means the Terray Licensed Know-How and Terray Licensed Patent Rights.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1.183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Platform</w:t>
      </w:r>
      <w:r>
        <w:rPr>
          <w:rFonts w:ascii="Times New Roman" w:cs="Times New Roman" w:eastAsia="Times New Roman" w:hAnsi="Times New Roman"/>
          <w:sz w:val="17"/>
          <w:szCs w:val="17"/>
          <w:color w:val="auto"/>
        </w:rPr>
        <w:t>” means [***].</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Platform Improvement Know-How</w:t>
      </w:r>
      <w:r>
        <w:rPr>
          <w:rFonts w:ascii="Times New Roman" w:cs="Times New Roman" w:eastAsia="Times New Roman" w:hAnsi="Times New Roman"/>
          <w:sz w:val="17"/>
          <w:szCs w:val="17"/>
          <w:color w:val="auto"/>
        </w:rPr>
        <w:t>” has the meaning set forth in Section 1.185 (Terray Platform Know-How).</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1.185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Platform Know-How</w:t>
      </w:r>
      <w:r>
        <w:rPr>
          <w:rFonts w:ascii="Times New Roman" w:cs="Times New Roman" w:eastAsia="Times New Roman" w:hAnsi="Times New Roman"/>
          <w:sz w:val="17"/>
          <w:szCs w:val="17"/>
          <w:color w:val="auto"/>
        </w:rPr>
        <w:t>” means [***].</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Terray Platform Patent Rights</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19"/>
          </w:cols>
          <w:pgMar w:left="440" w:top="266" w:right="1440"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1.187</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Terray Platform Technology</w:t>
            </w:r>
            <w:r>
              <w:rPr>
                <w:rFonts w:ascii="Times New Roman" w:cs="Times New Roman" w:eastAsia="Times New Roman" w:hAnsi="Times New Roman"/>
                <w:sz w:val="18"/>
                <w:szCs w:val="18"/>
                <w:color w:val="auto"/>
              </w:rPr>
              <w:t>” means the Terray Platform Know-How and Terray Platform Patent Rights.</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1.188</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all countries of the world and all territories and possessions thereof.</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1.189</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 Party or its Affiliates.</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1.190</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Distributor</w:t>
            </w:r>
            <w:r>
              <w:rPr>
                <w:rFonts w:ascii="Times New Roman" w:cs="Times New Roman" w:eastAsia="Times New Roman" w:hAnsi="Times New Roman"/>
                <w:sz w:val="18"/>
                <w:szCs w:val="18"/>
                <w:color w:val="auto"/>
              </w:rPr>
              <w:t>” means any Third Party that distributes (but does not Develop or Manufacture) a Licensed Product directly to</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customers, but does not make any royalty or profit-sharing payment, or any other payment in consideration for the purchase of Licensed</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other than the transfer price for sale of such product.</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1.191</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Out-Licensee</w:t>
            </w:r>
            <w:r>
              <w:rPr>
                <w:rFonts w:ascii="Times New Roman" w:cs="Times New Roman" w:eastAsia="Times New Roman" w:hAnsi="Times New Roman"/>
                <w:sz w:val="18"/>
                <w:szCs w:val="18"/>
                <w:color w:val="auto"/>
              </w:rPr>
              <w:t>” means a Third Party that is a party to an Out-Licensing Agreement.</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1.192</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Payment</w:t>
            </w:r>
            <w:r>
              <w:rPr>
                <w:rFonts w:ascii="Times New Roman" w:cs="Times New Roman" w:eastAsia="Times New Roman" w:hAnsi="Times New Roman"/>
                <w:sz w:val="18"/>
                <w:szCs w:val="18"/>
                <w:color w:val="auto"/>
              </w:rPr>
              <w:t>” means all upfront, milestone, royalty, and other payments (including required reimbursement for costs incurred</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in connection with enforcement or other actions and required sharing of certain recoveries) paid by a Party to any Third Party pursuant to a</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Collaboration In-License.</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1.193</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all registered and unregistered trademarks, service marks, trade dress, trade names, logos, insignias, symbols,</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designs, and all other indicia of ownership, and combinations thereof.</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1.194</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“U.S.” means the United States of America and all of its districts, territories and possessions.</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1.195</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or “$” means the legal tender of the U.S.</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1.196</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a claim of an issued and unexpired patent (as may be extended through supplementary protection certificate or</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patent term extension or the like) that has not been revoked, held invalid, or unenforceable by a patent office or other Governmental</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Authority of competent jurisdiction in a final and non-appealable judgment (or judgment from which no appeal was taken within the</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allowable time period) and which claim has not been disclaimed, denied, or admitted to be invalid or unenforceable through reissue,</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re-examination, or disclaimer or otherwise; or (b) a pending claim of an unissued, pending patent application, which application has not</w:t>
            </w:r>
          </w:p>
        </w:tc>
      </w:tr>
      <w:tr>
        <w:trPr>
          <w:trHeight w:val="214"/>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been pending for more than [***] since the date of the first response on the merits received from the relevant patent office regarding such</w:t>
            </w:r>
          </w:p>
        </w:tc>
      </w:tr>
      <w:tr>
        <w:trPr>
          <w:trHeight w:val="218"/>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application, provided that such [***] period will be tolled with respect to either (a) or (b) for the duration of any adverse proceeding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Third Party oppositions or any appeal of an adverse determination against the Valid Claim) with respect to the patent application at issue.</w:t>
            </w: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1.197</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Party</w:t>
            </w:r>
            <w:r>
              <w:rPr>
                <w:rFonts w:ascii="Times New Roman" w:cs="Times New Roman" w:eastAsia="Times New Roman" w:hAnsi="Times New Roman"/>
                <w:sz w:val="18"/>
                <w:szCs w:val="18"/>
                <w:color w:val="auto"/>
              </w:rPr>
              <w:t>” has the meaning set forth in Section 12.9 (Withholding Taxes).</w:t>
            </w:r>
          </w:p>
        </w:tc>
      </w:tr>
      <w:tr>
        <w:trPr>
          <w:trHeight w:val="626"/>
        </w:trPr>
        <w:tc>
          <w:tcPr>
            <w:tcW w:w="700" w:type="dxa"/>
            <w:vAlign w:val="bottom"/>
          </w:tcPr>
          <w:p>
            <w:pPr>
              <w:spacing w:after="0"/>
              <w:rPr>
                <w:sz w:val="24"/>
                <w:szCs w:val="24"/>
                <w:color w:val="auto"/>
              </w:rPr>
            </w:pPr>
          </w:p>
        </w:tc>
        <w:tc>
          <w:tcPr>
            <w:tcW w:w="1030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ARTICLE 2</w:t>
            </w:r>
          </w:p>
        </w:tc>
      </w:tr>
      <w:tr>
        <w:trPr>
          <w:trHeight w:val="238"/>
        </w:trPr>
        <w:tc>
          <w:tcPr>
            <w:tcW w:w="700" w:type="dxa"/>
            <w:vAlign w:val="bottom"/>
          </w:tcPr>
          <w:p>
            <w:pPr>
              <w:spacing w:after="0"/>
              <w:rPr>
                <w:sz w:val="20"/>
                <w:szCs w:val="20"/>
                <w:color w:val="auto"/>
              </w:rPr>
            </w:pPr>
          </w:p>
        </w:tc>
        <w:tc>
          <w:tcPr>
            <w:tcW w:w="1030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COLLABORATION OVERVIEW</w:t>
            </w:r>
          </w:p>
        </w:tc>
      </w:tr>
      <w:tr>
        <w:trPr>
          <w:trHeight w:val="441"/>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IRF5 Program</w:t>
            </w:r>
            <w:r>
              <w:rPr>
                <w:rFonts w:ascii="Times New Roman" w:cs="Times New Roman" w:eastAsia="Times New Roman" w:hAnsi="Times New Roman"/>
                <w:sz w:val="18"/>
                <w:szCs w:val="18"/>
                <w:color w:val="auto"/>
                <w:w w:val="99"/>
              </w:rPr>
              <w:t>. Subject to the terms and conditions of this Agreement, the intent of the Parties hereunder is to (a) conduct certain research</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activities set forth in the Research Plan to identify one or more Development Candidates directed to IRF5 and (b) further Develop,</w:t>
            </w:r>
          </w:p>
        </w:tc>
      </w:tr>
    </w:tbl>
    <w:p>
      <w:pPr>
        <w:ind w:left="980" w:right="16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Manufacture, and Commercialize Licensed Compounds and Licensed Products, in each case, directed to IRF5 as set forth herein, in each case, with the goal of entering into an Out-Licensing Agreement that meets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Out-Licensing Criteria [***], and pursuant to which the Parties will share Collaboration Profits and Collaboration Losses, but in each</w:t>
            </w:r>
          </w:p>
        </w:tc>
      </w:tr>
      <w:tr>
        <w:trPr>
          <w:trHeight w:val="234"/>
        </w:trPr>
        <w:tc>
          <w:tcPr>
            <w:tcW w:w="600" w:type="dxa"/>
            <w:vAlign w:val="bottom"/>
          </w:tcPr>
          <w:p>
            <w:pPr>
              <w:spacing w:after="0"/>
              <w:rPr>
                <w:sz w:val="20"/>
                <w:szCs w:val="20"/>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case ((a) and (b)), subject to a Party’s right to Opt-Out of such arrangement (the “Program”).</w:t>
            </w:r>
          </w:p>
        </w:tc>
      </w:tr>
      <w:tr>
        <w:trPr>
          <w:trHeight w:val="626"/>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6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ARTICLE 3</w:t>
            </w:r>
          </w:p>
        </w:tc>
      </w:tr>
      <w:tr>
        <w:trPr>
          <w:trHeight w:val="238"/>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6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RESEARCH</w:t>
            </w:r>
          </w:p>
        </w:tc>
      </w:tr>
      <w:tr>
        <w:trPr>
          <w:trHeight w:val="44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Overview of Research Activities; Diligence Obligations</w:t>
            </w:r>
            <w:r>
              <w:rPr>
                <w:rFonts w:ascii="Times New Roman" w:cs="Times New Roman" w:eastAsia="Times New Roman" w:hAnsi="Times New Roman"/>
                <w:sz w:val="18"/>
                <w:szCs w:val="18"/>
                <w:color w:val="auto"/>
                <w:w w:val="99"/>
              </w:rPr>
              <w:t>. Each Party will use Commercially Reasonable Efforts to perform the activities</w:t>
            </w:r>
          </w:p>
        </w:tc>
      </w:tr>
      <w:tr>
        <w:trPr>
          <w:trHeight w:val="234"/>
        </w:trPr>
        <w:tc>
          <w:tcPr>
            <w:tcW w:w="600" w:type="dxa"/>
            <w:vAlign w:val="bottom"/>
          </w:tcPr>
          <w:p>
            <w:pPr>
              <w:spacing w:after="0"/>
              <w:rPr>
                <w:sz w:val="20"/>
                <w:szCs w:val="20"/>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assigned to it in the Research Plan in accordance with the timelines set forth therein and in accordance with this Article 3 (Research).</w:t>
            </w:r>
          </w:p>
        </w:tc>
      </w:tr>
      <w:tr>
        <w:trPr>
          <w:trHeight w:val="45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3.2</w:t>
            </w: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Research Plans</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3.2.1</w:t>
            </w: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Content of Research Plan</w:t>
            </w:r>
            <w:r>
              <w:rPr>
                <w:rFonts w:ascii="Times New Roman" w:cs="Times New Roman" w:eastAsia="Times New Roman" w:hAnsi="Times New Roman"/>
                <w:sz w:val="18"/>
                <w:szCs w:val="18"/>
                <w:color w:val="auto"/>
              </w:rPr>
              <w:t>. All Development and Manufacturing activities prior to the Further Development Approval that</w:t>
            </w:r>
          </w:p>
        </w:tc>
      </w:tr>
      <w:tr>
        <w:trPr>
          <w:trHeight w:val="212"/>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are to be conducted by the Parties in furtherance of the Program will be conducted in accordance with a written plan (the</w:t>
            </w:r>
          </w:p>
        </w:tc>
      </w:tr>
      <w:tr>
        <w:trPr>
          <w:trHeight w:val="238"/>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Plan</w:t>
            </w:r>
            <w:r>
              <w:rPr>
                <w:rFonts w:ascii="Times New Roman" w:cs="Times New Roman" w:eastAsia="Times New Roman" w:hAnsi="Times New Roman"/>
                <w:sz w:val="18"/>
                <w:szCs w:val="18"/>
                <w:color w:val="auto"/>
              </w:rPr>
              <w:t>”). The Research Plan will include: [***].</w:t>
            </w:r>
          </w:p>
        </w:tc>
      </w:tr>
      <w:tr>
        <w:trPr>
          <w:trHeight w:val="315"/>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3.2.2</w:t>
            </w: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Initial Research Plan; Amendments to the Research Plan</w:t>
            </w:r>
            <w:r>
              <w:rPr>
                <w:rFonts w:ascii="Times New Roman" w:cs="Times New Roman" w:eastAsia="Times New Roman" w:hAnsi="Times New Roman"/>
                <w:sz w:val="18"/>
                <w:szCs w:val="18"/>
                <w:color w:val="auto"/>
              </w:rPr>
              <w:t>. The initial Research Plan, including the initial Research</w:t>
            </w:r>
          </w:p>
        </w:tc>
      </w:tr>
      <w:tr>
        <w:trPr>
          <w:trHeight w:val="220"/>
        </w:trPr>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Budget, is attached hereto as </w:t>
            </w:r>
            <w:r>
              <w:rPr>
                <w:rFonts w:ascii="Times New Roman" w:cs="Times New Roman" w:eastAsia="Times New Roman" w:hAnsi="Times New Roman"/>
                <w:sz w:val="18"/>
                <w:szCs w:val="18"/>
                <w:b w:val="1"/>
                <w:bCs w:val="1"/>
                <w:color w:val="auto"/>
              </w:rPr>
              <w:t>Schedule 3.2.2</w:t>
            </w:r>
            <w:r>
              <w:rPr>
                <w:rFonts w:ascii="Times New Roman" w:cs="Times New Roman" w:eastAsia="Times New Roman" w:hAnsi="Times New Roman"/>
                <w:sz w:val="18"/>
                <w:szCs w:val="18"/>
                <w:color w:val="auto"/>
              </w:rPr>
              <w:t xml:space="preserve"> (Initial Research Plan and Research Budget). On or before each anniversary of</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Effective Date until completion of all activities under the Research Plan, the Parties will prepare an update to the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Research Plan and corresponding Research Budget and will submit each update to the JSC to review, discuss, and determine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whether to approve. Once approved by the JSC, each update to the Research Plan (including any update to the Research</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Budget) will become effective and supersede the previous Research Plan and Research Budget as of the date of such</w:t>
            </w:r>
          </w:p>
        </w:tc>
      </w:tr>
      <w:tr>
        <w:trPr>
          <w:trHeight w:val="214"/>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approval or at such other time as decided by the JSC. In addition, from time to time, either Party may submit to the JSC any</w:t>
            </w:r>
          </w:p>
        </w:tc>
      </w:tr>
      <w:tr>
        <w:trPr>
          <w:trHeight w:val="218"/>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proposed update to the Research Plan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to include additional Research activities or revise the Research Budget), and the</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JSC will review, discuss, and determine whether to approve any such update.</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3.2.3</w:t>
            </w: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Research Costs; Research Budget</w:t>
            </w:r>
            <w:r>
              <w:rPr>
                <w:rFonts w:ascii="Times New Roman" w:cs="Times New Roman" w:eastAsia="Times New Roman" w:hAnsi="Times New Roman"/>
                <w:sz w:val="18"/>
                <w:szCs w:val="18"/>
                <w:color w:val="auto"/>
              </w:rPr>
              <w:t>.</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0" w:hanging="433"/>
        <w:spacing w:after="0" w:line="261" w:lineRule="auto"/>
        <w:tabs>
          <w:tab w:leader="none" w:pos="24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be responsible for its costs incurred to perform the activities assigned to such Party in the Research Plan; provided that any Out-of-Pocket Costs incurred by either Party in the performance of such activity under the Research Plan will be shared by the Parties in accordance with Article 12 (Payments) (the “</w:t>
      </w:r>
      <w:r>
        <w:rPr>
          <w:rFonts w:ascii="Times New Roman" w:cs="Times New Roman" w:eastAsia="Times New Roman" w:hAnsi="Times New Roman"/>
          <w:sz w:val="18"/>
          <w:szCs w:val="18"/>
          <w:b w:val="1"/>
          <w:bCs w:val="1"/>
          <w:color w:val="auto"/>
        </w:rPr>
        <w:t>Shared Research Costs</w:t>
      </w:r>
      <w:r>
        <w:rPr>
          <w:rFonts w:ascii="Times New Roman" w:cs="Times New Roman" w:eastAsia="Times New Roman" w:hAnsi="Times New Roman"/>
          <w:sz w:val="18"/>
          <w:szCs w:val="18"/>
          <w:color w:val="auto"/>
        </w:rPr>
        <w:t>”), to the extent that such costs are set forth in the applicable Research Budget.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422" w:name="page423"/>
    <w:bookmarkEnd w:id="422"/>
    <w:p>
      <w:pPr>
        <w:ind w:left="2400" w:right="40" w:hanging="433"/>
        <w:spacing w:after="0" w:line="266" w:lineRule="auto"/>
        <w:tabs>
          <w:tab w:leader="none" w:pos="24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Research Plan will include a written budget of (i) any Shared Research Costs, and (ii) Shared Prosecution Costs, Shared Out-Licensing Costs and Shared Regulatory Costs expected to be incurred by each Party in connection with the Research Plan activities (the “</w:t>
      </w:r>
      <w:r>
        <w:rPr>
          <w:rFonts w:ascii="Times New Roman" w:cs="Times New Roman" w:eastAsia="Times New Roman" w:hAnsi="Times New Roman"/>
          <w:sz w:val="18"/>
          <w:szCs w:val="18"/>
          <w:b w:val="1"/>
          <w:bCs w:val="1"/>
          <w:color w:val="auto"/>
        </w:rPr>
        <w:t>Research Budget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400" w:right="20" w:hanging="433"/>
        <w:spacing w:after="0" w:line="255" w:lineRule="auto"/>
        <w:tabs>
          <w:tab w:leader="none" w:pos="24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if either Party reasonably believes that its Out-of-Pocket Costs to perform the activities described in the then-current Research Plan will exceed the amounts set forth in the Research Budget included in such Research Plan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then such Party may notify the JSC and propose modifications thereto in accordance with Section 3.2.2 (Initial Research Plan; Amendments to the Research Plan) (provided that, the Parties will use reasonable efforts to mitigate any such Out-of-Pocket Costs) and the Parties will engage in good faith discussions through the JSC regarding (i) whether to increase the applicable amounts set forth in such Research Budget and (ii) if so, the amount of such increase.</w:t>
      </w:r>
    </w:p>
    <w:p>
      <w:pPr>
        <w:spacing w:after="0" w:line="94" w:lineRule="exact"/>
        <w:rPr>
          <w:rFonts w:ascii="Times New Roman" w:cs="Times New Roman" w:eastAsia="Times New Roman" w:hAnsi="Times New Roman"/>
          <w:sz w:val="18"/>
          <w:szCs w:val="18"/>
          <w:color w:val="auto"/>
        </w:rPr>
      </w:pPr>
    </w:p>
    <w:p>
      <w:pPr>
        <w:ind w:left="2400" w:right="60" w:hanging="433"/>
        <w:spacing w:after="0" w:line="254" w:lineRule="auto"/>
        <w:tabs>
          <w:tab w:leader="none" w:pos="24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Parties, through the JSC, are unable to agree upon whether to increase the applicable amounts set forth in the Research Budget, or the amount of such increase, then either Party may refer such matter to be resolved in accordance with Section 18.3 (Baseball Arbitration). In the event that an Expert resolves any such dispute with respect to the Research Budget by increasing the applicable amounts set forth in the Research Budget and such determination results in one Party not willing to bear such additional Out-of-Pocket Costs beyond the costs set forth in the then-current Research Budget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(i.e., prior to such increase), then such Party will (i) have no obligation to perform the activities under the Research Plan that would cause its corresponding Out-of-Pocket Costs to exceed the applicable amounts in the then-current Research Budget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and (ii) be deemed to have Opted-Out under Section 11.1.2 (Deemed Opt-Out).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3.3</w:t>
            </w:r>
          </w:p>
        </w:tc>
        <w:tc>
          <w:tcPr>
            <w:tcW w:w="101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Development Candidates</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3.3.1</w:t>
            </w:r>
          </w:p>
        </w:tc>
        <w:tc>
          <w:tcPr>
            <w:tcW w:w="9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DC Criteria</w:t>
            </w:r>
            <w:r>
              <w:rPr>
                <w:rFonts w:ascii="Times New Roman" w:cs="Times New Roman" w:eastAsia="Times New Roman" w:hAnsi="Times New Roman"/>
                <w:sz w:val="18"/>
                <w:szCs w:val="18"/>
                <w:color w:val="auto"/>
              </w:rPr>
              <w:t>. From time-to-time, the JSC may review, discuss, and determine whether to approve any updates to the DC</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Criteria.</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3.3.2</w:t>
            </w:r>
          </w:p>
        </w:tc>
        <w:tc>
          <w:tcPr>
            <w:tcW w:w="9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DC Data Package</w:t>
            </w:r>
            <w:r>
              <w:rPr>
                <w:rFonts w:ascii="Times New Roman" w:cs="Times New Roman" w:eastAsia="Times New Roman" w:hAnsi="Times New Roman"/>
                <w:sz w:val="18"/>
                <w:szCs w:val="18"/>
                <w:color w:val="auto"/>
              </w:rPr>
              <w:t>. Within [***] following the completion of activities under the Research Plan with respect to the</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identification of one or more Development Candidates, each Party will prepare and deliver to the JSC a data package that</w:t>
            </w:r>
          </w:p>
        </w:tc>
      </w:tr>
    </w:tbl>
    <w:p>
      <w:pPr>
        <w:ind w:left="1960"/>
        <w:spacing w:after="0" w:line="252" w:lineRule="auto"/>
        <w:rPr>
          <w:sz w:val="20"/>
          <w:szCs w:val="20"/>
          <w:color w:val="auto"/>
        </w:rPr>
      </w:pPr>
      <w:r>
        <w:rPr>
          <w:rFonts w:ascii="Times New Roman" w:cs="Times New Roman" w:eastAsia="Times New Roman" w:hAnsi="Times New Roman"/>
          <w:sz w:val="18"/>
          <w:szCs w:val="18"/>
          <w:color w:val="auto"/>
        </w:rPr>
        <w:t>includes the applicable information and results generated by or on behalf of such Party for the Collaboration Compounds that satisfy the DC Data Package Requirements generated in the performance of such Party’s activities under the Research Plan (each data package provided by a Party, a “</w:t>
      </w:r>
      <w:r>
        <w:rPr>
          <w:rFonts w:ascii="Times New Roman" w:cs="Times New Roman" w:eastAsia="Times New Roman" w:hAnsi="Times New Roman"/>
          <w:sz w:val="18"/>
          <w:szCs w:val="18"/>
          <w:b w:val="1"/>
          <w:bCs w:val="1"/>
          <w:color w:val="auto"/>
        </w:rPr>
        <w:t>DC Data Package</w:t>
      </w:r>
      <w:r>
        <w:rPr>
          <w:rFonts w:ascii="Times New Roman" w:cs="Times New Roman" w:eastAsia="Times New Roman" w:hAnsi="Times New Roman"/>
          <w:sz w:val="18"/>
          <w:szCs w:val="18"/>
          <w:color w:val="auto"/>
        </w:rPr>
        <w:t>”). Within [***] after the receipt of a DC Data Package from a Party, the JSC will notify such Party if such DC Data Package is missing any results that were to be delivered in the DC Data Package, which notice will describe in writing the information that the JSC believes to be missing. To the extent available, the Party delivering such DC Data Package will provide the JSC with any such missing information identified in such notice no later than [***] after the date of the JSC’s request therefor.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23" w:name="page424"/>
    <w:bookmarkEnd w:id="423"/>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3.3.3</w:t>
      </w:r>
      <w:r>
        <w:rPr>
          <w:sz w:val="20"/>
          <w:szCs w:val="20"/>
          <w:color w:val="auto"/>
        </w:rPr>
        <w:tab/>
      </w:r>
      <w:r>
        <w:rPr>
          <w:rFonts w:ascii="Times New Roman" w:cs="Times New Roman" w:eastAsia="Times New Roman" w:hAnsi="Times New Roman"/>
          <w:sz w:val="18"/>
          <w:szCs w:val="18"/>
          <w:b w:val="1"/>
          <w:bCs w:val="1"/>
          <w:color w:val="auto"/>
        </w:rPr>
        <w:t>Development Candidate Identification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2400" w:right="220" w:hanging="433"/>
        <w:spacing w:after="0" w:line="256" w:lineRule="auto"/>
        <w:tabs>
          <w:tab w:leader="none" w:pos="24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following the JSC’s receipt of the DC Data Package from each Party, the JSC will determine, in its reasonable, good faith judgement, whether or not any of the Collaboration Compounds identified in the DC Data Package have satisfied the DC Criteria. If the JSC determines that one or more Collaboration Compounds satisfy the DC Criteria, or the JSC otherwise designates one or more Collaboration Compounds as a Development Candidate (regardless of whether such Collaboration Compound meets the DC Criteria), then the applicable Collaboration Compound(s) will be deemed Development Candidates hereunder.</w:t>
      </w:r>
    </w:p>
    <w:p>
      <w:pPr>
        <w:spacing w:after="0" w:line="92" w:lineRule="exact"/>
        <w:rPr>
          <w:rFonts w:ascii="Times New Roman" w:cs="Times New Roman" w:eastAsia="Times New Roman" w:hAnsi="Times New Roman"/>
          <w:sz w:val="18"/>
          <w:szCs w:val="18"/>
          <w:color w:val="auto"/>
        </w:rPr>
      </w:pPr>
    </w:p>
    <w:p>
      <w:pPr>
        <w:ind w:left="2400" w:right="80" w:hanging="433"/>
        <w:spacing w:after="0" w:line="258" w:lineRule="auto"/>
        <w:tabs>
          <w:tab w:leader="none" w:pos="24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JSC determines that the applicable Collaboration Compounds do not satisfy the DC Criteria, or the JSC does not otherwise designate at least one Collaboration Compound as a Development Candidate during such [***] period (which period may be extended by mutual agreement of the Parties, or tolled during the pendency of any dispute brought under Section 5.5 (Resolution of Committee Disputes) as to whether one or more Collaboration Compounds satisfies the DC Criteria), then:</w:t>
      </w:r>
    </w:p>
    <w:p>
      <w:pPr>
        <w:spacing w:after="0" w:line="88" w:lineRule="exact"/>
        <w:rPr>
          <w:rFonts w:ascii="Times New Roman" w:cs="Times New Roman" w:eastAsia="Times New Roman" w:hAnsi="Times New Roman"/>
          <w:sz w:val="18"/>
          <w:szCs w:val="18"/>
          <w:color w:val="auto"/>
        </w:rPr>
      </w:pPr>
    </w:p>
    <w:p>
      <w:pPr>
        <w:ind w:left="2840" w:right="780" w:hanging="428"/>
        <w:spacing w:after="0" w:line="282" w:lineRule="auto"/>
        <w:tabs>
          <w:tab w:leader="none" w:pos="284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Party desires to continue activities under the Research Plan, this Agreement will terminate in accordance with Section 17.2.5 (Termination for Failure to Select a Development Candidate);</w:t>
      </w:r>
    </w:p>
    <w:p>
      <w:pPr>
        <w:spacing w:after="0" w:line="67" w:lineRule="exact"/>
        <w:rPr>
          <w:rFonts w:ascii="Times New Roman" w:cs="Times New Roman" w:eastAsia="Times New Roman" w:hAnsi="Times New Roman"/>
          <w:sz w:val="18"/>
          <w:szCs w:val="18"/>
          <w:color w:val="auto"/>
        </w:rPr>
      </w:pPr>
    </w:p>
    <w:p>
      <w:pPr>
        <w:ind w:left="2840" w:hanging="428"/>
        <w:spacing w:after="0" w:line="272" w:lineRule="auto"/>
        <w:tabs>
          <w:tab w:leader="none" w:pos="284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Parties both desire to continue to conduct activities under the Research Plan to identify additional Collaboration Compounds that meet the DC Criteria, then the Parties will amend the Research Plan and Research Budget to reflect additional Research Activities reasonably required to identify one or more Collaboration Compounds that achieve the DC Criteria, subject to Section 3.2.3 (Research Costs; Research Budget); provided that, the Research Plan and Research Budget may not be amended without the prior written consent of both Parties and in the event of a dispute with respect to the contents of such amendment to the Research Plan and Research Budget, either Party may refer such matter to be resolved in accordance with Section 18.2 (Expedited Dispute Resolution) within [***] following a determination that the Parties cannot reach agreement; or</w:t>
      </w:r>
    </w:p>
    <w:p>
      <w:pPr>
        <w:spacing w:after="0" w:line="77" w:lineRule="exact"/>
        <w:rPr>
          <w:rFonts w:ascii="Times New Roman" w:cs="Times New Roman" w:eastAsia="Times New Roman" w:hAnsi="Times New Roman"/>
          <w:sz w:val="17"/>
          <w:szCs w:val="17"/>
          <w:color w:val="auto"/>
        </w:rPr>
      </w:pPr>
    </w:p>
    <w:p>
      <w:pPr>
        <w:ind w:left="2840" w:right="260" w:hanging="428"/>
        <w:spacing w:after="0" w:line="261" w:lineRule="auto"/>
        <w:tabs>
          <w:tab w:leader="none" w:pos="284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Party desires to conduct additional Research Activities to identify additional Collaboration Compounds that meet the DC Criteria and the other Party does not, then such other Party will (A) have no obligation to perform any such additional Research Activities, and (B) be deemed to have Opted-Out under Section 11.1.2 (Deemed Opt-Out).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3.4</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Research Reports</w:t>
            </w:r>
            <w:r>
              <w:rPr>
                <w:rFonts w:ascii="Times New Roman" w:cs="Times New Roman" w:eastAsia="Times New Roman" w:hAnsi="Times New Roman"/>
                <w:sz w:val="18"/>
                <w:szCs w:val="18"/>
                <w:color w:val="auto"/>
                <w:w w:val="99"/>
              </w:rPr>
              <w:t>. On a Calendar Quarter basis until completion of all activities under the Research Plan, each Party will provide a report</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setting forth the results of activities conducted by or on behalf of such Party during such Calendar Quarter, and the JSC will review and</w:t>
            </w:r>
          </w:p>
        </w:tc>
      </w:tr>
      <w:tr>
        <w:trPr>
          <w:trHeight w:val="234"/>
        </w:trPr>
        <w:tc>
          <w:tcPr>
            <w:tcW w:w="6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discuss such reports.</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3.5</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Research Materials</w:t>
            </w:r>
            <w:r>
              <w:rPr>
                <w:rFonts w:ascii="Times New Roman" w:cs="Times New Roman" w:eastAsia="Times New Roman" w:hAnsi="Times New Roman"/>
                <w:sz w:val="18"/>
                <w:szCs w:val="18"/>
                <w:color w:val="auto"/>
              </w:rPr>
              <w:t>. Each Party will provide to the other Party, [***] the Research Materials to be used in the Program that are expressly</w:t>
            </w:r>
          </w:p>
        </w:tc>
      </w:tr>
      <w:tr>
        <w:trPr>
          <w:trHeight w:val="234"/>
        </w:trPr>
        <w:tc>
          <w:tcPr>
            <w:tcW w:w="6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 forth in the Research Plan, which Research Materials will be provided DAP (Incoterms 2020) at the named place of destination</w:t>
            </w:r>
          </w:p>
        </w:tc>
      </w:tr>
    </w:tbl>
    <w:p>
      <w:pPr>
        <w:jc w:val="both"/>
        <w:ind w:left="980" w:right="220"/>
        <w:spacing w:after="0" w:line="255" w:lineRule="auto"/>
        <w:rPr>
          <w:sz w:val="20"/>
          <w:szCs w:val="20"/>
          <w:color w:val="auto"/>
        </w:rPr>
      </w:pPr>
      <w:r>
        <w:rPr>
          <w:rFonts w:ascii="Times New Roman" w:cs="Times New Roman" w:eastAsia="Times New Roman" w:hAnsi="Times New Roman"/>
          <w:sz w:val="18"/>
          <w:szCs w:val="18"/>
          <w:color w:val="auto"/>
        </w:rPr>
        <w:t>indicated by the other Party. Each Party will use the Research Materials only (a) to perform activities under the Research Plan and (b) in accordance with the other Party’s written instructions for such Research Materials, which instructions will include the permitted uses of such Research Materials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restrictions on transfer, as applicable. Neither Party will disclose, distribute, sell, or otherwise transfer the other Party’s Research Materials</w:t>
            </w:r>
          </w:p>
        </w:tc>
      </w:tr>
      <w:tr>
        <w:trPr>
          <w:trHeight w:val="214"/>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to others outside of such Party’s research facilities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to Subcontractors engaged in accordance with the restrictions on Subcontractors</w:t>
            </w:r>
          </w:p>
        </w:tc>
      </w:tr>
      <w:tr>
        <w:trPr>
          <w:trHeight w:val="220"/>
        </w:trPr>
        <w:tc>
          <w:tcPr>
            <w:tcW w:w="600" w:type="dxa"/>
            <w:vAlign w:val="bottom"/>
          </w:tcPr>
          <w:p>
            <w:pPr>
              <w:spacing w:after="0"/>
              <w:rPr>
                <w:sz w:val="19"/>
                <w:szCs w:val="19"/>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 forth in Section 4.5 (Subcontracting) (“</w:t>
            </w:r>
            <w:r>
              <w:rPr>
                <w:rFonts w:ascii="Times New Roman" w:cs="Times New Roman" w:eastAsia="Times New Roman" w:hAnsi="Times New Roman"/>
                <w:sz w:val="18"/>
                <w:szCs w:val="18"/>
                <w:b w:val="1"/>
                <w:bCs w:val="1"/>
                <w:color w:val="auto"/>
              </w:rPr>
              <w:t>Permitted Subcontractors</w:t>
            </w:r>
            <w:r>
              <w:rPr>
                <w:rFonts w:ascii="Times New Roman" w:cs="Times New Roman" w:eastAsia="Times New Roman" w:hAnsi="Times New Roman"/>
                <w:sz w:val="18"/>
                <w:szCs w:val="18"/>
                <w:color w:val="auto"/>
              </w:rPr>
              <w:t>”) and to the extent such transfer and use is consistent with the</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written instructions provided for such Research Materials. Each Party agrees that Persons who may have access to the Research Materials</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 such Party’s research facilities will be limited to those employees of such Party and Permitted Subcontractors, in each case, who are</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engaged in the performance of activities in furtherance of the Program for which such materials were provided, and such employees and</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Permitted Subcontractors will be bound by restrictions of confidentiality and non-use no less strict than as set forth in this Agreement.</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Neither Party will use any Research Materials provided by the other Party for testing in or treatment of human subjects, and each Party</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will comply with all laws and regulations applicable to the handling and use of such materials. Neither Party will make any modifications,</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adaptations, or improvements to the other Party’s Research Materials, except as necessary to conduct the Program in accordance with the</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Plan and with prior written notice to the other Party. If applicable, any Research Materials remaining upon completion of the</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activities under the Research Plan will either be returned to the providing Party or destroyed, consistent with the providing Party’s</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instructions, unless otherwise expressly provided in this Agreement. EACH PARTY AGREES THAT THE RESEARCH MATERIALS</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ARE PROVIDED TO THE OTHER PARTY “AS IS” AND WITHOUT WARRANTY, EXPRESS OR IMPLIED, INCLUDING ANY</w:t>
            </w:r>
          </w:p>
        </w:tc>
      </w:tr>
      <w:tr>
        <w:trPr>
          <w:trHeight w:val="234"/>
        </w:trPr>
        <w:tc>
          <w:tcPr>
            <w:tcW w:w="6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 OF MERCHANTABILITY, TITLE, OR FITNESS FOR A PARTICULAR PURPOSE.</w:t>
            </w:r>
          </w:p>
        </w:tc>
      </w:tr>
      <w:tr>
        <w:trPr>
          <w:trHeight w:val="3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3.6</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Technology Transfer</w:t>
            </w:r>
            <w:r>
              <w:rPr>
                <w:rFonts w:ascii="Times New Roman" w:cs="Times New Roman" w:eastAsia="Times New Roman" w:hAnsi="Times New Roman"/>
                <w:sz w:val="18"/>
                <w:szCs w:val="18"/>
                <w:color w:val="auto"/>
              </w:rPr>
              <w:t>. Any technology transfer activities to be conducted by the Parties will be set forth in the Research Plan.</w:t>
            </w:r>
          </w:p>
        </w:tc>
      </w:tr>
      <w:tr>
        <w:trPr>
          <w:trHeight w:val="626"/>
        </w:trPr>
        <w:tc>
          <w:tcPr>
            <w:tcW w:w="600" w:type="dxa"/>
            <w:vAlign w:val="bottom"/>
          </w:tcPr>
          <w:p>
            <w:pPr>
              <w:spacing w:after="0"/>
              <w:rPr>
                <w:sz w:val="24"/>
                <w:szCs w:val="24"/>
                <w:color w:val="auto"/>
              </w:rPr>
            </w:pPr>
          </w:p>
        </w:tc>
        <w:tc>
          <w:tcPr>
            <w:tcW w:w="1036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ARTICLE 4</w:t>
            </w:r>
          </w:p>
        </w:tc>
      </w:tr>
      <w:tr>
        <w:trPr>
          <w:trHeight w:val="238"/>
        </w:trPr>
        <w:tc>
          <w:tcPr>
            <w:tcW w:w="600" w:type="dxa"/>
            <w:vAlign w:val="bottom"/>
          </w:tcPr>
          <w:p>
            <w:pPr>
              <w:spacing w:after="0"/>
              <w:rPr>
                <w:sz w:val="20"/>
                <w:szCs w:val="20"/>
                <w:color w:val="auto"/>
              </w:rPr>
            </w:pPr>
          </w:p>
        </w:tc>
        <w:tc>
          <w:tcPr>
            <w:tcW w:w="103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LICENSES; EXCLUSIVITY</w:t>
            </w:r>
          </w:p>
        </w:tc>
      </w:tr>
      <w:tr>
        <w:trPr>
          <w:trHeight w:val="44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Collaboration License to Odyssey</w:t>
            </w:r>
            <w:r>
              <w:rPr>
                <w:rFonts w:ascii="Times New Roman" w:cs="Times New Roman" w:eastAsia="Times New Roman" w:hAnsi="Times New Roman"/>
                <w:sz w:val="18"/>
                <w:szCs w:val="18"/>
                <w:color w:val="auto"/>
              </w:rPr>
              <w:t>. Subject to the terms of this Agreement (including Section 4.9 (No Implied Licenses; Retained</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Rights)) and the Collaboration In-Licenses, Terray, on behalf of itself and its Affiliates, hereby grants to Odyssey a royalty-free, fully</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paid-up, co-exclusive (together with Terray) license, with the right to grant sublicenses only as provided in Section 4.4.1 (Sublicensing</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During Collaboration), under any Terray Licensed Technology to the extent necessary or reasonably useful to Develop, Manufacture,</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Commercialize or otherwise Exploit Licensed Compounds and Licensed Products in accordance with this Agreement, solely to Develop,</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Manufacture, Commercialize or otherwise Exploit Licensed Compounds and Licensed Products in accordance with this Agreement,</w:t>
            </w:r>
          </w:p>
        </w:tc>
      </w:tr>
      <w:tr>
        <w:trPr>
          <w:trHeight w:val="216"/>
        </w:trPr>
        <w:tc>
          <w:tcPr>
            <w:tcW w:w="6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including activities allocated to Odyssey under the Research Plan, the Development Plan or the Commercialization Plan, as applicable,</w:t>
            </w:r>
          </w:p>
        </w:tc>
      </w:tr>
      <w:tr>
        <w:trPr>
          <w:trHeight w:val="234"/>
        </w:trPr>
        <w:tc>
          <w:tcPr>
            <w:tcW w:w="6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during the Term.</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Collaboration License to Terray</w:t>
            </w:r>
            <w:r>
              <w:rPr>
                <w:rFonts w:ascii="Times New Roman" w:cs="Times New Roman" w:eastAsia="Times New Roman" w:hAnsi="Times New Roman"/>
                <w:sz w:val="18"/>
                <w:szCs w:val="18"/>
                <w:color w:val="auto"/>
              </w:rPr>
              <w:t>. Subject to the terms of this Agreement (including Section 4.9 (No Implied Licenses; Retained Rights))</w:t>
            </w:r>
          </w:p>
        </w:tc>
      </w:tr>
      <w:tr>
        <w:trPr>
          <w:trHeight w:val="234"/>
        </w:trPr>
        <w:tc>
          <w:tcPr>
            <w:tcW w:w="6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the Collaboration In-Licenses, Odyssey, on behalf of itself and its Affiliates, hereby grants to Terray a royalty-free, fully paid-up,</w:t>
            </w:r>
          </w:p>
        </w:tc>
      </w:tr>
    </w:tbl>
    <w:p>
      <w:pPr>
        <w:ind w:left="980"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co-exclusive (together with Odyssey) license, with the right to grant sublicenses only as provided in Section 4.4.1 (Sublicensing During Collaboration), under any Odyssey Licensed Technology to the extent necessary or reasonably useful to Develop, Manufacture, Commercialize or otherwise Exploit Licensed Compounds and Licensed Products in accordance with this Agreement, solely to Develop, Manufacture, Commercialize or otherwise Exploit Licensed Compounds and Licensed Products in accordance with this Agreement, including activities allocated to Terray under the Research Plan, the Development Plan or the Commercialization Plan, as applicable, during the Term.</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4.3</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Opt-Out License to Continuing Party</w:t>
            </w:r>
            <w:r>
              <w:rPr>
                <w:rFonts w:ascii="Times New Roman" w:cs="Times New Roman" w:eastAsia="Times New Roman" w:hAnsi="Times New Roman"/>
                <w:sz w:val="18"/>
                <w:szCs w:val="18"/>
                <w:color w:val="auto"/>
              </w:rPr>
              <w:t>. Subject to the terms of this Agreement (including Section 4.9 (No Implied Licenses; Retained</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Rights)) and the Collaboration In-Licenses, in the event of an Opt-Out by a Party, the following licenses will become effective upon the</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applicable Opt-Out Date:</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4.3.1</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License under Collaboration Know-How and Collaboration Patent Rights</w:t>
            </w:r>
            <w:r>
              <w:rPr>
                <w:rFonts w:ascii="Times New Roman" w:cs="Times New Roman" w:eastAsia="Times New Roman" w:hAnsi="Times New Roman"/>
                <w:sz w:val="18"/>
                <w:szCs w:val="18"/>
                <w:color w:val="auto"/>
              </w:rPr>
              <w:t>. The Opt-Out Party, on behalf of itself and its</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Affiliates, hereby grants to the Continuing Party an exclusive, royalty-bearing (as provided in Section 12.2 (Payments</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following Opt-Out)), sublicensable (through multiple tiers, subject to Section 4.4.2 (Sublicensing Following Opt-Out))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license under: (a) where Terray is the Opt-Out Party, any Terray Collaboration Technology and Terray’s interest in any Joint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Collaboration Technology and (b) where Odyssey is the Opt-Out Party, any Odyssey Collaboration Technology and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Odyssey’s interest in any Joint Collaboration Technology, in each case (clauses (a) or (b)), to Develop, Manufacture,</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Commercialize and otherwise Exploit the Licensed Compounds and Licensed Products.</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4.3.2</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License under Opt-Out Party’s Background IP. </w:t>
            </w:r>
            <w:r>
              <w:rPr>
                <w:rFonts w:ascii="Times New Roman" w:cs="Times New Roman" w:eastAsia="Times New Roman" w:hAnsi="Times New Roman"/>
                <w:sz w:val="18"/>
                <w:szCs w:val="18"/>
                <w:color w:val="auto"/>
              </w:rPr>
              <w:t>The Opt-Out Party, on behalf of itself and its Affiliates, hereby grants to</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Continuing Party [***], royalty-bearing (as provided in Section 12.2 (Payments following Opt-Out)), sublicensable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(through multiple tiers, subject to Section 4.4.2 (Sublicensing Following Opt-Out)) license under any Background IP</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Controlled by the Opt-Out Party and its Affiliates as of the Opt-Out Date [***] Develop, Manufacture, Commercialize or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otherwise Exploit the Licensed Compounds and Licensed Products, to Develop, Manufacture, Commercialize and otherwise</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Exploit the Licensed Compounds and Licensed Products.</w:t>
            </w:r>
          </w:p>
        </w:tc>
      </w:tr>
      <w:tr>
        <w:trPr>
          <w:trHeight w:val="58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4.4</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Sublicensing</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4.4.1</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Sublicensing During Collaboration</w:t>
            </w:r>
            <w:r>
              <w:rPr>
                <w:rFonts w:ascii="Times New Roman" w:cs="Times New Roman" w:eastAsia="Times New Roman" w:hAnsi="Times New Roman"/>
                <w:sz w:val="18"/>
                <w:szCs w:val="18"/>
                <w:color w:val="auto"/>
              </w:rPr>
              <w:t>. Each Party will have the right to grant sublicenses of the rights granted to such Party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Section 4.1 (Collaboration License to Odyssey) and Section 4.2 (Collaboration License to Terray), as applicable, only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(a) its Affiliates, or (b) one or more Subcontractors engaged in accordance with Section 4.5 (Subcontracting), in each case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and (b)), solely to perform the activities allocated to the sublicensing Party under the Research Plan, the Development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Plan or the Commercialization Plan during the Term (as applicable); provided that, any such sublicense will be in compliance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this Section 4.4 (Sublicensing), and the sublicensing Party will provide the JSC with the identity of any such</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sublicensee and the scope of rights granted to such sublicensee within [***] of such grant. Any termination of the licenses</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granted to Odyssey under Section 4.1 (Collaboration License to Odyssey) or Section 4.2 (Collaboration License to Terray) as</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result of a termination of this Agreement or such licenses will cause all related sublicenses granted hereunder to terminate.</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4.4.2</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Sublicensing Following Opt-Out</w:t>
            </w:r>
            <w:r>
              <w:rPr>
                <w:rFonts w:ascii="Times New Roman" w:cs="Times New Roman" w:eastAsia="Times New Roman" w:hAnsi="Times New Roman"/>
                <w:sz w:val="18"/>
                <w:szCs w:val="18"/>
                <w:color w:val="auto"/>
              </w:rPr>
              <w:t>. The Continuing Party will have the right to grant sublicenses of the rights granted to it</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Section 11.2.5 (License Grant to Continuing Party) to (a) its Affiliates (through multiple tiers, provided that each</w:t>
            </w:r>
          </w:p>
        </w:tc>
      </w:tr>
    </w:tbl>
    <w:p>
      <w:pPr>
        <w:ind w:left="1960" w:righ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sublicensee is an Affiliate), (b) one or more Subcontractors in accordance with Section 4.5 (Subcontracting) (through a single tier), or (c) any Third Party Out-Licensee (through multiple tiers); provided that, with respect to the foregoing (a) and (b), such sublicense will be in compliance with this Section 4.4 (Sublicensing) and Section 4.5 (Subcontracting), as applicable.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426" w:name="page427"/>
    <w:bookmarkEnd w:id="426"/>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4.4.3</w:t>
      </w:r>
      <w:r>
        <w:rPr>
          <w:sz w:val="20"/>
          <w:szCs w:val="20"/>
          <w:color w:val="auto"/>
        </w:rPr>
        <w:tab/>
      </w:r>
      <w:r>
        <w:rPr>
          <w:rFonts w:ascii="Times New Roman" w:cs="Times New Roman" w:eastAsia="Times New Roman" w:hAnsi="Times New Roman"/>
          <w:sz w:val="17"/>
          <w:szCs w:val="17"/>
          <w:b w:val="1"/>
          <w:bCs w:val="1"/>
          <w:color w:val="auto"/>
        </w:rPr>
        <w:t>Sublicense Agreements</w:t>
      </w:r>
      <w:r>
        <w:rPr>
          <w:rFonts w:ascii="Times New Roman" w:cs="Times New Roman" w:eastAsia="Times New Roman" w:hAnsi="Times New Roman"/>
          <w:sz w:val="17"/>
          <w:szCs w:val="17"/>
          <w:color w:val="auto"/>
        </w:rPr>
        <w:t>. Each sublicense granted by a Party or its Affiliate pursuant to this Section 4.3.1 (Sublicensing) will</w:t>
      </w:r>
    </w:p>
    <w:p>
      <w:pPr>
        <w:spacing w:after="0" w:line="31" w:lineRule="exact"/>
        <w:rPr>
          <w:sz w:val="20"/>
          <w:szCs w:val="20"/>
          <w:color w:val="auto"/>
        </w:rPr>
      </w:pPr>
    </w:p>
    <w:p>
      <w:pPr>
        <w:ind w:left="1960" w:right="140" w:firstLine="7"/>
        <w:spacing w:after="0" w:line="268" w:lineRule="auto"/>
        <w:tabs>
          <w:tab w:leader="none" w:pos="220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and subordinate to this Agreement, (b) be consistent with the terms of this Agreement, (c) include obligations of confidentiality and non-use applicable to the Confidential Information of the other Party that are at least as stringent as those set forth in Article 14 (Confidentiality), and (d) include terms that are consistent with the intellectual property provisions set forth in this Agreement, unless, in each case, the Parties agree in writing otherwise. The sublicensing Party will provide the other Party with a copy of any executed sublicense agreement it enters into with a Third Party Sublicensee (other than with a Subcontractor) (which copy may be redacted to remove provisions that are not necessary to monitor compliance with this Section 4.4.3 (Sublicense Agreements) or to determine Out-of-Pocket Costs or, where applicable, Shared Out-Licensing Costs and Shared Out-Licensing Income) no later than [***] following the execution thereof.</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spacing w:after="0"/>
              <w:rPr>
                <w:sz w:val="19"/>
                <w:szCs w:val="19"/>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4.4.4</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Responsibility for Sublicensees</w:t>
            </w:r>
            <w:r>
              <w:rPr>
                <w:rFonts w:ascii="Times New Roman" w:cs="Times New Roman" w:eastAsia="Times New Roman" w:hAnsi="Times New Roman"/>
                <w:sz w:val="18"/>
                <w:szCs w:val="18"/>
                <w:color w:val="auto"/>
              </w:rPr>
              <w:t>. Notwithstanding any sublicense, each Party will remain primarily liable to the other Party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 the acts and omissions of its Sublicensees, as if such Sublicensee was a party to this Agreement. Each Party agrees that it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will be fully responsible and liable for any breach of the terms of this Agreement by any of its Sublicensees (as applicable) to</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same extent as if such Party itself has committed any such breach, and each Party will promptly terminate any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Sublicensee that breaches, and does not timely cure, any term of this Agreement, and will provide notice to the other Party of</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such termination.</w:t>
            </w:r>
          </w:p>
        </w:tc>
      </w:tr>
      <w:tr>
        <w:trPr>
          <w:trHeight w:val="58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4.5</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Subcontracting</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4.5.1</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Right to Subcontract</w:t>
            </w:r>
            <w:r>
              <w:rPr>
                <w:rFonts w:ascii="Times New Roman" w:cs="Times New Roman" w:eastAsia="Times New Roman" w:hAnsi="Times New Roman"/>
                <w:sz w:val="18"/>
                <w:szCs w:val="18"/>
                <w:color w:val="auto"/>
                <w:w w:val="99"/>
              </w:rPr>
              <w:t>. Either Party may engage a Subcontractor to perform activities on a fee-for-service basis in connection</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the performance of its obligations or exercise of its rights under this Agreement.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4.5.2</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Subcontracting Requirements</w:t>
            </w:r>
            <w:r>
              <w:rPr>
                <w:rFonts w:ascii="Times New Roman" w:cs="Times New Roman" w:eastAsia="Times New Roman" w:hAnsi="Times New Roman"/>
                <w:sz w:val="18"/>
                <w:szCs w:val="18"/>
                <w:color w:val="auto"/>
              </w:rPr>
              <w:t>. No subcontracting by either Party in accordance with Section 4.5.1 (Right to Subcontract)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will relieve the subcontracting Party of its obligations under this Agreement or any liability hereunder. Each agreement with</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any Subcontractor engaged in accordance with Section 4.5.1 (Right to Subcontract) must (a) be consistent with the terms of</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this Agreement, (b) include obligations of confidentiality and non-use applicable to the Confidential Information of the other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Party that are at least as stringent as those set forth in Article 14 (Confidentiality), and (c) include terms that are consistent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the intellectual property provisions set forth in this Agreement. The subcontracting Party will provide to the JSC the</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identity of any Subcontractor it has engaged and the activities such Subcontractor is to perform under this Agreement.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4.5.3</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Responsibility for Subcontractors</w:t>
            </w:r>
            <w:r>
              <w:rPr>
                <w:rFonts w:ascii="Times New Roman" w:cs="Times New Roman" w:eastAsia="Times New Roman" w:hAnsi="Times New Roman"/>
                <w:sz w:val="18"/>
                <w:szCs w:val="18"/>
                <w:color w:val="auto"/>
              </w:rPr>
              <w:t>. Notwithstanding any subcontracting agreement, each Party will remain primarily liable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the other Party for the acts and omissions of its Subcontractors, as if such Subcontractor was a party to this Agreement.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Each Party agrees that it will be fully responsible and liable for any breach of the terms of this Agreement by any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Subcontractor engaged by such Party to the same extent as if such Party itself has committed any such breach, and each Party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will terminate promptly any Subcontractor that breaches, and does not timely cure, any term of this Agreement and will</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provide notice to the other Party of such termination.</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4.6</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 Unblocking License</w:t>
            </w:r>
            <w:r>
              <w:rPr>
                <w:rFonts w:ascii="Times New Roman" w:cs="Times New Roman" w:eastAsia="Times New Roman" w:hAnsi="Times New Roman"/>
                <w:sz w:val="18"/>
                <w:szCs w:val="18"/>
                <w:color w:val="auto"/>
              </w:rPr>
              <w:t>. Subject to Section 4.8 (Exclusivity) and Section 4.9 (No Implied Licenses; Retained Rights), each Party</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hereby grants to the other Party a [***].</w:t>
            </w:r>
          </w:p>
        </w:tc>
      </w:tr>
      <w:tr>
        <w:trPr>
          <w:trHeight w:val="365"/>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000"/>
          </w:cols>
          <w:pgMar w:left="440" w:top="266" w:right="459" w:bottom="1440" w:gutter="0" w:footer="0" w:header="0"/>
        </w:sectPr>
      </w:pPr>
    </w:p>
    <w:bookmarkStart w:id="427" w:name="page428"/>
    <w:bookmarkEnd w:id="4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4.7</w:t>
            </w: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Third Party In-Licenses</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4.7.1</w:t>
            </w: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Collaboration In-Licenses</w:t>
            </w:r>
            <w:r>
              <w:rPr>
                <w:rFonts w:ascii="Times New Roman" w:cs="Times New Roman" w:eastAsia="Times New Roman" w:hAnsi="Times New Roman"/>
                <w:sz w:val="18"/>
                <w:szCs w:val="18"/>
                <w:color w:val="auto"/>
                <w:w w:val="99"/>
              </w:rPr>
              <w:t>. The Parties acknowledge and agree that the rights and licenses granted by each Party hereunder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to the other Party are subject to the applicable terms and conditions of any Collaboration In-Licenses. Each Party agrees that</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 will comply with all provisions of the applicable Collaboration In-Licenses that are applicable to sublicensees.</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4.7.2</w:t>
            </w:r>
          </w:p>
        </w:tc>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Potential In-Licenses</w:t>
            </w:r>
            <w:r>
              <w:rPr>
                <w:rFonts w:ascii="Times New Roman" w:cs="Times New Roman" w:eastAsia="Times New Roman" w:hAnsi="Times New Roman"/>
                <w:sz w:val="18"/>
                <w:szCs w:val="18"/>
                <w:color w:val="auto"/>
              </w:rPr>
              <w:t>.</w:t>
            </w:r>
          </w:p>
        </w:tc>
      </w:tr>
    </w:tbl>
    <w:p>
      <w:pPr>
        <w:spacing w:after="0" w:line="99" w:lineRule="exact"/>
        <w:rPr>
          <w:sz w:val="20"/>
          <w:szCs w:val="20"/>
          <w:color w:val="auto"/>
        </w:rPr>
      </w:pPr>
    </w:p>
    <w:p>
      <w:pPr>
        <w:ind w:left="2400" w:right="600" w:hanging="433"/>
        <w:spacing w:after="0" w:line="286" w:lineRule="auto"/>
        <w:tabs>
          <w:tab w:leader="none" w:pos="24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Identification of Potential In-Licenses</w:t>
      </w:r>
      <w:r>
        <w:rPr>
          <w:rFonts w:ascii="Times New Roman" w:cs="Times New Roman" w:eastAsia="Times New Roman" w:hAnsi="Times New Roman"/>
          <w:sz w:val="18"/>
          <w:szCs w:val="18"/>
          <w:color w:val="auto"/>
        </w:rPr>
        <w:t>. During the Term, and subject to Section 4.7.3 (Research and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In-Licenses), [***], then such Party will notify the other Party of such Identified Rights.</w:t>
      </w:r>
    </w:p>
    <w:p>
      <w:pPr>
        <w:spacing w:after="0" w:line="6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Negotiation of Potential In-Licenses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840" w:right="60" w:hanging="428"/>
        <w:spacing w:after="0" w:line="255" w:lineRule="auto"/>
        <w:tabs>
          <w:tab w:leader="none" w:pos="28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Identified Rights are identified prior to Opt-Out by a Party, then the JSC will discuss whether the Parties will seek to obtain a license under such Identified Rights, and if so, which Party (the “</w:t>
      </w:r>
      <w:r>
        <w:rPr>
          <w:rFonts w:ascii="Times New Roman" w:cs="Times New Roman" w:eastAsia="Times New Roman" w:hAnsi="Times New Roman"/>
          <w:sz w:val="18"/>
          <w:szCs w:val="18"/>
          <w:b w:val="1"/>
          <w:bCs w:val="1"/>
          <w:color w:val="auto"/>
        </w:rPr>
        <w:t>In-Licensing Party</w:t>
      </w:r>
      <w:r>
        <w:rPr>
          <w:rFonts w:ascii="Times New Roman" w:cs="Times New Roman" w:eastAsia="Times New Roman" w:hAnsi="Times New Roman"/>
          <w:sz w:val="18"/>
          <w:szCs w:val="18"/>
          <w:color w:val="auto"/>
        </w:rPr>
        <w:t>”) will enter into an agreement for such Identified Rights (any such agreement, a “</w:t>
      </w:r>
      <w:r>
        <w:rPr>
          <w:rFonts w:ascii="Times New Roman" w:cs="Times New Roman" w:eastAsia="Times New Roman" w:hAnsi="Times New Roman"/>
          <w:sz w:val="18"/>
          <w:szCs w:val="18"/>
          <w:b w:val="1"/>
          <w:bCs w:val="1"/>
          <w:color w:val="auto"/>
        </w:rPr>
        <w:t>Potential In-License</w:t>
      </w:r>
      <w:r>
        <w:rPr>
          <w:rFonts w:ascii="Times New Roman" w:cs="Times New Roman" w:eastAsia="Times New Roman" w:hAnsi="Times New Roman"/>
          <w:sz w:val="18"/>
          <w:szCs w:val="18"/>
          <w:color w:val="auto"/>
        </w:rPr>
        <w:t>”). The In-Licensing Party will (A) keep the other party informed of all negotiations with the applicable Third Party,</w:t>
      </w:r>
    </w:p>
    <w:p>
      <w:pPr>
        <w:spacing w:after="0" w:line="2" w:lineRule="exact"/>
        <w:rPr>
          <w:rFonts w:ascii="Times New Roman" w:cs="Times New Roman" w:eastAsia="Times New Roman" w:hAnsi="Times New Roman"/>
          <w:sz w:val="18"/>
          <w:szCs w:val="18"/>
          <w:color w:val="auto"/>
        </w:rPr>
      </w:pPr>
    </w:p>
    <w:p>
      <w:pPr>
        <w:ind w:left="284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provide drafts to the other Party for their review, (C) incorporate any reasonable comments from the other Party concerning such Potential In-License, and (D) will not execute any Potential In-License without the prior written consent of the other Party. If the Identified Rights are identified following the Opt-Out by a Party, the Continuing Party will have the sole right to enter into the Potential In-License in its sole discretion, and without any of the obligations in clauses (A) through (D) above.</w:t>
      </w:r>
    </w:p>
    <w:p>
      <w:pPr>
        <w:spacing w:after="0" w:line="92" w:lineRule="exact"/>
        <w:rPr>
          <w:rFonts w:ascii="Times New Roman" w:cs="Times New Roman" w:eastAsia="Times New Roman" w:hAnsi="Times New Roman"/>
          <w:sz w:val="18"/>
          <w:szCs w:val="18"/>
          <w:color w:val="auto"/>
        </w:rPr>
      </w:pPr>
    </w:p>
    <w:p>
      <w:pPr>
        <w:ind w:left="2840" w:hanging="428"/>
        <w:spacing w:after="0" w:line="256" w:lineRule="auto"/>
        <w:tabs>
          <w:tab w:leader="none" w:pos="28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In-License, upon execution, will be a Collaboration In-License hereunder, and subject to Section 4.7.3 (Research and Platform In-Licenses), any Third Party Payments reasonably allocable to the Exploitation of Licensed Compounds and Licensed Products under this Agreement (“</w:t>
      </w:r>
      <w:r>
        <w:rPr>
          <w:rFonts w:ascii="Times New Roman" w:cs="Times New Roman" w:eastAsia="Times New Roman" w:hAnsi="Times New Roman"/>
          <w:sz w:val="18"/>
          <w:szCs w:val="18"/>
          <w:b w:val="1"/>
          <w:bCs w:val="1"/>
          <w:color w:val="auto"/>
        </w:rPr>
        <w:t>Shared In-Licensing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Costs</w:t>
      </w:r>
      <w:r>
        <w:rPr>
          <w:rFonts w:ascii="Times New Roman" w:cs="Times New Roman" w:eastAsia="Times New Roman" w:hAnsi="Times New Roman"/>
          <w:sz w:val="18"/>
          <w:szCs w:val="18"/>
          <w:color w:val="auto"/>
        </w:rPr>
        <w:t>”) will be shared by the Parties in accordance with Article 12 (Payments). In the event that the In-Licensing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Opts-Out, then the Continuing Party will be responsible for the portion of such Third Party Payments reasonably allocable to the Exploitation of Licensed Compounds and Licensed Products under this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428" w:name="page429"/>
    <w:bookmarkEnd w:id="428"/>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Agreement and will abide by all applicable terms and conditions of such Collaboration In-License as it relates to</w:t>
            </w:r>
          </w:p>
        </w:tc>
      </w:tr>
      <w:tr>
        <w:trPr>
          <w:trHeight w:val="216"/>
        </w:trPr>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such Continuing Party and this Agreement; provided that any such Third Party Payments reasonably allocable to</w:t>
            </w:r>
          </w:p>
        </w:tc>
      </w:tr>
      <w:tr>
        <w:trPr>
          <w:trHeight w:val="216"/>
        </w:trPr>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Exploitation of Licensed Compounds and Licensed Products under this Agreement that are paid by the</w:t>
            </w:r>
          </w:p>
        </w:tc>
      </w:tr>
      <w:tr>
        <w:trPr>
          <w:trHeight w:val="216"/>
        </w:trPr>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Continuing Party to the applicable Third Party (or reimbursed to the In-Licensing Party if the In-Licensing Party</w:t>
            </w:r>
          </w:p>
        </w:tc>
      </w:tr>
      <w:tr>
        <w:trPr>
          <w:trHeight w:val="234"/>
        </w:trPr>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Opts-Out), will still be considered Shared In-Licensing Costs under this Agreement.</w:t>
            </w:r>
          </w:p>
        </w:tc>
      </w:tr>
      <w:tr>
        <w:trPr>
          <w:trHeight w:val="319"/>
        </w:trPr>
        <w:tc>
          <w:tcPr>
            <w:tcW w:w="600" w:type="dxa"/>
            <w:vAlign w:val="bottom"/>
          </w:tcPr>
          <w:p>
            <w:pPr>
              <w:spacing w:after="0"/>
              <w:rPr>
                <w:sz w:val="24"/>
                <w:szCs w:val="24"/>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4.7.3</w:t>
            </w: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Research and Platform In-Licenses</w:t>
            </w:r>
            <w:r>
              <w:rPr>
                <w:rFonts w:ascii="Times New Roman" w:cs="Times New Roman" w:eastAsia="Times New Roman" w:hAnsi="Times New Roman"/>
                <w:sz w:val="18"/>
                <w:szCs w:val="18"/>
                <w:color w:val="auto"/>
                <w:w w:val="99"/>
              </w:rPr>
              <w:t>. Notwithstanding anything in this Section 4.6 (Third Party In-Licenses) to the contrary,</w:t>
            </w:r>
          </w:p>
        </w:tc>
      </w:tr>
      <w:tr>
        <w:trPr>
          <w:trHeight w:val="234"/>
        </w:trPr>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extent that any Identified Rights are [***].</w:t>
            </w:r>
          </w:p>
        </w:tc>
      </w:tr>
      <w:tr>
        <w:trPr>
          <w:trHeight w:val="580"/>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4.8</w:t>
            </w: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w:t>
            </w:r>
          </w:p>
        </w:tc>
        <w:tc>
          <w:tcPr>
            <w:tcW w:w="9060" w:type="dxa"/>
            <w:vAlign w:val="bottom"/>
          </w:tcPr>
          <w:p>
            <w:pPr>
              <w:spacing w:after="0"/>
              <w:rPr>
                <w:sz w:val="24"/>
                <w:szCs w:val="24"/>
                <w:color w:val="auto"/>
              </w:rPr>
            </w:pPr>
          </w:p>
        </w:tc>
      </w:tr>
      <w:tr>
        <w:trPr>
          <w:trHeight w:val="319"/>
        </w:trPr>
        <w:tc>
          <w:tcPr>
            <w:tcW w:w="600" w:type="dxa"/>
            <w:vAlign w:val="bottom"/>
          </w:tcPr>
          <w:p>
            <w:pPr>
              <w:spacing w:after="0"/>
              <w:rPr>
                <w:sz w:val="24"/>
                <w:szCs w:val="24"/>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4.8.1</w:t>
            </w: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Covenant</w:t>
            </w:r>
            <w:r>
              <w:rPr>
                <w:rFonts w:ascii="Times New Roman" w:cs="Times New Roman" w:eastAsia="Times New Roman" w:hAnsi="Times New Roman"/>
                <w:sz w:val="18"/>
                <w:szCs w:val="18"/>
                <w:color w:val="auto"/>
              </w:rPr>
              <w:t>. Subject to Section 4.8.2 (Business Combinations), commencing on the Effective Date until the expiration or</w:t>
            </w:r>
          </w:p>
        </w:tc>
      </w:tr>
      <w:tr>
        <w:trPr>
          <w:trHeight w:val="216"/>
        </w:trPr>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of this Agreement, except as expressly permitted under this Agreement, neither Party will, and will ensure that</w:t>
            </w:r>
          </w:p>
        </w:tc>
      </w:tr>
      <w:tr>
        <w:trPr>
          <w:trHeight w:val="216"/>
        </w:trPr>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its Affiliates do not, directly or indirectly, [***], conduct any Development, Manufacturing, or Commercialization activities</w:t>
            </w:r>
          </w:p>
        </w:tc>
      </w:tr>
      <w:tr>
        <w:trPr>
          <w:trHeight w:val="212"/>
        </w:trPr>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to any compound or product directed to IRF5 (such activities, excluding those conducted under this Agreement,</w:t>
            </w:r>
          </w:p>
        </w:tc>
      </w:tr>
      <w:tr>
        <w:trPr>
          <w:trHeight w:val="238"/>
        </w:trPr>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Activities</w:t>
            </w:r>
            <w:r>
              <w:rPr>
                <w:rFonts w:ascii="Times New Roman" w:cs="Times New Roman" w:eastAsia="Times New Roman" w:hAnsi="Times New Roman"/>
                <w:sz w:val="18"/>
                <w:szCs w:val="18"/>
                <w:color w:val="auto"/>
              </w:rPr>
              <w:t>”).</w:t>
            </w:r>
          </w:p>
        </w:tc>
      </w:tr>
      <w:tr>
        <w:trPr>
          <w:trHeight w:val="581"/>
        </w:trPr>
        <w:tc>
          <w:tcPr>
            <w:tcW w:w="600" w:type="dxa"/>
            <w:vAlign w:val="bottom"/>
          </w:tcPr>
          <w:p>
            <w:pPr>
              <w:spacing w:after="0"/>
              <w:rPr>
                <w:sz w:val="24"/>
                <w:szCs w:val="24"/>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4.8.2</w:t>
            </w: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0" w:hanging="433"/>
        <w:spacing w:after="0" w:line="267" w:lineRule="auto"/>
        <w:tabs>
          <w:tab w:leader="none" w:pos="240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Change of Control of a Party (where such Party is the acquired entity), the obligations of Section 4.8.1 (Covenant) will not apply to the Competing Activities of such Party’s acquirer or its Affiliates prior to or after the closing of such Change of Control,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Party and the acquirer and its Affiliates existing immediately prior to the closing of such Change of Control shall use [***] to establish and enforce internal policies and procedures to segregate the Competing Activities from the Development, Manufacture, and Commercialization of any Licensed Compounds or Licensed Products under this Agreement and (ii) the acquirer and its Affiliates existing immediately prior to the closing of such Change of Control ensure that no (A) Terray Licensed Technology or Odyssey Licensed Technology, (B) Collaboration Know-How or other Confidential Information generated or disclosed in the performance of activities under this Agreement to the extent [***] Licensed Compounds, Licensed Products or IRF5 or</w:t>
      </w:r>
    </w:p>
    <w:p>
      <w:pPr>
        <w:spacing w:after="0" w:line="5" w:lineRule="exact"/>
        <w:rPr>
          <w:rFonts w:ascii="Times New Roman" w:cs="Times New Roman" w:eastAsia="Times New Roman" w:hAnsi="Times New Roman"/>
          <w:sz w:val="17"/>
          <w:szCs w:val="17"/>
          <w:color w:val="auto"/>
        </w:rPr>
      </w:pPr>
    </w:p>
    <w:p>
      <w:pPr>
        <w:ind w:left="2400" w:right="2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Confidential Information of the other Party, in each case, is used in the furtherance of the Competing Activities; provided, however, that with respect to clause (i) above, management personnel may review and evaluate plans and information regarding the Exploitation of Licensed Compounds or Licensed Products and with respect to the Competing Activities if solely in connection with portfolio decision-making.</w:t>
      </w:r>
    </w:p>
    <w:p>
      <w:pPr>
        <w:spacing w:after="0" w:line="94" w:lineRule="exact"/>
        <w:rPr>
          <w:rFonts w:ascii="Times New Roman" w:cs="Times New Roman" w:eastAsia="Times New Roman" w:hAnsi="Times New Roman"/>
          <w:sz w:val="17"/>
          <w:szCs w:val="17"/>
          <w:color w:val="auto"/>
        </w:rPr>
      </w:pPr>
    </w:p>
    <w:p>
      <w:pPr>
        <w:ind w:left="2400" w:right="40" w:hanging="433"/>
        <w:spacing w:after="0" w:line="282" w:lineRule="auto"/>
        <w:tabs>
          <w:tab w:leader="none" w:pos="24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acquires all or substantially all of the assets of a Third Party, then the obligations of Section 4.8.1 (Covenant) will not apply to the Competing Activities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18"/>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 xml:space="preserve">of such Third Party or its Affiliates prior to or after the closing of such acquisition by such Party,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 such</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Party promptly after the closing of such acquisition establishes and enforces internal policies and procedures to</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segregate the Competing Activities from the Development, Manufacture, and Commercialization of any Licensed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Compounds or Licensed Products under this Agreement and (ii) such Party does not use any data or results or any</w:t>
            </w:r>
          </w:p>
        </w:tc>
      </w:tr>
      <w:tr>
        <w:trPr>
          <w:trHeight w:val="212"/>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Confidential Information generated or disclosed in the performance of activities under this Agreement in the</w:t>
            </w:r>
          </w:p>
        </w:tc>
      </w:tr>
      <w:tr>
        <w:trPr>
          <w:trHeight w:val="238"/>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furtherance of the Competing Activities</w:t>
            </w:r>
            <w:r>
              <w:rPr>
                <w:rFonts w:ascii="Times New Roman" w:cs="Times New Roman" w:eastAsia="Times New Roman" w:hAnsi="Times New Roman"/>
                <w:sz w:val="18"/>
                <w:szCs w:val="18"/>
                <w:b w:val="1"/>
                <w:bCs w:val="1"/>
                <w:color w:val="auto"/>
              </w:rPr>
              <w:t>.</w:t>
            </w:r>
          </w:p>
        </w:tc>
      </w:tr>
      <w:tr>
        <w:trPr>
          <w:trHeight w:val="44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4.9</w:t>
            </w: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No Implied Licenses; Retained Rights</w:t>
            </w:r>
            <w:r>
              <w:rPr>
                <w:rFonts w:ascii="Times New Roman" w:cs="Times New Roman" w:eastAsia="Times New Roman" w:hAnsi="Times New Roman"/>
                <w:sz w:val="18"/>
                <w:szCs w:val="18"/>
                <w:color w:val="auto"/>
                <w:w w:val="99"/>
              </w:rPr>
              <w:t>. Each Party acknowledges that the rights and licenses granted under this Agreement are limited to</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scope expressly granted herein, and Terray and Odyssey expressly reserve the rights under the Terray Licensed Technology and</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Odyssey Licensed Technology, respectively, to exercise its rights and perform its obligations under this Agreement, including all Research</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Activities, Development activities and Commercialization activities allocated to it under this Agreement. Except for the rights expressly</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granted under this Agreement, no rights, title, licenses, or other interests of any nature whatsoever are granted whether by implication,</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estoppel, reliance, or otherwise, by either Party to the other Party. Accordingly, Odyssey will not practice or exploit the Terray Licensed</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Technology other than as expressly licensed in this Agreement, and Terray will not practice or exploit the Odyssey Licensed Technology</w:t>
            </w:r>
          </w:p>
        </w:tc>
      </w:tr>
      <w:tr>
        <w:trPr>
          <w:trHeight w:val="234"/>
        </w:trPr>
        <w:tc>
          <w:tcPr>
            <w:tcW w:w="600" w:type="dxa"/>
            <w:vAlign w:val="bottom"/>
          </w:tcPr>
          <w:p>
            <w:pPr>
              <w:spacing w:after="0"/>
              <w:rPr>
                <w:sz w:val="20"/>
                <w:szCs w:val="20"/>
                <w:color w:val="auto"/>
              </w:rPr>
            </w:pP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than as expressly licensed in this Agreement. Notwithstanding anything to the contrary, [***].</w:t>
            </w:r>
          </w:p>
        </w:tc>
      </w:tr>
      <w:tr>
        <w:trPr>
          <w:trHeight w:val="626"/>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0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ARTICLE 5</w:t>
            </w:r>
          </w:p>
        </w:tc>
      </w:tr>
      <w:tr>
        <w:trPr>
          <w:trHeight w:val="238"/>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45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5.1</w:t>
            </w:r>
          </w:p>
        </w:tc>
        <w:tc>
          <w:tcPr>
            <w:tcW w:w="10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w:t>
            </w:r>
          </w:p>
        </w:tc>
      </w:tr>
      <w:tr>
        <w:trPr>
          <w:trHeight w:val="315"/>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5.1.1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Formation and Purpose of the JSC</w:t>
            </w:r>
            <w:r>
              <w:rPr>
                <w:rFonts w:ascii="Times New Roman" w:cs="Times New Roman" w:eastAsia="Times New Roman" w:hAnsi="Times New Roman"/>
                <w:sz w:val="18"/>
                <w:szCs w:val="18"/>
                <w:color w:val="auto"/>
              </w:rPr>
              <w:t>. Promptly, but not more than [***] after the Effective Date, Terray and Odyssey will</w:t>
            </w:r>
          </w:p>
        </w:tc>
      </w:tr>
      <w:tr>
        <w:trPr>
          <w:trHeight w:val="220"/>
        </w:trPr>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establish a joint steering committee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that will have the responsibilities set forth in this Article 5 (Governance) and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will coordinate, oversee and monitor the Parties’ activities to identify Collaboration Compounds and Development</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Candidates and to Develop, Manufacture, and Commercialize Licensed Compounds and Licensed Products in accordance</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this Section 5.1 (Joint Steering Committee). The JSC will dissolve upon the earliest of (a) the Opt-Out by a Party,</w:t>
            </w:r>
          </w:p>
        </w:tc>
      </w:tr>
    </w:tbl>
    <w:p>
      <w:pPr>
        <w:ind w:left="1960" w:right="460" w:firstLine="7"/>
        <w:spacing w:after="0" w:line="255" w:lineRule="auto"/>
        <w:tabs>
          <w:tab w:leader="none" w:pos="221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agreement by the Parties to dissolve the JSC, or (c) upon a Party or the Parties entering into an Out-Licensing Transaction, in each case, unless otherwise agreed by the Parties; provided that the JSC will be formed again upon any Re-Opt-In by an Opt-Out Party if clauses (b) or (c) have not yet occurred.</w:t>
      </w:r>
    </w:p>
    <w:p>
      <w:pPr>
        <w:spacing w:after="0" w:line="87"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5.1.2</w:t>
            </w:r>
          </w:p>
        </w:tc>
        <w:tc>
          <w:tcPr>
            <w:tcW w:w="92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Membership</w:t>
            </w:r>
            <w:r>
              <w:rPr>
                <w:rFonts w:ascii="Times New Roman" w:cs="Times New Roman" w:eastAsia="Times New Roman" w:hAnsi="Times New Roman"/>
                <w:sz w:val="18"/>
                <w:szCs w:val="18"/>
                <w:color w:val="auto"/>
                <w:w w:val="99"/>
              </w:rPr>
              <w:t>. Each Party will designate two employees with appropriate expertise to serve as members of the JSC, and who</w:t>
            </w:r>
          </w:p>
        </w:tc>
      </w:tr>
      <w:tr>
        <w:trPr>
          <w:trHeight w:val="216"/>
        </w:trPr>
        <w:tc>
          <w:tcPr>
            <w:tcW w:w="68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each have the authority to bind such Party with respect to matters within the purview of the JSC. Each Party may replace its</w:t>
            </w:r>
          </w:p>
        </w:tc>
      </w:tr>
      <w:tr>
        <w:trPr>
          <w:trHeight w:val="216"/>
        </w:trPr>
        <w:tc>
          <w:tcPr>
            <w:tcW w:w="68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JSC members at any time upon written notice to the other Party. Each Party will select a representative from such members</w:t>
            </w:r>
          </w:p>
        </w:tc>
      </w:tr>
      <w:tr>
        <w:trPr>
          <w:trHeight w:val="234"/>
        </w:trPr>
        <w:tc>
          <w:tcPr>
            <w:tcW w:w="68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be a “co-chair.” The co-chairs will be responsible for calling meetings, preparing and circulating an agenda in advance of</w:t>
            </w:r>
          </w:p>
        </w:tc>
      </w:tr>
    </w:tbl>
    <w:p>
      <w:pPr>
        <w:ind w:left="1960" w:right="20"/>
        <w:spacing w:after="0" w:line="255" w:lineRule="auto"/>
        <w:rPr>
          <w:sz w:val="20"/>
          <w:szCs w:val="20"/>
          <w:color w:val="auto"/>
        </w:rPr>
      </w:pPr>
      <w:r>
        <w:rPr>
          <w:rFonts w:ascii="Times New Roman" w:cs="Times New Roman" w:eastAsia="Times New Roman" w:hAnsi="Times New Roman"/>
          <w:sz w:val="18"/>
          <w:szCs w:val="18"/>
          <w:color w:val="auto"/>
        </w:rPr>
        <w:t>each meeting, and preparing and issuing minutes of each meeting within 30 days thereafter. Such minutes will be deemed finalized unless such other JSC member objects to the accuracy of such minutes no later than ten Business Days after receipt of such minutes.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68" w:right="499"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20"/>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5.1.3</w:t>
            </w: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JSC will hold meetings at such times as it elects to do so, but in no event will such meetings be held less</w:t>
            </w:r>
          </w:p>
        </w:tc>
      </w:tr>
      <w:tr>
        <w:trPr>
          <w:trHeight w:val="216"/>
        </w:trPr>
        <w:tc>
          <w:tcPr>
            <w:tcW w:w="680" w:type="dxa"/>
            <w:vAlign w:val="bottom"/>
          </w:tcPr>
          <w:p>
            <w:pPr>
              <w:spacing w:after="0"/>
              <w:rPr>
                <w:sz w:val="18"/>
                <w:szCs w:val="18"/>
                <w:color w:val="auto"/>
              </w:rPr>
            </w:pP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frequently than [***] during the performance of the Research Plan, Development Plan or Commercialization Plan, as</w:t>
            </w:r>
          </w:p>
        </w:tc>
      </w:tr>
      <w:tr>
        <w:trPr>
          <w:trHeight w:val="216"/>
        </w:trPr>
        <w:tc>
          <w:tcPr>
            <w:tcW w:w="680" w:type="dxa"/>
            <w:vAlign w:val="bottom"/>
          </w:tcPr>
          <w:p>
            <w:pPr>
              <w:spacing w:after="0"/>
              <w:rPr>
                <w:sz w:val="18"/>
                <w:szCs w:val="18"/>
                <w:color w:val="auto"/>
              </w:rPr>
            </w:pP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applicable, unless otherwise agreed by the Parties. The JSC will meet at such locations as the Parties may agree, or by audio</w:t>
            </w:r>
          </w:p>
        </w:tc>
      </w:tr>
      <w:tr>
        <w:trPr>
          <w:trHeight w:val="216"/>
        </w:trPr>
        <w:tc>
          <w:tcPr>
            <w:tcW w:w="680" w:type="dxa"/>
            <w:vAlign w:val="bottom"/>
          </w:tcPr>
          <w:p>
            <w:pPr>
              <w:spacing w:after="0"/>
              <w:rPr>
                <w:sz w:val="18"/>
                <w:szCs w:val="18"/>
                <w:color w:val="auto"/>
              </w:rPr>
            </w:pP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or video teleconference if agreed by the Parties. The Alliance Manager of each Party will attend each meeting of the JSC as a</w:t>
            </w:r>
          </w:p>
        </w:tc>
      </w:tr>
      <w:tr>
        <w:trPr>
          <w:trHeight w:val="234"/>
        </w:trPr>
        <w:tc>
          <w:tcPr>
            <w:tcW w:w="680" w:type="dxa"/>
            <w:vAlign w:val="bottom"/>
          </w:tcPr>
          <w:p>
            <w:pPr>
              <w:spacing w:after="0"/>
              <w:rPr>
                <w:sz w:val="20"/>
                <w:szCs w:val="20"/>
                <w:color w:val="auto"/>
              </w:rPr>
            </w:pP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non-voting participant. Each Party will be responsible for all of its own expenses of participating in any JSC meeting.</w:t>
            </w:r>
          </w:p>
        </w:tc>
      </w:tr>
      <w:tr>
        <w:trPr>
          <w:trHeight w:val="319"/>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5.1.4</w:t>
            </w: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Meeting Agendas</w:t>
            </w:r>
            <w:r>
              <w:rPr>
                <w:rFonts w:ascii="Times New Roman" w:cs="Times New Roman" w:eastAsia="Times New Roman" w:hAnsi="Times New Roman"/>
                <w:sz w:val="18"/>
                <w:szCs w:val="18"/>
                <w:color w:val="auto"/>
              </w:rPr>
              <w:t>. Each Party will disclose to the other Party the proposed agenda items along with appropriate information</w:t>
            </w:r>
          </w:p>
        </w:tc>
      </w:tr>
      <w:tr>
        <w:trPr>
          <w:trHeight w:val="216"/>
        </w:trPr>
        <w:tc>
          <w:tcPr>
            <w:tcW w:w="680" w:type="dxa"/>
            <w:vAlign w:val="bottom"/>
          </w:tcPr>
          <w:p>
            <w:pPr>
              <w:spacing w:after="0"/>
              <w:rPr>
                <w:sz w:val="18"/>
                <w:szCs w:val="18"/>
                <w:color w:val="auto"/>
              </w:rPr>
            </w:pP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at least five Business Days in advance of each meeting of the JSC; provided that a Party may provide its agenda items to the</w:t>
            </w:r>
          </w:p>
        </w:tc>
      </w:tr>
      <w:tr>
        <w:trPr>
          <w:trHeight w:val="234"/>
        </w:trPr>
        <w:tc>
          <w:tcPr>
            <w:tcW w:w="680" w:type="dxa"/>
            <w:vAlign w:val="bottom"/>
          </w:tcPr>
          <w:p>
            <w:pPr>
              <w:spacing w:after="0"/>
              <w:rPr>
                <w:sz w:val="20"/>
                <w:szCs w:val="20"/>
                <w:color w:val="auto"/>
              </w:rPr>
            </w:pP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Party without providing the agenda at least [***] in advance with the approval of the other Party.</w:t>
            </w:r>
          </w:p>
        </w:tc>
      </w:tr>
      <w:tr>
        <w:trPr>
          <w:trHeight w:val="338"/>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5.1.5</w:t>
            </w:r>
          </w:p>
        </w:tc>
        <w:tc>
          <w:tcPr>
            <w:tcW w:w="9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Specific Responsibilities of the JSC</w:t>
            </w:r>
            <w:r>
              <w:rPr>
                <w:rFonts w:ascii="Times New Roman" w:cs="Times New Roman" w:eastAsia="Times New Roman" w:hAnsi="Times New Roman"/>
                <w:sz w:val="18"/>
                <w:szCs w:val="18"/>
                <w:color w:val="auto"/>
              </w:rPr>
              <w:t>. The responsibilities of the JSC will be to:</w:t>
            </w:r>
          </w:p>
        </w:tc>
      </w:tr>
      <w:tr>
        <w:trPr>
          <w:trHeight w:val="338"/>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oversee the overall strategic relationship between the Parties;</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oversee and facilitate information sharing and cooperation between the Parties with respect to (i) all activities</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performed under the Research Plan, (ii) all activities performed under any Development Plan, and (iii) all activities</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performed under any Commercialization Plan;</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review, discuss and determine whether to provide the Further Development Approval as described in Section 6.1</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(Effectiveness) or the Commercialization Approval described in Section 8.1 (Effectiveness);</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review and discuss any matters related to the Collaboration Compounds, Licensed Compounds, and Licensed Products</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referred to the JSC by either Party’s representatives or any Subcommittee;</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 and delegate specifically defined matters or duties to any Subcommittee, pursuant to Section 5.2 (Additional</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Committees);</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review, discuss, and determine whether to approve any updates to the Research Plan (including the Research Budget</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 therein), the Development Plan (including any Development Budget included therein) or the</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Commercialization Plan (including any Commercialization Budget included therein), as applicable, each, as described</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Section 3.2.2 (Initial Research Plan; Amendments to the Research Plan), Section 6.3.2 (Initial Development Plan;</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to the Development Plan) and Section 8.3.2 (Initial Commercialization Plan; Amendments to the</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Commercialization Plan), respectively;</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review, discuss, and determine whether to approve any amendments to the DC Criteria as described in Section 3.3.1</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(DC Criteria);</w:t>
            </w:r>
          </w:p>
        </w:tc>
      </w:tr>
      <w:tr>
        <w:trPr>
          <w:trHeight w:val="364"/>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-30-</w:t>
            </w:r>
          </w:p>
        </w:tc>
      </w:tr>
    </w:tbl>
    <w:p>
      <w:pPr>
        <w:ind w:left="3080"/>
        <w:spacing w:after="0"/>
        <w:rPr>
          <w:sz w:val="20"/>
          <w:szCs w:val="20"/>
          <w:color w:val="auto"/>
        </w:rPr>
        <w:sectPr>
          <w:pgSz w:w="11900" w:h="16838" w:orient="portrait"/>
          <w:cols w:equalWidth="0" w:num="1">
            <w:col w:w="10000"/>
          </w:cols>
          <w:pgMar w:left="1420" w:top="26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31" w:name="page432"/>
    <w:bookmarkEnd w:id="431"/>
    <w:p>
      <w:pPr>
        <w:ind w:left="2400" w:right="240" w:hanging="433"/>
        <w:spacing w:after="0" w:line="261"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review, discuss, and determine whether to approve (i) an increase in the amounts set forth in the Research Budget as described in Section 3.2.3(d) (Research Costs; Research Budget), (ii) an increase in the amounts set forth in the Development Budget as described in Section 6.3.3(d), or (iii) an increase in the amounts set forth in the Commercialization Budget as described in Section 8.3.3(d);</w:t>
      </w:r>
    </w:p>
    <w:p>
      <w:pPr>
        <w:spacing w:after="0" w:line="85" w:lineRule="exact"/>
        <w:rPr>
          <w:rFonts w:ascii="Times New Roman" w:cs="Times New Roman" w:eastAsia="Times New Roman" w:hAnsi="Times New Roman"/>
          <w:sz w:val="18"/>
          <w:szCs w:val="18"/>
          <w:color w:val="auto"/>
        </w:rPr>
      </w:pPr>
    </w:p>
    <w:p>
      <w:pPr>
        <w:ind w:left="2400" w:right="100" w:hanging="433"/>
        <w:spacing w:after="0" w:line="266"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the DC Data Package as described in Section 3.3.2 (DC Data Package) and determine whether one or more Collaboration Compounds satisfy the DC Criteria or whether to designate a Collaboration Compound as a Development Candidate as described in Section 3.3.3 (Development Candidate Identification);</w:t>
      </w:r>
    </w:p>
    <w:p>
      <w:pPr>
        <w:spacing w:after="0" w:line="81" w:lineRule="exact"/>
        <w:rPr>
          <w:rFonts w:ascii="Times New Roman" w:cs="Times New Roman" w:eastAsia="Times New Roman" w:hAnsi="Times New Roman"/>
          <w:sz w:val="18"/>
          <w:szCs w:val="18"/>
          <w:color w:val="auto"/>
        </w:rPr>
      </w:pPr>
    </w:p>
    <w:p>
      <w:pPr>
        <w:ind w:left="2400" w:right="200" w:hanging="433"/>
        <w:spacing w:after="0" w:line="289" w:lineRule="auto"/>
        <w:tabs>
          <w:tab w:leader="none" w:pos="240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information related to, and review and discuss activities and progress under (i) the Research Activity reports as described in Section 3.4 (Research Reports), (ii) the Development reports as described in Section 6.4 (Development Reports) and (iii) the Commercialization reports as described in Section 8.3.3(d) (Commercialization Reports);</w:t>
      </w:r>
    </w:p>
    <w:p>
      <w:pPr>
        <w:spacing w:after="0" w:line="63" w:lineRule="exact"/>
        <w:rPr>
          <w:rFonts w:ascii="Times New Roman" w:cs="Times New Roman" w:eastAsia="Times New Roman" w:hAnsi="Times New Roman"/>
          <w:sz w:val="17"/>
          <w:szCs w:val="17"/>
          <w:color w:val="auto"/>
        </w:rPr>
      </w:pPr>
    </w:p>
    <w:p>
      <w:pPr>
        <w:ind w:left="2400" w:right="20" w:hanging="433"/>
        <w:spacing w:after="0" w:line="282"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discuss and determine if the Parties will seek a license under Identified Rights, and if so, which Party will enter into such agreement, as described in Section 4.7.2(b)(i);</w:t>
      </w:r>
    </w:p>
    <w:p>
      <w:pPr>
        <w:spacing w:after="0" w:line="67" w:lineRule="exact"/>
        <w:rPr>
          <w:rFonts w:ascii="Times New Roman" w:cs="Times New Roman" w:eastAsia="Times New Roman" w:hAnsi="Times New Roman"/>
          <w:sz w:val="18"/>
          <w:szCs w:val="18"/>
          <w:color w:val="auto"/>
        </w:rPr>
      </w:pPr>
    </w:p>
    <w:p>
      <w:pPr>
        <w:ind w:left="2400" w:right="100" w:hanging="433"/>
        <w:spacing w:after="0" w:line="261"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discuss and determine whether to approve the Out-Licensing Criteria as described in Section 10.2 (Out-Licensing Criteria), determine whether to approve any Out-Licensing Agreement that does not meet the Out-Licensing Criteria, and determine whether to approve a delay in the execution of the Out-Licensing Agreement in order for the Parties to negotiate more favorable terms;</w:t>
      </w:r>
    </w:p>
    <w:p>
      <w:pPr>
        <w:spacing w:after="0" w:line="85" w:lineRule="exact"/>
        <w:rPr>
          <w:rFonts w:ascii="Times New Roman" w:cs="Times New Roman" w:eastAsia="Times New Roman" w:hAnsi="Times New Roman"/>
          <w:sz w:val="18"/>
          <w:szCs w:val="18"/>
          <w:color w:val="auto"/>
        </w:rPr>
      </w:pPr>
    </w:p>
    <w:p>
      <w:pPr>
        <w:ind w:left="2400" w:right="960" w:hanging="433"/>
        <w:spacing w:after="0" w:line="282"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facilitate information sharing and cooperation between the Parties with respect to entering an Out-Licensing Transaction as described in Section 10.4 (Responsibility; Cooperation);</w:t>
      </w:r>
    </w:p>
    <w:p>
      <w:pPr>
        <w:spacing w:after="0" w:line="67" w:lineRule="exact"/>
        <w:rPr>
          <w:rFonts w:ascii="Times New Roman" w:cs="Times New Roman" w:eastAsia="Times New Roman" w:hAnsi="Times New Roman"/>
          <w:sz w:val="18"/>
          <w:szCs w:val="18"/>
          <w:color w:val="auto"/>
        </w:rPr>
      </w:pPr>
    </w:p>
    <w:p>
      <w:pPr>
        <w:ind w:left="2400" w:right="900" w:hanging="433"/>
        <w:spacing w:after="0" w:line="282"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anticipated date of the First Commercial Sale for a Licensed Product in [***] as described in Section 1.91 (Launch Window);</w:t>
      </w:r>
    </w:p>
    <w:p>
      <w:pPr>
        <w:spacing w:after="0" w:line="67" w:lineRule="exact"/>
        <w:rPr>
          <w:rFonts w:ascii="Times New Roman" w:cs="Times New Roman" w:eastAsia="Times New Roman" w:hAnsi="Times New Roman"/>
          <w:sz w:val="18"/>
          <w:szCs w:val="18"/>
          <w:color w:val="auto"/>
        </w:rPr>
      </w:pPr>
    </w:p>
    <w:p>
      <w:pPr>
        <w:ind w:left="2400" w:right="1100" w:hanging="433"/>
        <w:spacing w:after="0" w:line="282"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what information is to be included in the Reconciliation Report as described in Section 12.1.1 (Reconciliation of Collaboration Profits and Losses);</w:t>
      </w:r>
    </w:p>
    <w:p>
      <w:pPr>
        <w:spacing w:after="0" w:line="67" w:lineRule="exact"/>
        <w:rPr>
          <w:rFonts w:ascii="Times New Roman" w:cs="Times New Roman" w:eastAsia="Times New Roman" w:hAnsi="Times New Roman"/>
          <w:sz w:val="18"/>
          <w:szCs w:val="18"/>
          <w:color w:val="auto"/>
        </w:rPr>
      </w:pPr>
    </w:p>
    <w:p>
      <w:pPr>
        <w:jc w:val="both"/>
        <w:ind w:left="2400" w:right="640" w:hanging="433"/>
        <w:spacing w:after="0" w:line="266"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discuss and determine whether to approve amendments to the definitions of “Collaboration Profit” and “Collaboration Losses” or the reconciliation process for the Collaboration Profits and Collaboration Losses as described in Section 12.1.2 (Amendments to Reconciliation Process);</w:t>
      </w:r>
    </w:p>
    <w:p>
      <w:pPr>
        <w:spacing w:after="0" w:line="81"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any other disputes or disagreements, including those arising from any Subcommittee; and</w:t>
      </w:r>
    </w:p>
    <w:p>
      <w:pPr>
        <w:spacing w:after="0" w:line="130" w:lineRule="exact"/>
        <w:rPr>
          <w:rFonts w:ascii="Times New Roman" w:cs="Times New Roman" w:eastAsia="Times New Roman" w:hAnsi="Times New Roman"/>
          <w:sz w:val="18"/>
          <w:szCs w:val="18"/>
          <w:color w:val="auto"/>
        </w:rPr>
      </w:pPr>
    </w:p>
    <w:p>
      <w:pPr>
        <w:ind w:left="2400" w:right="180" w:hanging="433"/>
        <w:spacing w:after="0" w:line="282" w:lineRule="auto"/>
        <w:tabs>
          <w:tab w:leader="none" w:pos="24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appropriate to further the purposes of this Agreement as determined by agreement of the Parties.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5.2</w:t>
            </w:r>
          </w:p>
        </w:tc>
        <w:tc>
          <w:tcPr>
            <w:tcW w:w="104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Additional Committees</w:t>
            </w:r>
            <w:r>
              <w:rPr>
                <w:rFonts w:ascii="Times New Roman" w:cs="Times New Roman" w:eastAsia="Times New Roman" w:hAnsi="Times New Roman"/>
                <w:sz w:val="18"/>
                <w:szCs w:val="18"/>
                <w:color w:val="auto"/>
                <w:w w:val="99"/>
              </w:rPr>
              <w:t>. In addition to the JSC, from time-to-time, the JSC may establish and delegate specific matters or duties within its</w:t>
            </w:r>
          </w:p>
        </w:tc>
      </w:tr>
      <w:tr>
        <w:trPr>
          <w:trHeight w:val="234"/>
        </w:trPr>
        <w:tc>
          <w:tcPr>
            <w:tcW w:w="600" w:type="dxa"/>
            <w:vAlign w:val="bottom"/>
          </w:tcPr>
          <w:p>
            <w:pPr>
              <w:spacing w:after="0"/>
              <w:rPr>
                <w:sz w:val="20"/>
                <w:szCs w:val="20"/>
                <w:color w:val="auto"/>
              </w:rPr>
            </w:pPr>
          </w:p>
        </w:tc>
        <w:tc>
          <w:tcPr>
            <w:tcW w:w="10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responsibilities to other operational committees or ad</w:t>
            </w:r>
          </w:p>
        </w:tc>
      </w:tr>
      <w:tr>
        <w:trPr>
          <w:trHeight w:val="365"/>
        </w:trPr>
        <w:tc>
          <w:tcPr>
            <w:tcW w:w="600" w:type="dxa"/>
            <w:vAlign w:val="bottom"/>
          </w:tcPr>
          <w:p>
            <w:pPr>
              <w:spacing w:after="0"/>
              <w:rPr>
                <w:sz w:val="24"/>
                <w:szCs w:val="24"/>
                <w:color w:val="auto"/>
              </w:rPr>
            </w:pPr>
          </w:p>
        </w:tc>
        <w:tc>
          <w:tcPr>
            <w:tcW w:w="1040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000"/>
          </w:cols>
          <w:pgMar w:left="440" w:top="270" w:right="459" w:bottom="1440" w:gutter="0" w:footer="0" w:header="0"/>
        </w:sectPr>
      </w:pPr>
    </w:p>
    <w:bookmarkStart w:id="432" w:name="page433"/>
    <w:bookmarkEnd w:id="4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hoc subcommittees, on an “as needed” basis to oversee particular projects and activities and to assist the JSC in preparing plans and</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budgets and carrying out other actions set forth in this Article 5 (Governance) (such other operational committees and subcommittees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established by the JSC, each a “Subcommittee”). The composition, operation, and responsibilities of each Subcommittee will be</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determined by the JSC.</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5.3</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Additional Participants</w:t>
            </w:r>
            <w:r>
              <w:rPr>
                <w:rFonts w:ascii="Times New Roman" w:cs="Times New Roman" w:eastAsia="Times New Roman" w:hAnsi="Times New Roman"/>
                <w:sz w:val="18"/>
                <w:szCs w:val="18"/>
                <w:color w:val="auto"/>
              </w:rPr>
              <w:t>. With the consent of the other Party, not to be unreasonably withheld, conditioned, or delayed, other employees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of either Party or any of its Affiliates involved in the Exploitation of any Licensed Compounds or Licensed Products may attend meetings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of the JSC or any Subcommittee as non-voting participants. In addition, with the prior written consent of each Party, consultants,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representatives, or advisors involved in the Exploitation of any Licensed Compounds or Licensed Products may attend meetings of the JSC</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or any Subcommittee as non-voting observers; provided that such Third Party participants and observers are under written obligations of</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confidentiality and non-use applicable to the Confidential Information of each Party that are at least as stringent as those set forth in</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Article 14 (Confidentiality).</w:t>
            </w:r>
          </w:p>
        </w:tc>
      </w:tr>
      <w:tr>
        <w:trPr>
          <w:trHeight w:val="580"/>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5.4</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Decision-Making</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5.4.1</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General Decision-Making Process</w:t>
            </w:r>
            <w:r>
              <w:rPr>
                <w:rFonts w:ascii="Times New Roman" w:cs="Times New Roman" w:eastAsia="Times New Roman" w:hAnsi="Times New Roman"/>
                <w:sz w:val="18"/>
                <w:szCs w:val="18"/>
                <w:color w:val="auto"/>
              </w:rPr>
              <w:t>. Each Party’s representatives on the JSC or a particular Subcommittee will, collectively,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have one vote on all matters brought before such committee for a decision by unanimous agreement. The JSC and each</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Subcommittee will make decisions as to matters within its jurisdiction by unanimous decision, which may be reflected in the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minutes of the committee meeting or by an action by written consent signed by both Parties. Except as otherwise expressly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 forth in this Agreement, the phrase “determine,” “designate,” “confirm,” “approve,” or “determine whether to approve”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the JSC or any Subcommittee and similar phrases used in this Agreement will mean approval in accordance with this</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Section 5.4 (Decision Making), including the escalation provisions herein and escalation and tie-breaking provisions set forth</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Section 5.5 (Resolution of Committee Dispute). For the avoidance of doubt, matters that are specified in Section 5.1.5</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(Specific Responsibilities of the JSC) to be reviewed and discussed (as opposed to matters that are reviewed, discussed, and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approved) do not require any agreement or decision by the JSC and are not subject to the voting and decision-making</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procedures set forth in this Section 5.4 (Decision Making) or Section 5.5 (Resolution of Committee Disputes).</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5.4.2</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Decisions of the Subcommittees</w:t>
            </w:r>
            <w:r>
              <w:rPr>
                <w:rFonts w:ascii="Times New Roman" w:cs="Times New Roman" w:eastAsia="Times New Roman" w:hAnsi="Times New Roman"/>
                <w:sz w:val="18"/>
                <w:szCs w:val="18"/>
                <w:color w:val="auto"/>
              </w:rPr>
              <w:t>. If any Subcommittee cannot reach a unanimous decision using good faith efforts on any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matter within their respective scope of authority within [***] after the meeting at which such Subcommittee discussed such</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matter, then a Party may refer such matter to the JSC for resolution in accordance with Section 5.4.3 (Decisions of the JSC).</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5.4.3</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Decisions of the JSC</w:t>
            </w:r>
            <w:r>
              <w:rPr>
                <w:rFonts w:ascii="Times New Roman" w:cs="Times New Roman" w:eastAsia="Times New Roman" w:hAnsi="Times New Roman"/>
                <w:sz w:val="18"/>
                <w:szCs w:val="18"/>
                <w:color w:val="auto"/>
              </w:rPr>
              <w:t>. Subject to Section 5.6 (General Authority), the JSC has the authority (a) to make decisions as to</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matters specifically delegated to it or expressly specified in this Agreement, (b) to resolve disputes within the jurisdiction of</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any Subcommittees, and (c) to make decisions as to any other matter agreed to by the Parties in writing. The JSC has no</w:t>
            </w:r>
          </w:p>
        </w:tc>
      </w:tr>
    </w:tbl>
    <w:p>
      <w:pPr>
        <w:ind w:left="1960"/>
        <w:spacing w:after="0" w:line="253" w:lineRule="auto"/>
        <w:rPr>
          <w:sz w:val="20"/>
          <w:szCs w:val="20"/>
          <w:color w:val="auto"/>
        </w:rPr>
      </w:pPr>
      <w:r>
        <w:rPr>
          <w:rFonts w:ascii="Times New Roman" w:cs="Times New Roman" w:eastAsia="Times New Roman" w:hAnsi="Times New Roman"/>
          <w:sz w:val="18"/>
          <w:szCs w:val="18"/>
          <w:color w:val="auto"/>
        </w:rPr>
        <w:t>other authority under this Agreement. The JSC will use good faith efforts, in compliance with this Section 5.4.3 (Decisions of the JSC), to promptly resolve any such matter for which it has authority. If, after the use of good faith efforts, the JSC is unable to resolve any such matter referred to it by any Subcommittee or any other matter within the scope of the JSC’s authority as set forth in this Section 5.4.3 (Decisions of the JSC), in each case, within a period of [***] then a Party may refer such matter to the Party’s respective Executive Officer for resolution in accordance with Section 5.5.1 (Escalation).</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33" w:name="page434"/>
    <w:bookmarkEnd w:id="433"/>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5.5</w:t>
            </w:r>
          </w:p>
        </w:tc>
        <w:tc>
          <w:tcPr>
            <w:tcW w:w="10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Resolution of Committee Disputes</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5.5.1</w:t>
            </w:r>
          </w:p>
        </w:tc>
        <w:tc>
          <w:tcPr>
            <w:tcW w:w="9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Escalation</w:t>
            </w:r>
            <w:r>
              <w:rPr>
                <w:rFonts w:ascii="Times New Roman" w:cs="Times New Roman" w:eastAsia="Times New Roman" w:hAnsi="Times New Roman"/>
                <w:sz w:val="18"/>
                <w:szCs w:val="18"/>
                <w:color w:val="auto"/>
              </w:rPr>
              <w:t>. If the representatives of Terray and Odyssey are unable to agree on or resolve any matter requiring the approval</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the JSC after the use of good faith efforts, then, at the election of either Party, such Party may refer such matter to the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Party’s respective Executive Officer. The Executive Officers will use good faith efforts to resolve any such matter so referred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them as soon as practicable, and any final decision that the Executive Officers agree to in writing will be conclusive and</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binding on the Parties.</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5.5.2</w:t>
            </w:r>
          </w:p>
        </w:tc>
        <w:tc>
          <w:tcPr>
            <w:tcW w:w="9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Decision Making Authority</w:t>
            </w:r>
            <w:r>
              <w:rPr>
                <w:rFonts w:ascii="Times New Roman" w:cs="Times New Roman" w:eastAsia="Times New Roman" w:hAnsi="Times New Roman"/>
                <w:sz w:val="18"/>
                <w:szCs w:val="18"/>
                <w:color w:val="auto"/>
              </w:rPr>
              <w:t>. If the Executive Officers are unable to resolve any disagreement so referred within a period of</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after such matter is referred to them (or such longer period as the Executive Officers may agree upon), then:</w:t>
            </w: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2400" w:right="20" w:hanging="433"/>
        <w:spacing w:after="0" w:line="268" w:lineRule="auto"/>
        <w:tabs>
          <w:tab w:leader="none" w:pos="24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Expedited Dispute Resolution</w:t>
      </w:r>
      <w:r>
        <w:rPr>
          <w:rFonts w:ascii="Times New Roman" w:cs="Times New Roman" w:eastAsia="Times New Roman" w:hAnsi="Times New Roman"/>
          <w:sz w:val="18"/>
          <w:szCs w:val="18"/>
          <w:color w:val="auto"/>
        </w:rPr>
        <w:t>. If such referred matter relates to [***], then either Party may refer any such matter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resolved in accordance with Section 18.2 (Expedited Dispute Resolution) within [***] following such failure by the Executive Officers to reach agreement.</w:t>
      </w:r>
    </w:p>
    <w:p>
      <w:pPr>
        <w:spacing w:after="0" w:line="76" w:lineRule="exact"/>
        <w:rPr>
          <w:rFonts w:ascii="Times New Roman" w:cs="Times New Roman" w:eastAsia="Times New Roman" w:hAnsi="Times New Roman"/>
          <w:sz w:val="18"/>
          <w:szCs w:val="18"/>
          <w:color w:val="auto"/>
        </w:rPr>
      </w:pPr>
    </w:p>
    <w:p>
      <w:pPr>
        <w:ind w:left="2400" w:right="20" w:hanging="433"/>
        <w:spacing w:after="0" w:line="257" w:lineRule="auto"/>
        <w:tabs>
          <w:tab w:leader="none" w:pos="24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Baseball Arbitration Matters</w:t>
      </w:r>
      <w:r>
        <w:rPr>
          <w:rFonts w:ascii="Times New Roman" w:cs="Times New Roman" w:eastAsia="Times New Roman" w:hAnsi="Times New Roman"/>
          <w:sz w:val="18"/>
          <w:szCs w:val="18"/>
          <w:color w:val="auto"/>
        </w:rPr>
        <w:t>. If such referred matter relates to [***], then either Party may refer any such matter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resolved in accordance with Section 18.3 (Baseball Arbitration). For clarity, and without limiting the Parties’ ability to amend the Research Plan pursuant to Section 3.2.2 (Initial Research Plan; Amendments to the Research Plan), the Development Plan pursuant to Section 6.3.2 (Initial Development Plan; Amendments to the Development Plan) or the Commercialization Plan pursuant to Section 8.3.2 (Initial Commercialization Plan; Amendments to the Commercialization Plan), [***], as applicable, may not [***].</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66" w:right="479" w:bottom="1440" w:gutter="0" w:footer="0" w:header="0"/>
        </w:sectPr>
      </w:pPr>
    </w:p>
    <w:bookmarkStart w:id="434" w:name="page435"/>
    <w:bookmarkEnd w:id="434"/>
    <w:p>
      <w:pPr>
        <w:jc w:val="both"/>
        <w:ind w:left="2400" w:right="60" w:hanging="433"/>
        <w:spacing w:after="0" w:line="262" w:lineRule="auto"/>
        <w:tabs>
          <w:tab w:leader="none" w:pos="24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Quo</w:t>
      </w:r>
      <w:r>
        <w:rPr>
          <w:rFonts w:ascii="Times New Roman" w:cs="Times New Roman" w:eastAsia="Times New Roman" w:hAnsi="Times New Roman"/>
          <w:sz w:val="18"/>
          <w:szCs w:val="18"/>
          <w:color w:val="auto"/>
        </w:rPr>
        <w:t>. Except for those matters set forth in Section 5.5.2(a) (Expedited Dispute Resolution) and Section 5.5.2(b)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(Baseball Arbitration Matters), and subject to Section 4.5 (General Authority), no action may be taken by or on behalf of either Party with respect to the referred matter and no changes may be made by or on behalf of either Party from the current status quo without the unanimous decision of the JSC.</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5.6</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General Authority</w:t>
            </w:r>
            <w:r>
              <w:rPr>
                <w:rFonts w:ascii="Times New Roman" w:cs="Times New Roman" w:eastAsia="Times New Roman" w:hAnsi="Times New Roman"/>
                <w:sz w:val="18"/>
                <w:szCs w:val="18"/>
                <w:color w:val="auto"/>
              </w:rPr>
              <w:t>. The JSC will solely have the powers expressly assigned to it in this Article 5 (Governance) and elsewhere in this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Agreement. In conducting themselves on the JSC and in exercising their rights under this Article 5 (Governance), all representatives of</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each Party will consider diligently, reasonably, and in good faith all input received from the other Party, and will use good faith efforts to</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reach unanimity, where required, on all matters before them. Notwithstanding any provision to the contrary set forth in this Agreement, the</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JSC will not have the right to make any decisions:</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5.6.1</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amend or modify this Agreement, or waive compliance with this Agreement;</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5.6.2</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a manner that excuses such Party from any obligation specifically enumerated under this Agreement;</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5.6.3</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a manner that negates any consent right or other right specifically allocated to the other Party under this Agreement;</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5.6.4</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resolve any dispute involving the breach or alleged breach of this Agreement;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5.6.5</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resolve a matter if the provisions of this Agreement specify that agreement of the Parties, including consent of each Party,</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 required for such matter;</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5.6.6</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a manner that the other Party reasonably believes would require such other Party to perform any act that would cause such</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Party to violate any Applicable Law or the requirements of any Regulatory Authority, or otherwise breach any of its</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obligations hereunder or under any agreement with any Third Party;</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5.6.7</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impose any obligation on either Party that would be in violation of such Party’s written standard operating procedures,</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written business policies, or written compliance policies or procedures; or</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5.6.8</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otherwise expand the rights or reduce the obligations of either Party under this Agreement</w:t>
            </w:r>
            <w:r>
              <w:rPr>
                <w:rFonts w:ascii="Times New Roman" w:cs="Times New Roman" w:eastAsia="Times New Roman" w:hAnsi="Times New Roman"/>
                <w:sz w:val="18"/>
                <w:szCs w:val="18"/>
                <w:b w:val="1"/>
                <w:bCs w:val="1"/>
                <w:color w:val="auto"/>
              </w:rPr>
              <w:t>.</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5.7</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Alliance Managers</w:t>
            </w:r>
            <w:r>
              <w:rPr>
                <w:rFonts w:ascii="Times New Roman" w:cs="Times New Roman" w:eastAsia="Times New Roman" w:hAnsi="Times New Roman"/>
                <w:sz w:val="18"/>
                <w:szCs w:val="18"/>
                <w:color w:val="auto"/>
                <w:w w:val="99"/>
              </w:rPr>
              <w:t>. Each of the Parties will appoint a single employee to serve as a primary point of contact on behalf of the Parties under</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this Agreement (each, an “Alliance Manager”). The Alliance Managers will attend all JSC meetings and the Alliance Managers or their</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respective designees will attend all Subcommittee meetings and will support the chairperson of the JSC and each Subcommittee in the</w:t>
            </w:r>
          </w:p>
        </w:tc>
      </w:tr>
    </w:tbl>
    <w:p>
      <w:pPr>
        <w:ind w:left="980" w:right="420"/>
        <w:spacing w:after="0" w:line="260" w:lineRule="auto"/>
        <w:rPr>
          <w:sz w:val="20"/>
          <w:szCs w:val="20"/>
          <w:color w:val="auto"/>
        </w:rPr>
      </w:pPr>
      <w:r>
        <w:rPr>
          <w:rFonts w:ascii="Times New Roman" w:cs="Times New Roman" w:eastAsia="Times New Roman" w:hAnsi="Times New Roman"/>
          <w:sz w:val="18"/>
          <w:szCs w:val="18"/>
          <w:color w:val="auto"/>
        </w:rPr>
        <w:t>discharge of his or her responsibilities. Alliance Managers will be non-voting participants in all JSC and Subcommittee meetings. An Alliance Manager may bring 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matter to the attention of the JSC or any Subcommittee if such Alliance Manager reasonably believes that such matter warrants such</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Each Party will designate its initial Alliance Manager promptly after the Effective Date and each Party may change its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designated Alliance Manager at any time upon written notice to the other Party. Any Alliance Manager may designate a substitute to</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temporarily perform the functions of that Alliance Manager by written notice to the other Party. Each Alliance Manager will also: (a) be</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point of first referral in all matters of conflict resolution; (b) provide a single point of communication for seeking consensus between</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Parties regarding key strategy and plan issues; (c) identify and bring disputes to the attention of the JSC in a timely manner; (d) plan</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and coordinate cooperative efforts and internal and external communications; and (e) take responsibility for coordinating JSC and</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Subcommittee meetings and production of meeting minutes, occurring as set forth in this Agreement, and for carrying out or otherwise</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addressing the relevant action items resulting from such meetings.</w:t>
            </w:r>
          </w:p>
        </w:tc>
      </w:tr>
      <w:tr>
        <w:trPr>
          <w:trHeight w:val="626"/>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ARTICLE 6</w:t>
            </w:r>
          </w:p>
        </w:tc>
      </w:tr>
      <w:tr>
        <w:trPr>
          <w:trHeight w:val="238"/>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r>
      <w:tr>
        <w:trPr>
          <w:trHeight w:val="44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6.1</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Upon either Party’s request at any time prior to the date that is [***] following the completion of the Research Plan</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activities (as may be extended by mutual agreement of the Parties), and provided that an Out-Licensing Transaction has not yet been</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entered into, the JSC will meet to discuss and determine whether to approve the commencement of further Development activities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performed by Odyssey and Terray with respect to any Licensed Compounds or Licensed Products (such approval, the “Further</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Development Approval”). Notwithstanding any provisions to the contrary set forth in this Agreement, the remaining terms of this Article 6</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will not become effective until the date of Further Development Approval; provided that, prior to such Further Development Approval, the</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JSC may discuss and prepare an initial tentative Development Plan to help inform the JSC decision as to whether to provide a Further</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Development Approval. In the event that Further Development Approval is not obtained due to one Party declining to conduct further</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Development activities, then such Party will be deemed to have Opted-Out, and the terms and conditions set forth in Section 11.1.2(a)</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(Failure to Obtain Further Development or Commercialization Approval) will apply.</w:t>
            </w:r>
          </w:p>
        </w:tc>
      </w:tr>
      <w:tr>
        <w:trPr>
          <w:trHeight w:val="44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6.2</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Overview of Development Activities; Diligence Obligations</w:t>
            </w:r>
            <w:r>
              <w:rPr>
                <w:rFonts w:ascii="Times New Roman" w:cs="Times New Roman" w:eastAsia="Times New Roman" w:hAnsi="Times New Roman"/>
                <w:sz w:val="18"/>
                <w:szCs w:val="18"/>
                <w:color w:val="auto"/>
              </w:rPr>
              <w:t>. Without limiting Section 10.1 (Out-Licensing Transactions), each Party</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will use Commercially Reasonable Efforts to perform the activities assigned to it in the Development Plan in accordance with the timelines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set forth therein and in accordance with this Article 6 (Development); provided that, if the Parties have not yet entered into an</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Out-Licensing Transaction, then [***].</w:t>
            </w:r>
          </w:p>
        </w:tc>
      </w:tr>
      <w:tr>
        <w:trPr>
          <w:trHeight w:val="580"/>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6.3</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6.3.1</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Content of Development Plan</w:t>
            </w:r>
            <w:r>
              <w:rPr>
                <w:rFonts w:ascii="Times New Roman" w:cs="Times New Roman" w:eastAsia="Times New Roman" w:hAnsi="Times New Roman"/>
                <w:sz w:val="18"/>
                <w:szCs w:val="18"/>
                <w:color w:val="auto"/>
              </w:rPr>
              <w:t>. All Development and Manufacturing activities following Further Development Approval</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that are to be conducted by the Parties in furtherance of the Program following Further Development Approval will be</w:t>
            </w:r>
          </w:p>
        </w:tc>
      </w:tr>
    </w:tbl>
    <w:p>
      <w:pPr>
        <w:jc w:val="both"/>
        <w:ind w:left="1960" w:right="1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conducted in accordance with a written plan approved by the JSC (the “</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 The Development Plan will include (a) all Development and Manufacturing activities to be performed following Further Development Approval, up to and including obtaining Regulatory Approval for Licensed Products in the Territory, (b) timelines for the performance of all activities set forth therein, and (c) a Development Budget for the conduct of activities set forth in such Development Plan.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220"/>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6.3.2</w:t>
            </w: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Initial Development Plan; Amendments to the Development Plan</w:t>
            </w:r>
            <w:r>
              <w:rPr>
                <w:rFonts w:ascii="Times New Roman" w:cs="Times New Roman" w:eastAsia="Times New Roman" w:hAnsi="Times New Roman"/>
                <w:sz w:val="18"/>
                <w:szCs w:val="18"/>
                <w:color w:val="auto"/>
              </w:rPr>
              <w:t>. Within [***] (which period may be extended by</w:t>
            </w:r>
          </w:p>
        </w:tc>
      </w:tr>
      <w:tr>
        <w:trPr>
          <w:trHeight w:val="216"/>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mutual agreement of the Parties) following a Further Development Approval, the JSC will discuss in good faith and approve</w:t>
            </w:r>
          </w:p>
        </w:tc>
      </w:tr>
      <w:tr>
        <w:trPr>
          <w:trHeight w:val="216"/>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an initial Development Plan. On or before each anniversary of the Effective Date until completion of all activities under the</w:t>
            </w:r>
          </w:p>
        </w:tc>
      </w:tr>
      <w:tr>
        <w:trPr>
          <w:trHeight w:val="216"/>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Development Plan, the Parties will prepare an update to the Development Plan and corresponding Development Budget and</w:t>
            </w:r>
          </w:p>
        </w:tc>
      </w:tr>
      <w:tr>
        <w:trPr>
          <w:trHeight w:val="216"/>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will submit each update to the JSC to review, discuss, and determine whether to approve. Once reviewed, discussed, and</w:t>
            </w:r>
          </w:p>
        </w:tc>
      </w:tr>
      <w:tr>
        <w:trPr>
          <w:trHeight w:val="216"/>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approved by the JSC, each update to such Development Plan (including any update to the Development Budget) will become</w:t>
            </w:r>
          </w:p>
        </w:tc>
      </w:tr>
      <w:tr>
        <w:trPr>
          <w:trHeight w:val="216"/>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effective and supersede the previous Development Plan and Development Budget as of the date of such approval or at such</w:t>
            </w:r>
          </w:p>
        </w:tc>
      </w:tr>
      <w:tr>
        <w:trPr>
          <w:trHeight w:val="214"/>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time as decided by the JSC. In addition, from time to time, either Party may submit to the JSC any proposed update to</w:t>
            </w:r>
          </w:p>
        </w:tc>
      </w:tr>
      <w:tr>
        <w:trPr>
          <w:trHeight w:val="218"/>
        </w:trPr>
        <w:tc>
          <w:tcPr>
            <w:tcW w:w="680" w:type="dxa"/>
            <w:vAlign w:val="bottom"/>
          </w:tcPr>
          <w:p>
            <w:pPr>
              <w:spacing w:after="0"/>
              <w:rPr>
                <w:sz w:val="18"/>
                <w:szCs w:val="18"/>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the Development Plan (</w:t>
            </w:r>
            <w:r>
              <w:rPr>
                <w:rFonts w:ascii="Times New Roman" w:cs="Times New Roman" w:eastAsia="Times New Roman" w:hAnsi="Times New Roman"/>
                <w:sz w:val="18"/>
                <w:szCs w:val="18"/>
                <w:i w:val="1"/>
                <w:iCs w:val="1"/>
                <w:color w:val="auto"/>
                <w:w w:val="99"/>
              </w:rPr>
              <w:t>e.g.</w:t>
            </w:r>
            <w:r>
              <w:rPr>
                <w:rFonts w:ascii="Times New Roman" w:cs="Times New Roman" w:eastAsia="Times New Roman" w:hAnsi="Times New Roman"/>
                <w:sz w:val="18"/>
                <w:szCs w:val="18"/>
                <w:color w:val="auto"/>
                <w:w w:val="99"/>
              </w:rPr>
              <w:t xml:space="preserve"> to include additional Development activities or revise the Development Budget), and the JSC will</w:t>
            </w:r>
          </w:p>
        </w:tc>
      </w:tr>
      <w:tr>
        <w:trPr>
          <w:trHeight w:val="234"/>
        </w:trPr>
        <w:tc>
          <w:tcPr>
            <w:tcW w:w="680" w:type="dxa"/>
            <w:vAlign w:val="bottom"/>
          </w:tcPr>
          <w:p>
            <w:pPr>
              <w:spacing w:after="0"/>
              <w:rPr>
                <w:sz w:val="20"/>
                <w:szCs w:val="20"/>
                <w:color w:val="auto"/>
              </w:rPr>
            </w:pP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review, discuss, and determine whether to approve any such update.</w:t>
            </w:r>
          </w:p>
        </w:tc>
      </w:tr>
      <w:tr>
        <w:trPr>
          <w:trHeight w:val="580"/>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6.3.3</w:t>
            </w:r>
          </w:p>
        </w:tc>
        <w:tc>
          <w:tcPr>
            <w:tcW w:w="9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Development Costs; Development Budget</w:t>
            </w:r>
            <w:r>
              <w:rPr>
                <w:rFonts w:ascii="Times New Roman" w:cs="Times New Roman" w:eastAsia="Times New Roman" w:hAnsi="Times New Roman"/>
                <w:sz w:val="18"/>
                <w:szCs w:val="18"/>
                <w:color w:val="auto"/>
              </w:rPr>
              <w:t>.</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Party will be responsible for its costs incurred to perform the activities assigned to such Party in the Development</w:t>
            </w:r>
          </w:p>
        </w:tc>
      </w:tr>
      <w:tr>
        <w:trPr>
          <w:trHeight w:val="212"/>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provided that any Out-of-Pocket Costs incurred by either Party in the performance of such activity under the</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Plan will be shared by the Parties in accordance with Article 12 (Payments) (the “</w:t>
            </w:r>
            <w:r>
              <w:rPr>
                <w:rFonts w:ascii="Times New Roman" w:cs="Times New Roman" w:eastAsia="Times New Roman" w:hAnsi="Times New Roman"/>
                <w:sz w:val="18"/>
                <w:szCs w:val="18"/>
                <w:b w:val="1"/>
                <w:bCs w:val="1"/>
                <w:color w:val="auto"/>
              </w:rPr>
              <w:t>Shared Development</w:t>
            </w:r>
          </w:p>
        </w:tc>
      </w:tr>
      <w:tr>
        <w:trPr>
          <w:trHeight w:val="238"/>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Costs</w:t>
            </w:r>
            <w:r>
              <w:rPr>
                <w:rFonts w:ascii="Times New Roman" w:cs="Times New Roman" w:eastAsia="Times New Roman" w:hAnsi="Times New Roman"/>
                <w:sz w:val="18"/>
                <w:szCs w:val="18"/>
                <w:color w:val="auto"/>
              </w:rPr>
              <w:t>”), to the extent that such costs are set forth in the applicable Development Budget.</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Development Plan will include a written budget of any (i) Shared Development Costs, and (ii) Shared Prosecution</w:t>
            </w:r>
          </w:p>
        </w:tc>
      </w:tr>
      <w:tr>
        <w:trPr>
          <w:trHeight w:val="212"/>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Shared Out-Licensing Costs, Shared Regulatory Costs and Shared Insurance Costs expected to be incurred by</w:t>
            </w:r>
          </w:p>
        </w:tc>
      </w:tr>
      <w:tr>
        <w:trPr>
          <w:trHeight w:val="238"/>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Party in connection with the Development Plan activities (the “</w:t>
            </w:r>
            <w:r>
              <w:rPr>
                <w:rFonts w:ascii="Times New Roman" w:cs="Times New Roman" w:eastAsia="Times New Roman" w:hAnsi="Times New Roman"/>
                <w:sz w:val="18"/>
                <w:szCs w:val="18"/>
                <w:b w:val="1"/>
                <w:bCs w:val="1"/>
                <w:color w:val="auto"/>
              </w:rPr>
              <w:t>Development Budget</w:t>
            </w:r>
            <w:r>
              <w:rPr>
                <w:rFonts w:ascii="Times New Roman" w:cs="Times New Roman" w:eastAsia="Times New Roman" w:hAnsi="Times New Roman"/>
                <w:sz w:val="18"/>
                <w:szCs w:val="18"/>
                <w:color w:val="auto"/>
              </w:rPr>
              <w:t>”).</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limiting the foregoing, if either Party reasonably believes that its Out-of-Pocket Costs to perform the activities</w:t>
            </w:r>
          </w:p>
        </w:tc>
      </w:tr>
      <w:tr>
        <w:trPr>
          <w:trHeight w:val="214"/>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described in the then-current Development Plan will exceed the amounts set forth in the Development Budget included</w:t>
            </w:r>
          </w:p>
        </w:tc>
      </w:tr>
      <w:tr>
        <w:trPr>
          <w:trHeight w:val="218"/>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such Development Plan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then such Party may notify the JSC and propose modifications</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thereto in accordance with Section 6.3.2 (Initial Development Plan; Amendments to the Development Plan) (provided</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that, the Parties will use all reasonable efforts to mitigate any such Out-of-Pocket Costs) and the Parties will engage in</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 faith discussions through the JSC regarding (i) whether to increase the applicable amounts and (ii) if so, the</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of such increase.</w:t>
            </w:r>
          </w:p>
        </w:tc>
      </w:tr>
      <w:tr>
        <w:trPr>
          <w:trHeight w:val="319"/>
        </w:trPr>
        <w:tc>
          <w:tcPr>
            <w:tcW w:w="68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the event that the Parties, through the JSC, are unable to agree upon whether to increase the applicable amounts set</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forth in the Development Budget or the amount of said increase, then either Party may refer such matter to be resolved</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accordance with Section 18.3 (Baseball Arbitration). In the event that an Expert resolves any such dispute with</w:t>
            </w:r>
          </w:p>
        </w:tc>
      </w:tr>
    </w:tbl>
    <w:p>
      <w:pPr>
        <w:jc w:val="both"/>
        <w:ind w:left="1420" w:right="2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the Development Budget by increasing the applicable amounts set forth in the Development Budget and such determination results in one Party not willing to bear such additional Out-of-Pocket Costs beyond the costs set forth in the then-current Development Budget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Allowable Overruns) (i.e., prior to such increase), then such Party will</w:t>
      </w:r>
    </w:p>
    <w:p>
      <w:pPr>
        <w:ind w:left="4380" w:right="1940" w:hanging="2954"/>
        <w:spacing w:after="0" w:line="433" w:lineRule="auto"/>
        <w:rPr>
          <w:sz w:val="20"/>
          <w:szCs w:val="20"/>
          <w:color w:val="auto"/>
        </w:rPr>
      </w:pPr>
      <w:r>
        <w:rPr>
          <w:rFonts w:ascii="Times New Roman" w:cs="Times New Roman" w:eastAsia="Times New Roman" w:hAnsi="Times New Roman"/>
          <w:sz w:val="18"/>
          <w:szCs w:val="18"/>
          <w:color w:val="auto"/>
        </w:rPr>
        <w:t>(i) have no obligation to perform the activities under the Development Plan that would cause -36-</w:t>
      </w:r>
    </w:p>
    <w:p>
      <w:pPr>
        <w:sectPr>
          <w:pgSz w:w="11900" w:h="16838" w:orient="portrait"/>
          <w:cols w:equalWidth="0" w:num="1">
            <w:col w:w="10040"/>
          </w:cols>
          <w:pgMar w:left="1420" w:top="266" w:right="439" w:bottom="1440" w:gutter="0" w:footer="0" w:header="0"/>
        </w:sectPr>
      </w:pPr>
    </w:p>
    <w:bookmarkStart w:id="437" w:name="page438"/>
    <w:bookmarkEnd w:id="437"/>
    <w:tbl>
      <w:tblPr>
        <w:tblLayout w:type="fixed"/>
        <w:tblInd w:w="0" w:type="dxa"/>
        <w:tblCellMar>
          <w:top w:w="0" w:type="dxa"/>
          <w:left w:w="0" w:type="dxa"/>
          <w:bottom w:w="0" w:type="dxa"/>
          <w:right w:w="0" w:type="dxa"/>
        </w:tblCellMar>
      </w:tblPr>
      <w:tr>
        <w:trPr>
          <w:trHeight w:val="218"/>
        </w:trPr>
        <w:tc>
          <w:tcPr>
            <w:tcW w:w="600" w:type="dxa"/>
            <w:vAlign w:val="bottom"/>
          </w:tcPr>
          <w:p>
            <w:pPr>
              <w:spacing w:after="0"/>
              <w:rPr>
                <w:sz w:val="18"/>
                <w:szCs w:val="18"/>
                <w:color w:val="auto"/>
              </w:rPr>
            </w:pPr>
          </w:p>
        </w:tc>
        <w:tc>
          <w:tcPr>
            <w:tcW w:w="1038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its corresponding Out-of-Pocket Costs to exceed the applicable amounts in the then-current Development Budget (</w:t>
            </w:r>
            <w:r>
              <w:rPr>
                <w:rFonts w:ascii="Times New Roman" w:cs="Times New Roman" w:eastAsia="Times New Roman" w:hAnsi="Times New Roman"/>
                <w:sz w:val="18"/>
                <w:szCs w:val="18"/>
                <w:i w:val="1"/>
                <w:iCs w:val="1"/>
                <w:color w:val="auto"/>
                <w:w w:val="99"/>
              </w:rPr>
              <w:t>plus</w:t>
            </w:r>
          </w:p>
        </w:tc>
      </w:tr>
      <w:tr>
        <w:trPr>
          <w:trHeight w:val="234"/>
        </w:trPr>
        <w:tc>
          <w:tcPr>
            <w:tcW w:w="600" w:type="dxa"/>
            <w:vAlign w:val="bottom"/>
          </w:tcPr>
          <w:p>
            <w:pPr>
              <w:spacing w:after="0"/>
              <w:rPr>
                <w:sz w:val="20"/>
                <w:szCs w:val="20"/>
                <w:color w:val="auto"/>
              </w:rPr>
            </w:pPr>
          </w:p>
        </w:tc>
        <w:tc>
          <w:tcPr>
            <w:tcW w:w="10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Allowable Overruns), and (ii) be deemed to have Opted-Out under Section 11.1.2 (Deemed Opt-Out).</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6.4</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Development Reports</w:t>
            </w:r>
            <w:r>
              <w:rPr>
                <w:rFonts w:ascii="Times New Roman" w:cs="Times New Roman" w:eastAsia="Times New Roman" w:hAnsi="Times New Roman"/>
                <w:sz w:val="18"/>
                <w:szCs w:val="18"/>
                <w:color w:val="auto"/>
                <w:w w:val="99"/>
              </w:rPr>
              <w:t>. On a Calendar Quarter basis until completion of all activities under the Development Plan, each Party will provide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report setting forth the results of activities conducted by or on behalf of such Party during such Calendar Quarter, and the JSC will</w:t>
            </w:r>
          </w:p>
        </w:tc>
      </w:tr>
      <w:tr>
        <w:trPr>
          <w:trHeight w:val="234"/>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review and discuss such reports.</w:t>
            </w:r>
          </w:p>
        </w:tc>
      </w:tr>
      <w:tr>
        <w:trPr>
          <w:trHeight w:val="626"/>
        </w:trPr>
        <w:tc>
          <w:tcPr>
            <w:tcW w:w="600" w:type="dxa"/>
            <w:vAlign w:val="bottom"/>
          </w:tcPr>
          <w:p>
            <w:pPr>
              <w:spacing w:after="0"/>
              <w:rPr>
                <w:sz w:val="24"/>
                <w:szCs w:val="24"/>
                <w:color w:val="auto"/>
              </w:rPr>
            </w:pPr>
          </w:p>
        </w:tc>
        <w:tc>
          <w:tcPr>
            <w:tcW w:w="103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ARTICLE 7</w:t>
            </w:r>
          </w:p>
        </w:tc>
      </w:tr>
      <w:tr>
        <w:trPr>
          <w:trHeight w:val="238"/>
        </w:trPr>
        <w:tc>
          <w:tcPr>
            <w:tcW w:w="600" w:type="dxa"/>
            <w:vAlign w:val="bottom"/>
          </w:tcPr>
          <w:p>
            <w:pPr>
              <w:spacing w:after="0"/>
              <w:rPr>
                <w:sz w:val="20"/>
                <w:szCs w:val="20"/>
                <w:color w:val="auto"/>
              </w:rPr>
            </w:pPr>
          </w:p>
        </w:tc>
        <w:tc>
          <w:tcPr>
            <w:tcW w:w="103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7"/>
              </w:rPr>
              <w:t>REGULATORY AFFAIRS</w:t>
            </w:r>
          </w:p>
        </w:tc>
      </w:tr>
      <w:tr>
        <w:trPr>
          <w:trHeight w:val="44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7.1</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Regulatory Responsibilities</w:t>
            </w:r>
            <w:r>
              <w:rPr>
                <w:rFonts w:ascii="Times New Roman" w:cs="Times New Roman" w:eastAsia="Times New Roman" w:hAnsi="Times New Roman"/>
                <w:sz w:val="18"/>
                <w:szCs w:val="18"/>
                <w:color w:val="auto"/>
              </w:rPr>
              <w:t>. Subject to the terms and conditions of this Agreement, Odyssey will have the sole responsibility to:</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prepare and submit to applicable Regulatory Authorities all Regulatory Submissions, including NDAs and INDs, for Licensed</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Compounds and Licensed Products in the Territory and (b) obtain and maintain all Regulatory Approvals for Licensed Compounds and</w:t>
            </w:r>
          </w:p>
        </w:tc>
      </w:tr>
      <w:tr>
        <w:trPr>
          <w:trHeight w:val="234"/>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Licensed Products in the Territory.</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7.2</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Regulatory Cooperation</w:t>
            </w:r>
            <w:r>
              <w:rPr>
                <w:rFonts w:ascii="Times New Roman" w:cs="Times New Roman" w:eastAsia="Times New Roman" w:hAnsi="Times New Roman"/>
                <w:sz w:val="18"/>
                <w:szCs w:val="18"/>
                <w:color w:val="auto"/>
              </w:rPr>
              <w:t>. Subject to the terms and conditions of this Agreement and without limiting Section 7.3 (Regulatory</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Involvement and Regulatory Authority Interactions), Odyssey will keep Terray reasonably informed with respect to any material</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Regulatory Approval proceedings for Licensed Compounds and Licensed Products in accordance with its reporting obligations set forth in</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Section 6.4 (Development Reports). Terray will reasonably cooperate and support Odyssey, at its sole cost and expense, as may be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reasonably necessary in preparing and submitting Regulatory Submissions and otherwise with respect to obtaining Regulatory Approvals</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such Licensed Compounds and Licensed Products and in the activities in support thereof, to the extent Terray has control over or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 to obtain documents or other materials that are necessary or reasonably useful for Odyssey or any of its Affiliates or its or their</w:t>
            </w:r>
          </w:p>
        </w:tc>
      </w:tr>
      <w:tr>
        <w:trPr>
          <w:trHeight w:val="234"/>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Sublicensees to obtain such Regulatory Approvals.</w:t>
            </w:r>
          </w:p>
        </w:tc>
      </w:tr>
      <w:tr>
        <w:trPr>
          <w:trHeight w:val="33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7.3</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Regulatory Involvement and Regulatory Authority Interactions</w:t>
            </w:r>
            <w:r>
              <w:rPr>
                <w:rFonts w:ascii="Times New Roman" w:cs="Times New Roman" w:eastAsia="Times New Roman" w:hAnsi="Times New Roman"/>
                <w:sz w:val="18"/>
                <w:szCs w:val="18"/>
                <w:color w:val="auto"/>
              </w:rPr>
              <w:t>. [***]</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7.4</w:t>
            </w: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Regulatory Costs</w:t>
            </w:r>
            <w:r>
              <w:rPr>
                <w:rFonts w:ascii="Times New Roman" w:cs="Times New Roman" w:eastAsia="Times New Roman" w:hAnsi="Times New Roman"/>
                <w:sz w:val="18"/>
                <w:szCs w:val="18"/>
                <w:color w:val="auto"/>
                <w:w w:val="99"/>
              </w:rPr>
              <w:t>. Each Party will be responsible for its costs incurred to perform its obligations under this Article 7 (Regulatory Affairs);</w:t>
            </w:r>
          </w:p>
        </w:tc>
      </w:tr>
      <w:tr>
        <w:trPr>
          <w:trHeight w:val="234"/>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provided that any such Out-of-Pocket Costs incurred by</w:t>
            </w:r>
          </w:p>
        </w:tc>
      </w:tr>
      <w:tr>
        <w:trPr>
          <w:trHeight w:val="365"/>
        </w:trPr>
        <w:tc>
          <w:tcPr>
            <w:tcW w:w="600" w:type="dxa"/>
            <w:vAlign w:val="bottom"/>
          </w:tcPr>
          <w:p>
            <w:pPr>
              <w:spacing w:after="0"/>
              <w:rPr>
                <w:sz w:val="24"/>
                <w:szCs w:val="24"/>
                <w:color w:val="auto"/>
              </w:rPr>
            </w:pPr>
          </w:p>
        </w:tc>
        <w:tc>
          <w:tcPr>
            <w:tcW w:w="10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-37-</w:t>
            </w:r>
          </w:p>
        </w:tc>
      </w:tr>
    </w:tbl>
    <w:p>
      <w:pPr>
        <w:jc w:val="center"/>
        <w:ind w:right="470"/>
        <w:spacing w:after="0"/>
        <w:rPr>
          <w:sz w:val="20"/>
          <w:szCs w:val="20"/>
          <w:color w:val="auto"/>
        </w:rPr>
        <w:sectPr>
          <w:pgSz w:w="11900" w:h="16838" w:orient="portrait"/>
          <w:cols w:equalWidth="0" w:num="1">
            <w:col w:w="10980"/>
          </w:cols>
          <w:pgMar w:left="440" w:top="268"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38" w:name="page439"/>
    <w:bookmarkEnd w:id="438"/>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each Party or its Affiliates to perform such obligations (the “Shared Regulatory Costs”), will be shared by the Parties in accordance with</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Article 12 (Payments); provided that, Shared Regulatory Costs in excess of the amounts set forth in the applicable Research Budget,</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Development Budget, or Commercialization Budget plus Allowable Overruns will not be shared.</w:t>
            </w:r>
          </w:p>
        </w:tc>
      </w:tr>
      <w:tr>
        <w:trPr>
          <w:trHeight w:val="626"/>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4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ARTICLE 8</w:t>
            </w:r>
          </w:p>
        </w:tc>
      </w:tr>
      <w:tr>
        <w:trPr>
          <w:trHeight w:val="238"/>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COMMERCIALIZATION</w:t>
            </w:r>
          </w:p>
        </w:tc>
      </w:tr>
      <w:tr>
        <w:trPr>
          <w:trHeight w:val="44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8.1</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Upon either Party’s request at any time prior to the date that is [***] following the completion of the Development Plan (as</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may be extended by mutual agreement of the Parties), and provided that an Out-Licensing Transaction has not been entered into, the JSC</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will meet to discuss and determine whether to approve the commencement of Commercialization activities performed by Odyssey and</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Terray with respect to any Licensed Compounds or Licensed Products (such approval, the “Commercialization Approval”).</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Notwithstanding any provisions to the contrary set forth in this Agreement, the remaining terms of this Article 8 will not become effective</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until the date of Commercialization Approval; provided that, prior to such Commercialization Approval, the JSC may discuss and prepare</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 initial tentative Commercialization Plan to help inform the JSC decision as to whether to provide a Commercialization Approval. In the</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event that Commercialization Approval is not obtained due to one Party declining to conduct Commercialization activities, then such Party</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will be deemed to have Opted-Out, and the terms and conditions set forth in Section 11.1.2(a) (Failure to Obtain Further Development or</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Commercialization Approval) will apply.</w:t>
            </w:r>
          </w:p>
        </w:tc>
      </w:tr>
      <w:tr>
        <w:trPr>
          <w:trHeight w:val="319"/>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8.2</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Overview of Commercialization Activities; Diligence Obligations</w:t>
            </w:r>
            <w:r>
              <w:rPr>
                <w:rFonts w:ascii="Times New Roman" w:cs="Times New Roman" w:eastAsia="Times New Roman" w:hAnsi="Times New Roman"/>
                <w:sz w:val="18"/>
                <w:szCs w:val="18"/>
                <w:color w:val="auto"/>
              </w:rPr>
              <w:t>. Without limiting Section 10.1 (Out-Licensing Transactions), each</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Party will use Commercially Reasonable Efforts to perform the activities assigned to it in the Commercialization Plan in accordance with</w:t>
            </w: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timelines set forth therein and in accordance with this Article 8 (Commercialization); provided that, if the Parties have not yet entered</w:t>
            </w:r>
          </w:p>
        </w:tc>
      </w:tr>
      <w:tr>
        <w:trPr>
          <w:trHeight w:val="234"/>
        </w:trPr>
        <w:tc>
          <w:tcPr>
            <w:tcW w:w="600" w:type="dxa"/>
            <w:vAlign w:val="bottom"/>
          </w:tcPr>
          <w:p>
            <w:pPr>
              <w:spacing w:after="0"/>
              <w:rPr>
                <w:sz w:val="20"/>
                <w:szCs w:val="20"/>
                <w:color w:val="auto"/>
              </w:rPr>
            </w:pP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into an Out-Licensing Transaction, then [***].</w:t>
            </w:r>
          </w:p>
        </w:tc>
      </w:tr>
      <w:tr>
        <w:trPr>
          <w:trHeight w:val="581"/>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8.3</w:t>
            </w:r>
          </w:p>
        </w:tc>
        <w:tc>
          <w:tcPr>
            <w:tcW w:w="10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Commercialization Plan</w:t>
            </w:r>
            <w:r>
              <w:rPr>
                <w:rFonts w:ascii="Times New Roman" w:cs="Times New Roman" w:eastAsia="Times New Roman" w:hAnsi="Times New Roman"/>
                <w:sz w:val="18"/>
                <w:szCs w:val="18"/>
                <w:color w:val="auto"/>
              </w:rPr>
              <w:t>.</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8.3.1</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Content of Commercialization Plan</w:t>
            </w:r>
            <w:r>
              <w:rPr>
                <w:rFonts w:ascii="Times New Roman" w:cs="Times New Roman" w:eastAsia="Times New Roman" w:hAnsi="Times New Roman"/>
                <w:sz w:val="18"/>
                <w:szCs w:val="18"/>
                <w:color w:val="auto"/>
              </w:rPr>
              <w:t>. All Commercialization and Manufacturing activities to be conducted by the Parties in</w:t>
            </w:r>
          </w:p>
        </w:tc>
      </w:tr>
      <w:tr>
        <w:trPr>
          <w:trHeight w:val="212"/>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furtherance of the Program following the Commercialization Approval will be conducted in accordance with a written plan</w:t>
            </w:r>
          </w:p>
        </w:tc>
      </w:tr>
      <w:tr>
        <w:trPr>
          <w:trHeight w:val="220"/>
        </w:trPr>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approved by the JSC (the “</w:t>
            </w:r>
            <w:r>
              <w:rPr>
                <w:rFonts w:ascii="Times New Roman" w:cs="Times New Roman" w:eastAsia="Times New Roman" w:hAnsi="Times New Roman"/>
                <w:sz w:val="18"/>
                <w:szCs w:val="18"/>
                <w:b w:val="1"/>
                <w:bCs w:val="1"/>
                <w:color w:val="auto"/>
              </w:rPr>
              <w:t>Commercialization Plan</w:t>
            </w:r>
            <w:r>
              <w:rPr>
                <w:rFonts w:ascii="Times New Roman" w:cs="Times New Roman" w:eastAsia="Times New Roman" w:hAnsi="Times New Roman"/>
                <w:sz w:val="18"/>
                <w:szCs w:val="18"/>
                <w:color w:val="auto"/>
              </w:rPr>
              <w:t>”). The Commercialization Plan will include (a) all Commercialization</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Manufacturing activities to be performed (b) timelines for the performance of all activities set forth therein, and (c) a</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Commercialization Budget for the conduct of activities set forth in such Commercialization Plan.</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8.3.2</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Initial Commercialization Plan; Amendments to the Commercialization Plan</w:t>
            </w:r>
            <w:r>
              <w:rPr>
                <w:rFonts w:ascii="Times New Roman" w:cs="Times New Roman" w:eastAsia="Times New Roman" w:hAnsi="Times New Roman"/>
                <w:sz w:val="18"/>
                <w:szCs w:val="18"/>
                <w:color w:val="auto"/>
              </w:rPr>
              <w:t>. Within [***] (which period may be</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extended by mutual agreement of the Parties) following the Commercialization Approval, the JSC will discuss in good faith</w:t>
            </w:r>
          </w:p>
        </w:tc>
      </w:tr>
    </w:tbl>
    <w:p>
      <w:pPr>
        <w:ind w:left="1960"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approve an initial Commercialization Plan. On or before each anniversary of the Effective Date, the Parties will prepare an update to the Commercialization Plan and corresponding Commercialization Budget and will submit each update to the JSC to review, discuss, and determine whether to approve. Once reviewed, discussed, and approved by the JSC, each update to such Commercialization Plan (including any update to the Commercialization Budget) will become effective and supersede the previous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39" w:name="page440"/>
    <w:bookmarkEnd w:id="439"/>
    <w:p>
      <w:pPr>
        <w:ind w:left="98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Commercialization Plan and Commercialization Budget as of the date of such approval or at such other time as decided by the JSC. In addition, from time to time, either Party may submit to the JSC any proposed update to the Commercialization Plan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to include additional Commercialization activities or revise the Commercialization Budget), and the JSC will review, discuss, and determine whether to approve any such update.</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8.3.3</w:t>
      </w:r>
      <w:r>
        <w:rPr>
          <w:sz w:val="20"/>
          <w:szCs w:val="20"/>
          <w:color w:val="auto"/>
        </w:rPr>
        <w:tab/>
      </w:r>
      <w:r>
        <w:rPr>
          <w:rFonts w:ascii="Times New Roman" w:cs="Times New Roman" w:eastAsia="Times New Roman" w:hAnsi="Times New Roman"/>
          <w:sz w:val="17"/>
          <w:szCs w:val="17"/>
          <w:b w:val="1"/>
          <w:bCs w:val="1"/>
          <w:color w:val="auto"/>
        </w:rPr>
        <w:t>Commercialization Costs; Commercialization Budget</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1420" w:right="80" w:hanging="433"/>
        <w:spacing w:after="0" w:line="258" w:lineRule="auto"/>
        <w:tabs>
          <w:tab w:leader="none" w:pos="14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be responsible for its costs incurred to perform the activities assigned to such Party in the Commercialization Plan; provided that any Out-of-Pocket Costs incurred by either Party in the performance of such activity under the Commercialization Plan will be shared by the Parties in accordance with Article 12 (Payments) (the “</w:t>
      </w:r>
      <w:r>
        <w:rPr>
          <w:rFonts w:ascii="Times New Roman" w:cs="Times New Roman" w:eastAsia="Times New Roman" w:hAnsi="Times New Roman"/>
          <w:sz w:val="18"/>
          <w:szCs w:val="18"/>
          <w:b w:val="1"/>
          <w:bCs w:val="1"/>
          <w:color w:val="auto"/>
        </w:rPr>
        <w:t>Shared Commercialization Costs</w:t>
      </w:r>
      <w:r>
        <w:rPr>
          <w:rFonts w:ascii="Times New Roman" w:cs="Times New Roman" w:eastAsia="Times New Roman" w:hAnsi="Times New Roman"/>
          <w:sz w:val="18"/>
          <w:szCs w:val="18"/>
          <w:color w:val="auto"/>
        </w:rPr>
        <w:t>”), to the extent that such costs are set forth in the applicable Commercialization Budget.</w:t>
      </w:r>
    </w:p>
    <w:p>
      <w:pPr>
        <w:spacing w:after="0" w:line="88" w:lineRule="exact"/>
        <w:rPr>
          <w:rFonts w:ascii="Times New Roman" w:cs="Times New Roman" w:eastAsia="Times New Roman" w:hAnsi="Times New Roman"/>
          <w:sz w:val="18"/>
          <w:szCs w:val="18"/>
          <w:color w:val="auto"/>
        </w:rPr>
      </w:pPr>
    </w:p>
    <w:p>
      <w:pPr>
        <w:jc w:val="both"/>
        <w:ind w:left="1420" w:right="120" w:hanging="433"/>
        <w:spacing w:after="0" w:line="289" w:lineRule="auto"/>
        <w:tabs>
          <w:tab w:leader="none" w:pos="142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Commercialization Plan will include a written budget of any (a) Shared Commercialization Costs and (b) Shared Prosecution Costs, Shared Out-Licensing Costs, Shared Regulatory Costs and Shared Insurance Costs expected to be incurred by each Party in connection with the Commercialization Plan activities (the “</w:t>
      </w:r>
      <w:r>
        <w:rPr>
          <w:rFonts w:ascii="Times New Roman" w:cs="Times New Roman" w:eastAsia="Times New Roman" w:hAnsi="Times New Roman"/>
          <w:sz w:val="17"/>
          <w:szCs w:val="17"/>
          <w:b w:val="1"/>
          <w:bCs w:val="1"/>
          <w:color w:val="auto"/>
        </w:rPr>
        <w:t>Commercialization Budget</w:t>
      </w:r>
      <w:r>
        <w:rPr>
          <w:rFonts w:ascii="Times New Roman" w:cs="Times New Roman" w:eastAsia="Times New Roman" w:hAnsi="Times New Roman"/>
          <w:sz w:val="17"/>
          <w:szCs w:val="17"/>
          <w:color w:val="auto"/>
        </w:rPr>
        <w:t>”).</w:t>
      </w:r>
    </w:p>
    <w:p>
      <w:pPr>
        <w:spacing w:after="0" w:line="63" w:lineRule="exact"/>
        <w:rPr>
          <w:rFonts w:ascii="Times New Roman" w:cs="Times New Roman" w:eastAsia="Times New Roman" w:hAnsi="Times New Roman"/>
          <w:sz w:val="17"/>
          <w:szCs w:val="17"/>
          <w:color w:val="auto"/>
        </w:rPr>
      </w:pPr>
    </w:p>
    <w:p>
      <w:pPr>
        <w:ind w:left="1420" w:hanging="433"/>
        <w:spacing w:after="0" w:line="254" w:lineRule="auto"/>
        <w:tabs>
          <w:tab w:leader="none" w:pos="14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if either Party reasonably believes that its Out-of-Pocket Costs to perform the activities described in the then-current Commercialization Plan will exceed the amounts set forth in the Commercialization Budget included in such Commercialization Plan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then such Party may notify the JSC and propose modifications thereto in accordance with Section 8.3.2 (Initial Commercialization Plan; Amendments to the Commercialization Plan) (provided that, any such modifications will not include any new or additional activities and the Parties will use all reasonable efforts to mitigate any such Out-of-Pocket Costs) and the Parties will engage in good faith discussions through the JSC regarding (i) whether to increase the applicable amounts set forth in such Commercialization Budget, and (ii) if so, the amount of such increase.</w:t>
      </w:r>
    </w:p>
    <w:p>
      <w:pPr>
        <w:spacing w:after="0" w:line="97" w:lineRule="exact"/>
        <w:rPr>
          <w:rFonts w:ascii="Times New Roman" w:cs="Times New Roman" w:eastAsia="Times New Roman" w:hAnsi="Times New Roman"/>
          <w:sz w:val="18"/>
          <w:szCs w:val="18"/>
          <w:color w:val="auto"/>
        </w:rPr>
      </w:pPr>
    </w:p>
    <w:p>
      <w:pPr>
        <w:ind w:left="1420" w:hanging="433"/>
        <w:spacing w:after="0" w:line="254" w:lineRule="auto"/>
        <w:tabs>
          <w:tab w:leader="none" w:pos="14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Parties, through the JSC, are unable to agree upon whether to increase the applicable amounts set forth in the Commercialization Budget or the amount of said increase, then either Party may refer such matter to be resolved in accordance with Section 18.3 (Baseball Arbitration). In the event that an Expert resolves any such dispute with respect to the Commercialization Budget by increasing the applicable amounts set forth in the Commercialization Budget and such determination results in one Party not willing to bear such additional Out-of-Pocket Costs beyond the costs set forth in the then-current Commercialization Budget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(i.e., prior to such increase), then such Party will (i) have no obligation to perform the activities under the Commercialization Plan that would cause its corresponding Out-of-Pocket Costs to exceed the applicable amounts in the then-current Commercialization Budget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and (ii) be deemed to have Opted-Out under Section 11.1.2 (Deemed Opt-Out).</w:t>
      </w:r>
    </w:p>
    <w:p>
      <w:pPr>
        <w:spacing w:after="0" w:line="1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980"/>
          </w:cols>
          <w:pgMar w:left="1420" w:top="270" w:right="49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8.4</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Commercialization Reports</w:t>
            </w:r>
            <w:r>
              <w:rPr>
                <w:rFonts w:ascii="Times New Roman" w:cs="Times New Roman" w:eastAsia="Times New Roman" w:hAnsi="Times New Roman"/>
                <w:sz w:val="18"/>
                <w:szCs w:val="18"/>
                <w:color w:val="auto"/>
              </w:rPr>
              <w:t>. On a Calendar Quarter basis, each Party will provide a report setting forth the results of activities conducted</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or on behalf of such Party during such Calendar Quarter, and the JSC will review and discuss such reports.</w:t>
            </w:r>
          </w:p>
        </w:tc>
      </w:tr>
      <w:tr>
        <w:trPr>
          <w:trHeight w:val="626"/>
        </w:trPr>
        <w:tc>
          <w:tcPr>
            <w:tcW w:w="640" w:type="dxa"/>
            <w:vAlign w:val="bottom"/>
          </w:tcPr>
          <w:p>
            <w:pPr>
              <w:spacing w:after="0"/>
              <w:rPr>
                <w:sz w:val="24"/>
                <w:szCs w:val="24"/>
                <w:color w:val="auto"/>
              </w:rPr>
            </w:pPr>
          </w:p>
        </w:tc>
        <w:tc>
          <w:tcPr>
            <w:tcW w:w="103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ARTICLE 9</w:t>
            </w:r>
          </w:p>
        </w:tc>
      </w:tr>
      <w:tr>
        <w:trPr>
          <w:trHeight w:val="238"/>
        </w:trPr>
        <w:tc>
          <w:tcPr>
            <w:tcW w:w="640" w:type="dxa"/>
            <w:vAlign w:val="bottom"/>
          </w:tcPr>
          <w:p>
            <w:pPr>
              <w:spacing w:after="0"/>
              <w:rPr>
                <w:sz w:val="20"/>
                <w:szCs w:val="20"/>
                <w:color w:val="auto"/>
              </w:rPr>
            </w:pPr>
          </w:p>
        </w:tc>
        <w:tc>
          <w:tcPr>
            <w:tcW w:w="103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MANUFACTURING AND SUPPLY</w:t>
            </w:r>
          </w:p>
        </w:tc>
      </w:tr>
      <w:tr>
        <w:trPr>
          <w:trHeight w:val="441"/>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Manufacturing Responsibilities</w:t>
            </w:r>
            <w:r>
              <w:rPr>
                <w:rFonts w:ascii="Times New Roman" w:cs="Times New Roman" w:eastAsia="Times New Roman" w:hAnsi="Times New Roman"/>
                <w:sz w:val="18"/>
                <w:szCs w:val="18"/>
                <w:color w:val="auto"/>
              </w:rPr>
              <w:t>. Each Party’s responsibilities and obligations with respect to Manufacturing activities under this</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will be set forth in the Research Plan, Development Plan or Commercialization Plan, as applicable.</w:t>
            </w:r>
          </w:p>
        </w:tc>
      </w:tr>
      <w:tr>
        <w:trPr>
          <w:trHeight w:val="319"/>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9.2</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Manufacturing Technology Transfer</w:t>
            </w:r>
            <w:r>
              <w:rPr>
                <w:rFonts w:ascii="Times New Roman" w:cs="Times New Roman" w:eastAsia="Times New Roman" w:hAnsi="Times New Roman"/>
                <w:sz w:val="18"/>
                <w:szCs w:val="18"/>
                <w:color w:val="auto"/>
                <w:w w:val="99"/>
              </w:rPr>
              <w:t>. Any manufacturing technology transfer activities to be conducted by the Parties will be set forth in</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Research Plan or Development Plan, as applicable; provided that, if the Parties have not yet entered into an Out-Licensing Transaction,</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then Odyssey will take the lead role in Manufacturing the Licensed Compounds and Licensed Products (unless the Parties mutually agree</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otherwise) in accordance with the Research Plan or Development Plan, as applicable.</w:t>
            </w:r>
          </w:p>
        </w:tc>
      </w:tr>
      <w:tr>
        <w:trPr>
          <w:trHeight w:val="626"/>
        </w:trPr>
        <w:tc>
          <w:tcPr>
            <w:tcW w:w="640" w:type="dxa"/>
            <w:vAlign w:val="bottom"/>
          </w:tcPr>
          <w:p>
            <w:pPr>
              <w:spacing w:after="0"/>
              <w:rPr>
                <w:sz w:val="24"/>
                <w:szCs w:val="24"/>
                <w:color w:val="auto"/>
              </w:rPr>
            </w:pPr>
          </w:p>
        </w:tc>
        <w:tc>
          <w:tcPr>
            <w:tcW w:w="103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ARTICLE 10</w:t>
            </w:r>
          </w:p>
        </w:tc>
      </w:tr>
      <w:tr>
        <w:trPr>
          <w:trHeight w:val="238"/>
        </w:trPr>
        <w:tc>
          <w:tcPr>
            <w:tcW w:w="640" w:type="dxa"/>
            <w:vAlign w:val="bottom"/>
          </w:tcPr>
          <w:p>
            <w:pPr>
              <w:spacing w:after="0"/>
              <w:rPr>
                <w:sz w:val="20"/>
                <w:szCs w:val="20"/>
                <w:color w:val="auto"/>
              </w:rPr>
            </w:pPr>
          </w:p>
        </w:tc>
        <w:tc>
          <w:tcPr>
            <w:tcW w:w="103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OUT-LICENSING TRANSACTIONS</w:t>
            </w:r>
          </w:p>
        </w:tc>
      </w:tr>
      <w:tr>
        <w:trPr>
          <w:trHeight w:val="441"/>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Out-Licensing Transactions</w:t>
            </w:r>
            <w:r>
              <w:rPr>
                <w:rFonts w:ascii="Times New Roman" w:cs="Times New Roman" w:eastAsia="Times New Roman" w:hAnsi="Times New Roman"/>
                <w:sz w:val="18"/>
                <w:szCs w:val="18"/>
                <w:color w:val="auto"/>
              </w:rPr>
              <w:t>. Commencing on the DC Identification Date, the Parties will use Commercially Reasonable Efforts to enter</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into an Out-Licensing Transaction in accordance with the terms of this Article 10 (Out-Licensing Transaction). For clarity, such obligation</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use Commercially Reasonable Efforts will continue until the Parties enter into an Out-Licensing Transaction in accordance with the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of this Article 10 (Out-Licensing Transaction). Unless a Party has Opted-Out or unless otherwise approved by the Parties, the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Out-Licensing Agreement will [***], and (c) satisfy the Out-Licensing Criteria. Each Party will enter into any Out-Licensing Agreement</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satisfying the Out-Licensing Criteria or that is otherwise approved by the Parties; [***]. To the extent that the proposed terms of an</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Out-Licensing Agreement meet the Out-Licensing Criteria, but the Parties cannot agree to other terms in the Out-Licensing Agreement</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after discussion over a period of [***] then either Party may refer such matter to be resolved in accordance with Section 18.3 (Baseball</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Arbitration). [***]. For clarity, on a country-by-country basis, upon entering into an Out-Licensing Transaction in accordance with the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of this Article 10 (Out-Licensing Transaction) with respect to such country, neither Party will be required to continue any further</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Development and Commercialization activities pursuant to any Research Plan, Development Plan or Commercialization Plan, as</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 for such country under this Agreement, unless otherwise contemplated in such Out-Licensing Transaction.</w:t>
            </w:r>
          </w:p>
        </w:tc>
      </w:tr>
      <w:tr>
        <w:trPr>
          <w:trHeight w:val="319"/>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10.2</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Out-Licensing Criteria</w:t>
            </w:r>
            <w:r>
              <w:rPr>
                <w:rFonts w:ascii="Times New Roman" w:cs="Times New Roman" w:eastAsia="Times New Roman" w:hAnsi="Times New Roman"/>
                <w:sz w:val="18"/>
                <w:szCs w:val="18"/>
                <w:color w:val="auto"/>
              </w:rPr>
              <w:t>. Unless a Party has Opted-Out, then within [***] following the DC Identification Date, the Parties will review,</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discuss and determine whether to approve the threshold criteria and terms that an Out-Licensing Transaction must satisfy or include, which</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criteria and</w:t>
            </w:r>
          </w:p>
        </w:tc>
      </w:tr>
      <w:tr>
        <w:trPr>
          <w:trHeight w:val="365"/>
        </w:trPr>
        <w:tc>
          <w:tcPr>
            <w:tcW w:w="640" w:type="dxa"/>
            <w:vAlign w:val="bottom"/>
          </w:tcPr>
          <w:p>
            <w:pPr>
              <w:spacing w:after="0"/>
              <w:rPr>
                <w:sz w:val="24"/>
                <w:szCs w:val="24"/>
                <w:color w:val="auto"/>
              </w:rPr>
            </w:pPr>
          </w:p>
        </w:tc>
        <w:tc>
          <w:tcPr>
            <w:tcW w:w="103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-40-</w:t>
            </w:r>
          </w:p>
        </w:tc>
      </w:tr>
    </w:tbl>
    <w:p>
      <w:pPr>
        <w:jc w:val="center"/>
        <w:ind w:right="530"/>
        <w:spacing w:after="0"/>
        <w:rPr>
          <w:sz w:val="20"/>
          <w:szCs w:val="20"/>
          <w:color w:val="auto"/>
        </w:rPr>
        <w:sectPr>
          <w:pgSz w:w="11900" w:h="16838" w:orient="portrait"/>
          <w:cols w:equalWidth="0" w:num="1">
            <w:col w:w="11000"/>
          </w:cols>
          <w:pgMar w:left="440" w:top="26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41" w:name="page442"/>
    <w:bookmarkEnd w:id="441"/>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will be based on market conditions and attributes of the Licensed Compounds and Licensed Products (the “Out-Licensing Criteria”).</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Parties will, unless a Party has Opted-Out or an Out-Licensing Transaction has been entered into, periodically review, discuss and</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determine whether to approve amendments to such Out-Licensing Criteria, including within [***] following each of (a) Completion of the</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Phase 1 Clinical Trial for a Licensed Product, (b) Completion of the first Phase 2 Clinical Trial for a Licensed Product, and</w:t>
            </w:r>
          </w:p>
        </w:tc>
      </w:tr>
      <w:tr>
        <w:trPr>
          <w:trHeight w:val="234"/>
        </w:trPr>
        <w:tc>
          <w:tcPr>
            <w:tcW w:w="6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 Completion of the first Phase 3 Clinical Trial for a Licensed Product.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10.3</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Restriction on Encumbering IP</w:t>
            </w:r>
            <w:r>
              <w:rPr>
                <w:rFonts w:ascii="Times New Roman" w:cs="Times New Roman" w:eastAsia="Times New Roman" w:hAnsi="Times New Roman"/>
                <w:sz w:val="18"/>
                <w:szCs w:val="18"/>
                <w:color w:val="auto"/>
              </w:rPr>
              <w:t>. Except as expressly permitted under this Agreement, including as provided in Section 4.4.1</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(Sublicensing During Collaboration), Section 4.4.2 (Sublicensing Following Opt-Out), or Section 10.1 (Out-License Transactions) neither</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Party will, and each Party will cause it Affiliates not to, license, assign, transfer or otherwise grant rights under the Odyssey Licensed</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Technology or Terray Licensed Technology to any Third Party to Develop, Manufacture, Commercialize or otherwise Exploit the Licensed</w:t>
            </w:r>
          </w:p>
        </w:tc>
      </w:tr>
      <w:tr>
        <w:trPr>
          <w:trHeight w:val="234"/>
        </w:trPr>
        <w:tc>
          <w:tcPr>
            <w:tcW w:w="6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Compounds or Licensed Products in the Field in the Territory.</w:t>
            </w: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10.4</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Responsibility; Cooperation</w:t>
            </w:r>
            <w:r>
              <w:rPr>
                <w:rFonts w:ascii="Times New Roman" w:cs="Times New Roman" w:eastAsia="Times New Roman" w:hAnsi="Times New Roman"/>
                <w:sz w:val="18"/>
                <w:szCs w:val="18"/>
                <w:color w:val="auto"/>
              </w:rPr>
              <w:t>. Unless a Party has Opted-Out, [***].</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10.5</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Notice of Potential Transaction</w:t>
            </w:r>
            <w:r>
              <w:rPr>
                <w:rFonts w:ascii="Times New Roman" w:cs="Times New Roman" w:eastAsia="Times New Roman" w:hAnsi="Times New Roman"/>
                <w:sz w:val="18"/>
                <w:szCs w:val="18"/>
                <w:color w:val="auto"/>
              </w:rPr>
              <w:t>. Unless a Party has Opted-Out, each Party will promptly provide written notice to the other Party if it</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becomes aware of any Third Party that may have an interest in entering a potential Out-Licensing Transaction with respect to one or more</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Licensed Compounds or Licensed Products (a “Potential Transaction”), such notice to include the name of the Third Party and any other</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that such Party is aware of related to such interest. Promptly following receipt of such notice, the Parties will review and</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discuss such Potential Transaction and determine whether to pursue such Potential Transaction. If the Parties agree to pursue such Potential</w:t>
            </w:r>
          </w:p>
        </w:tc>
      </w:tr>
      <w:tr>
        <w:trPr>
          <w:trHeight w:val="234"/>
        </w:trPr>
        <w:tc>
          <w:tcPr>
            <w:tcW w:w="6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the Parties will use [***].</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10.6</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Out-Licensing Costs and Income</w:t>
            </w:r>
            <w:r>
              <w:rPr>
                <w:rFonts w:ascii="Times New Roman" w:cs="Times New Roman" w:eastAsia="Times New Roman" w:hAnsi="Times New Roman"/>
                <w:sz w:val="18"/>
                <w:szCs w:val="18"/>
                <w:color w:val="auto"/>
              </w:rPr>
              <w:t>. Unless a Party has Opted-Out, and notwithstanding any provision to the contrary set forth in an</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Out-Licensing Agreement, the Parties will share (a) any Out-of-Pocket Costs incurred by a Party or its Affiliates to pursue, negotiate and</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enter into any Potential Transaction, including any reasonable legal fees incurred with respect thereto, (b) any Out-of-Pocket Costs and any</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FTE Costs incurred by a Party or its Affiliates for the performance of activities and obligations required under an Out-Licensing</w:t>
            </w:r>
          </w:p>
        </w:tc>
      </w:tr>
      <w:tr>
        <w:trPr>
          <w:trHeight w:val="216"/>
        </w:trPr>
        <w:tc>
          <w:tcPr>
            <w:tcW w:w="6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in connection with the Exploitation of Licensed Compounds or Licensed Product, to the extent not reimbursed by the Third</w:t>
            </w:r>
          </w:p>
        </w:tc>
      </w:tr>
      <w:tr>
        <w:trPr>
          <w:trHeight w:val="234"/>
        </w:trPr>
        <w:tc>
          <w:tcPr>
            <w:tcW w:w="6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Party under the applicable Out-Licensing Agreement ((a) and (b), “Shared Out-Licensing</w:t>
            </w:r>
          </w:p>
        </w:tc>
      </w:tr>
      <w:tr>
        <w:trPr>
          <w:trHeight w:val="364"/>
        </w:trPr>
        <w:tc>
          <w:tcPr>
            <w:tcW w:w="640" w:type="dxa"/>
            <w:vAlign w:val="bottom"/>
          </w:tcPr>
          <w:p>
            <w:pPr>
              <w:spacing w:after="0"/>
              <w:rPr>
                <w:sz w:val="24"/>
                <w:szCs w:val="24"/>
                <w:color w:val="auto"/>
              </w:rPr>
            </w:pPr>
          </w:p>
        </w:tc>
        <w:tc>
          <w:tcPr>
            <w:tcW w:w="103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-41-</w:t>
            </w:r>
          </w:p>
        </w:tc>
      </w:tr>
    </w:tbl>
    <w:p>
      <w:pPr>
        <w:ind w:left="472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42" w:name="page443"/>
    <w:bookmarkEnd w:id="442"/>
    <w:p>
      <w:pPr>
        <w:ind w:left="980"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and (c) all payments received by or on behalf of a Party or its Affiliates (including any upfront payments, milestone payments, license fees, equity, royalties, sublicensing income or other such payment, but excluding any reimbursement of Out-of-Pocket Costs and FTE Costs by a Third Party for the performance of activities and obligations required by an Out-Licensing Agreement to the extent such Out-of-Pocket Costs or FTE Costs were not Shared Out-Licensing Costs) in connection with any Out-Licensing Transaction (“Shared Out-Licensing Income”), in each case ((a) and (b)), in accordance with Article 12 (Payments); provided that, Shared Out-Licensing Costs in excess of the amounts set forth in the applicable Research Budget, Development Budget, or Commercialization Budget plus Allowable Overruns, will not be shared.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OPT-OUT RIGHTS</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b w:val="1"/>
          <w:bCs w:val="1"/>
          <w:color w:val="auto"/>
        </w:rPr>
        <w:t>Right to Opt-Out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960" w:hanging="985"/>
        <w:spacing w:after="0" w:line="253" w:lineRule="auto"/>
        <w:tabs>
          <w:tab w:leader="none" w:pos="19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b w:val="1"/>
          <w:bCs w:val="1"/>
          <w:color w:val="auto"/>
        </w:rPr>
        <w:t>Elective Opt-Out</w:t>
      </w:r>
      <w:r>
        <w:rPr>
          <w:rFonts w:ascii="Times New Roman" w:cs="Times New Roman" w:eastAsia="Times New Roman" w:hAnsi="Times New Roman"/>
          <w:sz w:val="18"/>
          <w:szCs w:val="18"/>
          <w:color w:val="auto"/>
        </w:rPr>
        <w:t>. During the Term, either Party (the “</w:t>
      </w:r>
      <w:r>
        <w:rPr>
          <w:rFonts w:ascii="Times New Roman" w:cs="Times New Roman" w:eastAsia="Times New Roman" w:hAnsi="Times New Roman"/>
          <w:sz w:val="18"/>
          <w:szCs w:val="18"/>
          <w:b w:val="1"/>
          <w:bCs w:val="1"/>
          <w:color w:val="auto"/>
        </w:rPr>
        <w:t>Opt-Out Party</w:t>
      </w:r>
      <w:r>
        <w:rPr>
          <w:rFonts w:ascii="Times New Roman" w:cs="Times New Roman" w:eastAsia="Times New Roman" w:hAnsi="Times New Roman"/>
          <w:sz w:val="18"/>
          <w:szCs w:val="18"/>
          <w:color w:val="auto"/>
        </w:rPr>
        <w:t>”) may elect to opt-out of the obligation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share the costs for activities under the Research Plan, Development Plan or Commercialization Plan (as applicable) and the right and obligation to share the Collaboration Profits and Collaboration Losses (the “</w:t>
      </w:r>
      <w:r>
        <w:rPr>
          <w:rFonts w:ascii="Times New Roman" w:cs="Times New Roman" w:eastAsia="Times New Roman" w:hAnsi="Times New Roman"/>
          <w:sz w:val="18"/>
          <w:szCs w:val="18"/>
          <w:b w:val="1"/>
          <w:bCs w:val="1"/>
          <w:color w:val="auto"/>
        </w:rPr>
        <w:t>Opt-Out</w:t>
      </w:r>
      <w:r>
        <w:rPr>
          <w:rFonts w:ascii="Times New Roman" w:cs="Times New Roman" w:eastAsia="Times New Roman" w:hAnsi="Times New Roman"/>
          <w:sz w:val="18"/>
          <w:szCs w:val="18"/>
          <w:color w:val="auto"/>
        </w:rPr>
        <w:t>”) if: (a) the Parties have not entered into an Out-Licensing Transaction at such time, (b) at such time, (i) such Opt-Out Party’s 50% share of all Shared Research Costs has exceeded, by [***] or more, the 50% share of all Shared Research Costs that are budgeted in the then-current Research Budget, (ii) such Party reasonably concludes, after using Commercially Reasonable Efforts to perform the activities under the Research Plan, that identification of a Development Candidate meeting the DC Criteria is not technically feasible, (iii) such Opt-Out Party’s 50% share of all Shared Development Costs has exceeded, by [***] or more, the 50% share of all Shared Development Costs that are budgeted in the then-current Development Budget, (iv) such Opt-Out Party’s 50% share of all Shared Commercialization Costs has exceeded, by [***] or more, the 50% share of all Shared Commercialization Costs that are budgeted in the then-current Commercialization Budget, or (v) such Opt-Out Party’s 50% share of the Additional Unbudgeted Expenses has exceeded [***], and (c) such Opt-Out Party provides a notice of Opt-Out in compliance with this Section 11.1 (Right to Opt-Out).</w:t>
      </w:r>
    </w:p>
    <w:p>
      <w:pPr>
        <w:spacing w:after="0" w:line="336"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b w:val="1"/>
          <w:bCs w:val="1"/>
          <w:color w:val="auto"/>
        </w:rPr>
        <w:t>Deemed Opt-Out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2400" w:right="40" w:hanging="433"/>
        <w:spacing w:after="0" w:line="254" w:lineRule="auto"/>
        <w:tabs>
          <w:tab w:leader="none" w:pos="24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Failure to Obtain Further Development or Commercialization Approval</w:t>
      </w:r>
      <w:r>
        <w:rPr>
          <w:rFonts w:ascii="Times New Roman" w:cs="Times New Roman" w:eastAsia="Times New Roman" w:hAnsi="Times New Roman"/>
          <w:sz w:val="18"/>
          <w:szCs w:val="18"/>
          <w:color w:val="auto"/>
        </w:rPr>
        <w:t>. If (i) Further Development Approval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provided by the JSC within [***] (as may be extended by mutual agreement of the Parties) following the Completion of the Research Plan activities, or (ii) the Commercialization Approval has not been provided by the JSC within [***] (as may be extended by mutual agreement of the Parties) following the completion of the Development Plan activities, then the Party desiring to continue with further Development activities or Commercialization activities, as applicable, may provide its notice to the other Party that it desires to continue to progress the Program itself, as applicable (the “</w:t>
      </w:r>
      <w:r>
        <w:rPr>
          <w:rFonts w:ascii="Times New Roman" w:cs="Times New Roman" w:eastAsia="Times New Roman" w:hAnsi="Times New Roman"/>
          <w:sz w:val="18"/>
          <w:szCs w:val="18"/>
          <w:b w:val="1"/>
          <w:bCs w:val="1"/>
          <w:color w:val="auto"/>
        </w:rPr>
        <w:t>Continuation Notice</w:t>
      </w:r>
      <w:r>
        <w:rPr>
          <w:rFonts w:ascii="Times New Roman" w:cs="Times New Roman" w:eastAsia="Times New Roman" w:hAnsi="Times New Roman"/>
          <w:sz w:val="18"/>
          <w:szCs w:val="18"/>
          <w:color w:val="auto"/>
        </w:rPr>
        <w:t>”); provided that in the event that the Parties are actively negotiating an Out-Licensing Transaction with a Third Party, then the period set forth in clause (i) or clause (ii), as applicable, will be automatically extended for so long as the Parties are continuing to actively negotiate such Out-Licensing Transaction, such extension not to exceed an additional [***] (unless otherwise agreed by the Parties in writing). If the other Party provides notice to such notifying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443" w:name="page444"/>
    <w:bookmarkEnd w:id="443"/>
    <w:p>
      <w:pPr>
        <w:ind w:left="1420" w:right="1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within [***] of receiving such Continuation Notice that it also desires to continue to progress the Program, then the Further Development Approval or Commercialization Approval, as applicable, will be deemed to be provided by the JSC on the date of such notice. If the other Party provides notice to such notifying Party within [***] that it does not desire to continue to progress the Program, or does not provide any notice to such notifying Party within such [***] period, then (A) such other Party will be deemed to have Opted-Out and will be deemed an Opt-Out Party,</w:t>
      </w:r>
    </w:p>
    <w:p>
      <w:pPr>
        <w:spacing w:after="0" w:line="3" w:lineRule="exact"/>
        <w:rPr>
          <w:sz w:val="20"/>
          <w:szCs w:val="20"/>
          <w:color w:val="auto"/>
        </w:rPr>
      </w:pPr>
    </w:p>
    <w:p>
      <w:pPr>
        <w:ind w:left="1420" w:right="100" w:hanging="8"/>
        <w:spacing w:after="0" w:line="260" w:lineRule="auto"/>
        <w:tabs>
          <w:tab w:leader="none" w:pos="1705"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providing the Continuation Notice will be deemed a Continuing Party, and (C) the effects of Opt-Out set forth in Section 11.2 (Effects of Opt-Out) shall apply.</w:t>
      </w:r>
    </w:p>
    <w:p>
      <w:pPr>
        <w:spacing w:after="0" w:line="82" w:lineRule="exact"/>
        <w:rPr>
          <w:rFonts w:ascii="Times New Roman" w:cs="Times New Roman" w:eastAsia="Times New Roman" w:hAnsi="Times New Roman"/>
          <w:sz w:val="18"/>
          <w:szCs w:val="18"/>
          <w:color w:val="auto"/>
        </w:rPr>
      </w:pPr>
    </w:p>
    <w:p>
      <w:pPr>
        <w:ind w:left="1400" w:right="40" w:hanging="433"/>
        <w:spacing w:after="0" w:line="270" w:lineRule="auto"/>
        <w:tabs>
          <w:tab w:leader="none" w:pos="140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Failure to Agree on Budget Increase</w:t>
      </w:r>
      <w:r>
        <w:rPr>
          <w:rFonts w:ascii="Times New Roman" w:cs="Times New Roman" w:eastAsia="Times New Roman" w:hAnsi="Times New Roman"/>
          <w:sz w:val="17"/>
          <w:szCs w:val="17"/>
          <w:color w:val="auto"/>
        </w:rPr>
        <w:t>. If a Party is not willing to bear an increase to the Out-of-Pocket Costs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(i) the Research Budget in accordance with Section 3.2.3(c) (Research Costs; Research Budget) and subject to dispute resolution in accordance with Section 3.2.3(d) (Research Costs; Research Budget), (ii) the Development Budget in accordance with Section 6.3.3(c) (Development Costs; Development Budget) and subject to dispute resolution in accordance with Section 6.3.3(d) (Development Costs; Development Budget), or (iii) the Commercialization Budget in accordance with Section 8.3.3(c) (Commercialization Costs; Commercialization Budget) and subject to dispute resolution in accordance with Section 8.3.3(d) (Commercialization Costs; Commercialization Budget), as applicable, beyond the costs set forth in the then-current Research Budget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Allowable Overruns), Development Budget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Allowable Overruns), or Commercialization Budget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Allowable Overruns), as applicable, then (A) such Party will be deemed to have Opted-Out and will be the Opt-Out Party for all intents and purposes hereunder, and (B) the effects of Opt-Out set forth in Section 11.2 (Effects of Opt-Out) shall apply.</w:t>
      </w:r>
    </w:p>
    <w:p>
      <w:pPr>
        <w:spacing w:after="0" w:line="78" w:lineRule="exact"/>
        <w:rPr>
          <w:rFonts w:ascii="Times New Roman" w:cs="Times New Roman" w:eastAsia="Times New Roman" w:hAnsi="Times New Roman"/>
          <w:sz w:val="17"/>
          <w:szCs w:val="17"/>
          <w:color w:val="auto"/>
        </w:rPr>
      </w:pPr>
    </w:p>
    <w:p>
      <w:pPr>
        <w:ind w:left="1400" w:hanging="433"/>
        <w:spacing w:after="0" w:line="257" w:lineRule="auto"/>
        <w:tabs>
          <w:tab w:leader="none" w:pos="14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Failure to Designate a Development Candidate</w:t>
      </w:r>
      <w:r>
        <w:rPr>
          <w:rFonts w:ascii="Times New Roman" w:cs="Times New Roman" w:eastAsia="Times New Roman" w:hAnsi="Times New Roman"/>
          <w:sz w:val="18"/>
          <w:szCs w:val="18"/>
          <w:color w:val="auto"/>
        </w:rPr>
        <w:t>. If, the Parties, through the JSC, do not designate at least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Candidate in accordance with Section 3.3.3(b) (Development Candidate Identification), and one Party (but not both Parties) desires to conduct additional Research Activities to identify additional Collaboration Compounds that meet the DC Criteria, then (i) such other Party will be deemed to have Opted-Out and will be the Opt-Out Party for all intents and purposes hereunder, and (ii) the effects of Opt-Out set forth in Section 11.2 (Effects of Opt-Out) shall apply.</w:t>
      </w:r>
    </w:p>
    <w:p>
      <w:pPr>
        <w:spacing w:after="0" w:line="88" w:lineRule="exact"/>
        <w:rPr>
          <w:sz w:val="20"/>
          <w:szCs w:val="20"/>
          <w:color w:val="auto"/>
        </w:rPr>
      </w:pPr>
    </w:p>
    <w:p>
      <w:pPr>
        <w:ind w:left="960" w:hanging="985"/>
        <w:spacing w:after="0" w:line="254" w:lineRule="auto"/>
        <w:tabs>
          <w:tab w:leader="none" w:pos="94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b w:val="1"/>
          <w:bCs w:val="1"/>
          <w:color w:val="auto"/>
        </w:rPr>
        <w:t>Opt-Out Procedure</w:t>
      </w:r>
      <w:r>
        <w:rPr>
          <w:rFonts w:ascii="Times New Roman" w:cs="Times New Roman" w:eastAsia="Times New Roman" w:hAnsi="Times New Roman"/>
          <w:sz w:val="18"/>
          <w:szCs w:val="18"/>
          <w:color w:val="auto"/>
        </w:rPr>
        <w:t>. If either Party elects to Opt-Out pursuant to Section 11.1.1 (Elective Opt-Out), such Party will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of such Opt-Out to the non-Opt-Out Party, which notice will also include (to the extent not already provided to the JSC) a summary of key data and results of the Opt-Out Party’s activities under the Research Plan, Development Plan or Commercialization Plan, as applicable, and as reasonably necessary for the non-Opt-Out Party to evaluate whether it wants to continue the activities under the Program. Within [***] following the receipt of such notice of Opt-Out, the non-Opt-Out Party will notify the Opt-Out Party whether or not it will continue with the activities under the Program to identify a Development Candidate and to Exploit Licensed Compounds and Licensed Products, as applicable. If such non-Opt-Out Party notifies the other Party that it will not continue with such activities, then this Agreement will automatically terminate in accordance with Section 17.2.6 (Termination for Failure to Continue Following Opt-Out). If such non-Opt-Out Party notifies the Opt-Out Party that it will continue with such activities for the Program, then (a) such Opt-Out</w:t>
      </w:r>
    </w:p>
    <w:p>
      <w:pPr>
        <w:spacing w:after="0" w:line="12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000"/>
          </w:cols>
          <w:pgMar w:left="1440" w:top="270" w:right="459" w:bottom="1440" w:gutter="0" w:footer="0" w:header="0"/>
        </w:sectPr>
      </w:pPr>
    </w:p>
    <w:bookmarkStart w:id="444" w:name="page445"/>
    <w:bookmarkEnd w:id="444"/>
    <w:p>
      <w:pPr>
        <w:ind w:left="196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Opt-Out Party will be effective on the first day of the next applicable Opt-Out Period (or if such written notice is provided by the non-Opt-Out Party during an Opt-Out Period, then such Opt-Out will be effective on the date that is [***] following the date on which such notice is provided) (such effective date of Opt-Out, the “</w:t>
      </w:r>
      <w:r>
        <w:rPr>
          <w:rFonts w:ascii="Times New Roman" w:cs="Times New Roman" w:eastAsia="Times New Roman" w:hAnsi="Times New Roman"/>
          <w:sz w:val="18"/>
          <w:szCs w:val="18"/>
          <w:b w:val="1"/>
          <w:bCs w:val="1"/>
          <w:color w:val="auto"/>
        </w:rPr>
        <w:t>Opt-Out Date</w:t>
      </w:r>
      <w:r>
        <w:rPr>
          <w:rFonts w:ascii="Times New Roman" w:cs="Times New Roman" w:eastAsia="Times New Roman" w:hAnsi="Times New Roman"/>
          <w:sz w:val="18"/>
          <w:szCs w:val="18"/>
          <w:color w:val="auto"/>
        </w:rPr>
        <w:t>”), (b) such non-Opt-Out Party will be deemed a “</w:t>
      </w:r>
      <w:r>
        <w:rPr>
          <w:rFonts w:ascii="Times New Roman" w:cs="Times New Roman" w:eastAsia="Times New Roman" w:hAnsi="Times New Roman"/>
          <w:sz w:val="18"/>
          <w:szCs w:val="18"/>
          <w:b w:val="1"/>
          <w:bCs w:val="1"/>
          <w:color w:val="auto"/>
        </w:rPr>
        <w:t>Continuing Party</w:t>
      </w:r>
      <w:r>
        <w:rPr>
          <w:rFonts w:ascii="Times New Roman" w:cs="Times New Roman" w:eastAsia="Times New Roman" w:hAnsi="Times New Roman"/>
          <w:sz w:val="18"/>
          <w:szCs w:val="18"/>
          <w:color w:val="auto"/>
        </w:rPr>
        <w:t>” and (c) notwithstanding any provision to the contrary set forth in this Agreement, the effects of Opt-Out set forth in Section 11.2 (Effects of Opt-Out) will apply.</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b w:val="1"/>
          <w:bCs w:val="1"/>
          <w:color w:val="auto"/>
        </w:rPr>
        <w:t>Effects of Opt-Out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960" w:right="160" w:hanging="985"/>
        <w:spacing w:after="0" w:line="268" w:lineRule="auto"/>
        <w:tabs>
          <w:tab w:leader="none" w:pos="194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8"/>
          <w:szCs w:val="18"/>
          <w:b w:val="1"/>
          <w:bCs w:val="1"/>
          <w:color w:val="auto"/>
        </w:rPr>
        <w:t>No Obligations</w:t>
      </w:r>
      <w:r>
        <w:rPr>
          <w:rFonts w:ascii="Times New Roman" w:cs="Times New Roman" w:eastAsia="Times New Roman" w:hAnsi="Times New Roman"/>
          <w:sz w:val="18"/>
          <w:szCs w:val="18"/>
          <w:color w:val="auto"/>
        </w:rPr>
        <w:t>. The Opt-Out Party and the Continuing Party will have no further obligations to conduct any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under the Research Plan, Development Plan or Commercialization Plan, as applicable, and the Opt-Out Party and its Affiliates will cease the Exploitation of any Licensed Compounds or Licensed Product under this Agreement.</w:t>
      </w:r>
    </w:p>
    <w:p>
      <w:pPr>
        <w:spacing w:after="0" w:line="76" w:lineRule="exact"/>
        <w:rPr>
          <w:sz w:val="20"/>
          <w:szCs w:val="20"/>
          <w:color w:val="auto"/>
        </w:rPr>
      </w:pPr>
    </w:p>
    <w:p>
      <w:pPr>
        <w:ind w:left="1960" w:hanging="985"/>
        <w:spacing w:after="0" w:line="262" w:lineRule="auto"/>
        <w:tabs>
          <w:tab w:leader="none" w:pos="194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8"/>
          <w:szCs w:val="18"/>
          <w:b w:val="1"/>
          <w:bCs w:val="1"/>
          <w:color w:val="auto"/>
        </w:rPr>
        <w:t>No Collaboration Profit/Loss Share</w:t>
      </w:r>
      <w:r>
        <w:rPr>
          <w:rFonts w:ascii="Times New Roman" w:cs="Times New Roman" w:eastAsia="Times New Roman" w:hAnsi="Times New Roman"/>
          <w:sz w:val="18"/>
          <w:szCs w:val="18"/>
          <w:color w:val="auto"/>
        </w:rPr>
        <w:t>. The Opt-Out Party will no longer be required to pay a portion of Collaboration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after the Opt-Out Date or have a right to receive a portion of Collaboration Profits received after the Opt-Out Date under Section 12.1 (Collaboration Profit and Loss Sharing), and the Opt-Out Party will instead have a right to receive the payments set forth in Section 12.2 (Payments Following Opt-Out).</w:t>
      </w:r>
    </w:p>
    <w:p>
      <w:pPr>
        <w:spacing w:after="0" w:line="82"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11.2.3</w:t>
      </w:r>
      <w:r>
        <w:rPr>
          <w:sz w:val="20"/>
          <w:szCs w:val="20"/>
          <w:color w:val="auto"/>
        </w:rPr>
        <w:tab/>
      </w:r>
      <w:r>
        <w:rPr>
          <w:rFonts w:ascii="Times New Roman" w:cs="Times New Roman" w:eastAsia="Times New Roman" w:hAnsi="Times New Roman"/>
          <w:sz w:val="17"/>
          <w:szCs w:val="17"/>
          <w:b w:val="1"/>
          <w:bCs w:val="1"/>
          <w:color w:val="auto"/>
        </w:rPr>
        <w:t>Out-Licensing Transactions</w:t>
      </w:r>
      <w:r>
        <w:rPr>
          <w:rFonts w:ascii="Times New Roman" w:cs="Times New Roman" w:eastAsia="Times New Roman" w:hAnsi="Times New Roman"/>
          <w:sz w:val="17"/>
          <w:szCs w:val="17"/>
          <w:color w:val="auto"/>
        </w:rPr>
        <w:t>. [***]</w:t>
      </w:r>
    </w:p>
    <w:p>
      <w:pPr>
        <w:spacing w:after="0" w:line="131" w:lineRule="exact"/>
        <w:rPr>
          <w:sz w:val="20"/>
          <w:szCs w:val="20"/>
          <w:color w:val="auto"/>
        </w:rPr>
      </w:pPr>
    </w:p>
    <w:p>
      <w:pPr>
        <w:ind w:left="1960" w:right="480" w:hanging="985"/>
        <w:spacing w:after="0" w:line="268" w:lineRule="auto"/>
        <w:tabs>
          <w:tab w:leader="none" w:pos="1940" w:val="left"/>
        </w:tabs>
        <w:rPr>
          <w:sz w:val="20"/>
          <w:szCs w:val="20"/>
          <w:color w:val="auto"/>
        </w:rPr>
      </w:pPr>
      <w:r>
        <w:rPr>
          <w:rFonts w:ascii="Times New Roman" w:cs="Times New Roman" w:eastAsia="Times New Roman" w:hAnsi="Times New Roman"/>
          <w:sz w:val="18"/>
          <w:szCs w:val="18"/>
          <w:color w:val="auto"/>
        </w:rPr>
        <w:t>11.2.4</w:t>
      </w:r>
      <w:r>
        <w:rPr>
          <w:sz w:val="20"/>
          <w:szCs w:val="20"/>
          <w:color w:val="auto"/>
        </w:rPr>
        <w:tab/>
      </w:r>
      <w:r>
        <w:rPr>
          <w:rFonts w:ascii="Times New Roman" w:cs="Times New Roman" w:eastAsia="Times New Roman" w:hAnsi="Times New Roman"/>
          <w:sz w:val="18"/>
          <w:szCs w:val="18"/>
          <w:b w:val="1"/>
          <w:bCs w:val="1"/>
          <w:color w:val="auto"/>
        </w:rPr>
        <w:t>Termination of Licenses to Opt-Out Party</w:t>
      </w:r>
      <w:r>
        <w:rPr>
          <w:rFonts w:ascii="Times New Roman" w:cs="Times New Roman" w:eastAsia="Times New Roman" w:hAnsi="Times New Roman"/>
          <w:sz w:val="18"/>
          <w:szCs w:val="18"/>
          <w:color w:val="auto"/>
        </w:rPr>
        <w:t>. The licenses granted by the Continuing Party to the Opt-Out Party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 (Collaboration License to Odyssey) and Section 4.2 (Collaboration License to Terray), as applicable, will terminate.</w:t>
      </w:r>
    </w:p>
    <w:p>
      <w:pPr>
        <w:spacing w:after="0" w:line="76" w:lineRule="exact"/>
        <w:rPr>
          <w:sz w:val="20"/>
          <w:szCs w:val="20"/>
          <w:color w:val="auto"/>
        </w:rPr>
      </w:pPr>
    </w:p>
    <w:p>
      <w:pPr>
        <w:ind w:left="1960" w:right="720" w:hanging="985"/>
        <w:spacing w:after="0" w:line="286" w:lineRule="auto"/>
        <w:tabs>
          <w:tab w:leader="none" w:pos="1940" w:val="left"/>
        </w:tabs>
        <w:rPr>
          <w:sz w:val="20"/>
          <w:szCs w:val="20"/>
          <w:color w:val="auto"/>
        </w:rPr>
      </w:pPr>
      <w:r>
        <w:rPr>
          <w:rFonts w:ascii="Times New Roman" w:cs="Times New Roman" w:eastAsia="Times New Roman" w:hAnsi="Times New Roman"/>
          <w:sz w:val="18"/>
          <w:szCs w:val="18"/>
          <w:color w:val="auto"/>
        </w:rPr>
        <w:t>11.2.5</w:t>
      </w:r>
      <w:r>
        <w:rPr>
          <w:sz w:val="20"/>
          <w:szCs w:val="20"/>
          <w:color w:val="auto"/>
        </w:rPr>
        <w:tab/>
      </w:r>
      <w:r>
        <w:rPr>
          <w:rFonts w:ascii="Times New Roman" w:cs="Times New Roman" w:eastAsia="Times New Roman" w:hAnsi="Times New Roman"/>
          <w:sz w:val="18"/>
          <w:szCs w:val="18"/>
          <w:b w:val="1"/>
          <w:bCs w:val="1"/>
          <w:color w:val="auto"/>
        </w:rPr>
        <w:t>License Grant to Continuing Party</w:t>
      </w:r>
      <w:r>
        <w:rPr>
          <w:rFonts w:ascii="Times New Roman" w:cs="Times New Roman" w:eastAsia="Times New Roman" w:hAnsi="Times New Roman"/>
          <w:sz w:val="18"/>
          <w:szCs w:val="18"/>
          <w:color w:val="auto"/>
        </w:rPr>
        <w:t>. Upon the Opt-Out Date, the Opt-Out Party will grant the licenses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4.3 (Opt-Out License to Continuing Party) to the Continuing Party.</w:t>
      </w:r>
    </w:p>
    <w:p>
      <w:pPr>
        <w:spacing w:after="0" w:line="60"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11.2.6</w:t>
      </w:r>
      <w:r>
        <w:rPr>
          <w:sz w:val="20"/>
          <w:szCs w:val="20"/>
          <w:color w:val="auto"/>
        </w:rPr>
        <w:tab/>
      </w:r>
      <w:r>
        <w:rPr>
          <w:rFonts w:ascii="Times New Roman" w:cs="Times New Roman" w:eastAsia="Times New Roman" w:hAnsi="Times New Roman"/>
          <w:sz w:val="17"/>
          <w:szCs w:val="17"/>
          <w:b w:val="1"/>
          <w:bCs w:val="1"/>
          <w:color w:val="auto"/>
        </w:rPr>
        <w:t>IP Rights</w:t>
      </w:r>
      <w:r>
        <w:rPr>
          <w:rFonts w:ascii="Times New Roman" w:cs="Times New Roman" w:eastAsia="Times New Roman" w:hAnsi="Times New Roman"/>
          <w:sz w:val="17"/>
          <w:szCs w:val="17"/>
          <w:color w:val="auto"/>
        </w:rPr>
        <w:t>. If [***] is the Opt-Out Party, then, notwithstanding any provision to the contrary set forth in this Agreement:</w:t>
      </w:r>
    </w:p>
    <w:p>
      <w:pPr>
        <w:spacing w:after="0" w:line="135" w:lineRule="exact"/>
        <w:rPr>
          <w:sz w:val="20"/>
          <w:szCs w:val="20"/>
          <w:color w:val="auto"/>
        </w:rPr>
      </w:pPr>
    </w:p>
    <w:p>
      <w:pPr>
        <w:ind w:left="2400" w:right="220" w:hanging="433"/>
        <w:spacing w:after="0" w:line="266" w:lineRule="auto"/>
        <w:tabs>
          <w:tab w:leader="none" w:pos="24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will have the first right (and [***] will have the second right) to file, prosecute and maintain the Joint Collaboration Patent Rights and Section 13.2.1 [***] First Right) and Section 13.2.2 [***] Second Right)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2400" w:right="420" w:hanging="433"/>
        <w:spacing w:after="0" w:line="266" w:lineRule="auto"/>
        <w:tabs>
          <w:tab w:leader="none" w:pos="24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will have the first right (and [***] will have the second right) to initiate an Infringement Action against any Competitive Infringement with respect to any Joint Collaboration Patent Rights, and Section 13.3.2 (Competitive Infringement)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11.2.7</w:t>
      </w:r>
      <w:r>
        <w:rPr>
          <w:sz w:val="20"/>
          <w:szCs w:val="20"/>
          <w:color w:val="auto"/>
        </w:rPr>
        <w:tab/>
      </w:r>
      <w:r>
        <w:rPr>
          <w:rFonts w:ascii="Times New Roman" w:cs="Times New Roman" w:eastAsia="Times New Roman" w:hAnsi="Times New Roman"/>
          <w:sz w:val="18"/>
          <w:szCs w:val="18"/>
          <w:b w:val="1"/>
          <w:bCs w:val="1"/>
          <w:color w:val="auto"/>
        </w:rPr>
        <w:t>Dissolution of the JSC</w:t>
      </w:r>
      <w:r>
        <w:rPr>
          <w:rFonts w:ascii="Times New Roman" w:cs="Times New Roman" w:eastAsia="Times New Roman" w:hAnsi="Times New Roman"/>
          <w:sz w:val="18"/>
          <w:szCs w:val="18"/>
          <w:color w:val="auto"/>
        </w:rPr>
        <w:t>. The JSC will dissolve in accordance with Section 5.1.1 (Formation and Purpose of the JSC).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445" w:name="page446"/>
    <w:bookmarkEnd w:id="445"/>
    <w:p>
      <w:pPr>
        <w:ind w:left="960" w:right="20" w:hanging="985"/>
        <w:spacing w:after="0" w:line="254" w:lineRule="auto"/>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11.2.8</w:t>
      </w:r>
      <w:r>
        <w:rPr>
          <w:sz w:val="20"/>
          <w:szCs w:val="20"/>
          <w:color w:val="auto"/>
        </w:rPr>
        <w:tab/>
      </w:r>
      <w:r>
        <w:rPr>
          <w:rFonts w:ascii="Times New Roman" w:cs="Times New Roman" w:eastAsia="Times New Roman" w:hAnsi="Times New Roman"/>
          <w:sz w:val="18"/>
          <w:szCs w:val="18"/>
          <w:b w:val="1"/>
          <w:bCs w:val="1"/>
          <w:color w:val="auto"/>
        </w:rPr>
        <w:t>Assignment of Regulatory Submissions</w:t>
      </w:r>
      <w:r>
        <w:rPr>
          <w:rFonts w:ascii="Times New Roman" w:cs="Times New Roman" w:eastAsia="Times New Roman" w:hAnsi="Times New Roman"/>
          <w:sz w:val="18"/>
          <w:szCs w:val="18"/>
          <w:color w:val="auto"/>
        </w:rPr>
        <w:t>. Upon the Opt-Out Date, the Opt-Out Party will and hereby does, and will cause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Sublicensees to, (a) transfer to the Continuing Party all of its Clinical Trial data and Regulatory Submissions and (b) assign and take those steps reasonably necessary to transfer ownership of all Regulatory Submissions, Regulatory Approvals, and Pricing Approvals (where applicable) to the Continuing Party, including submitting to each applicable Regulatory Authority a letter or other necessary documentation notifying such Regulatory Authority of the transfer of such ownership of such Regulatory Submissions, Regulatory Approvals, and Pricing Approvals (where applicable), in each case</w:t>
      </w:r>
    </w:p>
    <w:p>
      <w:pPr>
        <w:spacing w:after="0" w:line="4" w:lineRule="exact"/>
        <w:rPr>
          <w:sz w:val="20"/>
          <w:szCs w:val="20"/>
          <w:color w:val="auto"/>
        </w:rPr>
      </w:pPr>
    </w:p>
    <w:p>
      <w:pPr>
        <w:ind w:left="960" w:right="20" w:firstLine="7"/>
        <w:spacing w:after="0" w:line="252" w:lineRule="auto"/>
        <w:tabs>
          <w:tab w:leader="none" w:pos="120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pertaining to Licensed Compounds or Licensed Products and Controlled by the Opt-Out Party or any of its Affiliates or its Sublicensees as of the Opt-Out Date. Pending transfer of such Regulatory Submissions, Regulatory Approvals, and Pricing Approvals, upon the Opt-Out Date, the Opt-Out Party hereby grants to the Continuing Party a right of reference to all such Regulatory Submissions, Regulatory Approvals, and Pricing Approvals, upon the Opt-Out Date for purposes of obtaining Regulatory Approval for the Licensed Compounds and Licensed Products. In addition, (i) the obligations set forth in Section 7.2 (Regulatory Cooperation) through Section 7.4 (Regulatory Costs) will no longer apply, and (ii) [***].</w:t>
      </w:r>
    </w:p>
    <w:p>
      <w:pPr>
        <w:spacing w:after="0" w:line="90" w:lineRule="exact"/>
        <w:rPr>
          <w:sz w:val="20"/>
          <w:szCs w:val="20"/>
          <w:color w:val="auto"/>
        </w:rPr>
      </w:pPr>
    </w:p>
    <w:p>
      <w:pPr>
        <w:ind w:left="960" w:hanging="985"/>
        <w:spacing w:after="0" w:line="256" w:lineRule="auto"/>
        <w:tabs>
          <w:tab w:leader="none" w:pos="940" w:val="left"/>
        </w:tabs>
        <w:rPr>
          <w:sz w:val="20"/>
          <w:szCs w:val="20"/>
          <w:color w:val="auto"/>
        </w:rPr>
      </w:pPr>
      <w:r>
        <w:rPr>
          <w:rFonts w:ascii="Times New Roman" w:cs="Times New Roman" w:eastAsia="Times New Roman" w:hAnsi="Times New Roman"/>
          <w:sz w:val="18"/>
          <w:szCs w:val="18"/>
          <w:color w:val="auto"/>
        </w:rPr>
        <w:t>11.2.9</w:t>
      </w:r>
      <w:r>
        <w:rPr>
          <w:sz w:val="20"/>
          <w:szCs w:val="20"/>
          <w:color w:val="auto"/>
        </w:rPr>
        <w:tab/>
      </w:r>
      <w:r>
        <w:rPr>
          <w:rFonts w:ascii="Times New Roman" w:cs="Times New Roman" w:eastAsia="Times New Roman" w:hAnsi="Times New Roman"/>
          <w:sz w:val="18"/>
          <w:szCs w:val="18"/>
          <w:b w:val="1"/>
          <w:bCs w:val="1"/>
          <w:color w:val="auto"/>
        </w:rPr>
        <w:t>Ongoing Clinical Trials</w:t>
      </w:r>
      <w:r>
        <w:rPr>
          <w:rFonts w:ascii="Times New Roman" w:cs="Times New Roman" w:eastAsia="Times New Roman" w:hAnsi="Times New Roman"/>
          <w:sz w:val="18"/>
          <w:szCs w:val="18"/>
          <w:color w:val="auto"/>
        </w:rPr>
        <w:t>. If, as of the Opt-Out Date, the Opt-Out Party or its Affiliates or its Sublicensees are conducting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Trials involving any Licensed Products, then, unless prohibited by any Regulatory Authority or Applicable Law, at the Continuing Party’s request, on a Clinical Trial-by-Clinical Trial basis, the Opt-Out Party will transfer control of all such requested Clinical Trials to the Continuing Party or its designees. [***]. If the Continuing Party does not elect to assume control of any such Clinical Trials, then the Opt-Out Party will, in accordance with accepted pharmaceutical industry norms and ethical practices, wind-down any on-going Clinical Trials of Licensed Products for which it has responsibility hereunder in an orderly manner. The Opt-Out Party will be responsible for any Out-of-Pocket Costs associated with such wind-down.</w:t>
      </w:r>
    </w:p>
    <w:p>
      <w:pPr>
        <w:spacing w:after="0" w:line="88" w:lineRule="exact"/>
        <w:rPr>
          <w:sz w:val="20"/>
          <w:szCs w:val="20"/>
          <w:color w:val="auto"/>
        </w:rPr>
      </w:pPr>
    </w:p>
    <w:p>
      <w:pPr>
        <w:jc w:val="both"/>
        <w:ind w:left="960" w:right="40" w:hanging="985"/>
        <w:spacing w:after="0" w:line="262" w:lineRule="auto"/>
        <w:tabs>
          <w:tab w:leader="none" w:pos="940" w:val="left"/>
        </w:tabs>
        <w:rPr>
          <w:sz w:val="20"/>
          <w:szCs w:val="20"/>
          <w:color w:val="auto"/>
        </w:rPr>
      </w:pPr>
      <w:r>
        <w:rPr>
          <w:rFonts w:ascii="Times New Roman" w:cs="Times New Roman" w:eastAsia="Times New Roman" w:hAnsi="Times New Roman"/>
          <w:sz w:val="18"/>
          <w:szCs w:val="18"/>
          <w:color w:val="auto"/>
        </w:rPr>
        <w:t>11.2.10</w:t>
      </w:r>
      <w:r>
        <w:rPr>
          <w:sz w:val="20"/>
          <w:szCs w:val="20"/>
          <w:color w:val="auto"/>
        </w:rPr>
        <w:tab/>
      </w:r>
      <w:r>
        <w:rPr>
          <w:rFonts w:ascii="Times New Roman" w:cs="Times New Roman" w:eastAsia="Times New Roman" w:hAnsi="Times New Roman"/>
          <w:sz w:val="18"/>
          <w:szCs w:val="18"/>
          <w:b w:val="1"/>
          <w:bCs w:val="1"/>
          <w:color w:val="auto"/>
        </w:rPr>
        <w:t>Opt-Out Party Knowledge and Inventory Transfer</w:t>
      </w:r>
      <w:r>
        <w:rPr>
          <w:rFonts w:ascii="Times New Roman" w:cs="Times New Roman" w:eastAsia="Times New Roman" w:hAnsi="Times New Roman"/>
          <w:sz w:val="18"/>
          <w:szCs w:val="18"/>
          <w:color w:val="auto"/>
        </w:rPr>
        <w:t>. The Opt-Out Party will promptly provide to the Continuing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designated Affiliate or Third Party copies of all (a) Collaboration Know-How necessary or reasonably useful to Develop, Manufacture, Commercialize, or otherwise Exploit the Licensed Compounds or Licensed Products and (b) Know-How in the Opt-Out Party’s Background IP [***]</w:t>
      </w:r>
    </w:p>
    <w:p>
      <w:pPr>
        <w:spacing w:after="0" w:line="1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020"/>
          </w:cols>
          <w:pgMar w:left="1440" w:top="266" w:right="439" w:bottom="1440" w:gutter="0" w:footer="0" w:header="0"/>
        </w:sectPr>
      </w:pPr>
    </w:p>
    <w:bookmarkStart w:id="446" w:name="page447"/>
    <w:bookmarkEnd w:id="446"/>
    <w:p>
      <w:pPr>
        <w:ind w:left="19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is [***], Develop, Manufacture, Commercialize, or otherwise Exploit the Licensed Compounds or Licensed Products, in each case ((a) and (b)), in the Opt-Out Party’s possession and Control (and only to the extent not previously provided to the Continuing Party). For a period of [***] after the Opt-Out Date, the Opt-Out Party will make the appropriate employees and consultants of it and its Affiliates reasonably available to the Continuing Party (or its designee) at reasonable times and upon reasonable prior notice, for the purpose of assisting the Continuing Party (or its designee) to understand or practice such Know-How; provided that such [***] period will be extended to the extent any information or assistance requested during such [***] period remains outstanding; and provided further that the Opt-Out Party will use reasonable efforts to provide any reasonably requested additional assistance following such [***] period at the Continuing Party’s cost. The Opt-Out Party will also, at the Continuing Party’s option, transfer to the Continuing Party or its designated Affiliate or Third Party all inventory of the Licensed Compounds, Licensed Products and components and works in process held by the Opt-Out Party with respect to the Manufacture of such Licensed Compounds and Licensed Products as of the Opt-Out Date.</w:t>
      </w:r>
    </w:p>
    <w:p>
      <w:pPr>
        <w:spacing w:after="0" w:line="93" w:lineRule="exact"/>
        <w:rPr>
          <w:sz w:val="20"/>
          <w:szCs w:val="20"/>
          <w:color w:val="auto"/>
        </w:rPr>
      </w:pPr>
    </w:p>
    <w:p>
      <w:pPr>
        <w:ind w:left="1960" w:right="40" w:hanging="985"/>
        <w:spacing w:after="0" w:line="255" w:lineRule="auto"/>
        <w:tabs>
          <w:tab w:leader="none" w:pos="1940" w:val="left"/>
        </w:tabs>
        <w:rPr>
          <w:sz w:val="20"/>
          <w:szCs w:val="20"/>
          <w:color w:val="auto"/>
        </w:rPr>
      </w:pPr>
      <w:r>
        <w:rPr>
          <w:rFonts w:ascii="Times New Roman" w:cs="Times New Roman" w:eastAsia="Times New Roman" w:hAnsi="Times New Roman"/>
          <w:sz w:val="18"/>
          <w:szCs w:val="18"/>
          <w:color w:val="auto"/>
        </w:rPr>
        <w:t>11.2.11</w:t>
      </w:r>
      <w:r>
        <w:rPr>
          <w:sz w:val="20"/>
          <w:szCs w:val="20"/>
          <w:color w:val="auto"/>
        </w:rPr>
        <w:tab/>
      </w:r>
      <w:r>
        <w:rPr>
          <w:rFonts w:ascii="Times New Roman" w:cs="Times New Roman" w:eastAsia="Times New Roman" w:hAnsi="Times New Roman"/>
          <w:sz w:val="18"/>
          <w:szCs w:val="18"/>
          <w:b w:val="1"/>
          <w:bCs w:val="1"/>
          <w:color w:val="auto"/>
        </w:rPr>
        <w:t>Necessary Third Party Agreements</w:t>
      </w:r>
      <w:r>
        <w:rPr>
          <w:rFonts w:ascii="Times New Roman" w:cs="Times New Roman" w:eastAsia="Times New Roman" w:hAnsi="Times New Roman"/>
          <w:sz w:val="18"/>
          <w:szCs w:val="18"/>
          <w:color w:val="auto"/>
        </w:rPr>
        <w:t>. At the Continuing Party’s written request, the Opt-Out Party will assign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Party any Necessary Third Party Agreement requested by the Continuing Party, unless assignment of any such Necessary Third Party Agreement is not permitted, in which case the Opt-Out Party (or such Affiliate or Sublicensee, as applicable) will secure, at the Continuing Party’s expense and request, the consent of the applicable Third Party to such assignment or will reasonably cooperate and assist the Continuing Party or its designee in entering into an agreement with the applicable Third Party of such Necessary Third Party Agreement. Until such time as such agreement is either assigned or a new agreement is entered into with such Third Party, the Opt-Out Party will maintain such agreement in good standing to ensure that the Continuing Party has access to the relevant rights under such Necessary Third Party Agreement.</w:t>
      </w:r>
    </w:p>
    <w:p>
      <w:pPr>
        <w:spacing w:after="0" w:line="90" w:lineRule="exact"/>
        <w:rPr>
          <w:sz w:val="20"/>
          <w:szCs w:val="20"/>
          <w:color w:val="auto"/>
        </w:rPr>
      </w:pPr>
    </w:p>
    <w:p>
      <w:pPr>
        <w:ind w:left="1960" w:right="120" w:hanging="985"/>
        <w:spacing w:after="0" w:line="286" w:lineRule="auto"/>
        <w:tabs>
          <w:tab w:leader="none" w:pos="1940" w:val="left"/>
        </w:tabs>
        <w:rPr>
          <w:sz w:val="20"/>
          <w:szCs w:val="20"/>
          <w:color w:val="auto"/>
        </w:rPr>
      </w:pPr>
      <w:r>
        <w:rPr>
          <w:rFonts w:ascii="Times New Roman" w:cs="Times New Roman" w:eastAsia="Times New Roman" w:hAnsi="Times New Roman"/>
          <w:sz w:val="18"/>
          <w:szCs w:val="18"/>
          <w:color w:val="auto"/>
        </w:rPr>
        <w:t>11.2.12</w:t>
      </w:r>
      <w:r>
        <w:rPr>
          <w:sz w:val="20"/>
          <w:szCs w:val="20"/>
          <w:color w:val="auto"/>
        </w:rPr>
        <w:tab/>
      </w:r>
      <w:r>
        <w:rPr>
          <w:rFonts w:ascii="Times New Roman" w:cs="Times New Roman" w:eastAsia="Times New Roman" w:hAnsi="Times New Roman"/>
          <w:sz w:val="18"/>
          <w:szCs w:val="18"/>
          <w:b w:val="1"/>
          <w:bCs w:val="1"/>
          <w:color w:val="auto"/>
        </w:rPr>
        <w:t>Responsibility for Costs</w:t>
      </w:r>
      <w:r>
        <w:rPr>
          <w:rFonts w:ascii="Times New Roman" w:cs="Times New Roman" w:eastAsia="Times New Roman" w:hAnsi="Times New Roman"/>
          <w:sz w:val="18"/>
          <w:szCs w:val="18"/>
          <w:color w:val="auto"/>
        </w:rPr>
        <w:t>. Except as otherwise set forth in this Section 11.1 (Right to Opt-Out), each Party will bear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with respect to the activities set forth in this Section 11.1 (Opt-Out Right).</w:t>
      </w:r>
    </w:p>
    <w:p>
      <w:pPr>
        <w:spacing w:after="0" w:line="3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Re-Opt-In Right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both"/>
        <w:ind w:left="1960" w:right="40" w:hanging="985"/>
        <w:spacing w:after="0" w:line="268" w:lineRule="auto"/>
        <w:tabs>
          <w:tab w:leader="none" w:pos="1940" w:val="left"/>
        </w:tabs>
        <w:rPr>
          <w:sz w:val="20"/>
          <w:szCs w:val="20"/>
          <w:color w:val="auto"/>
        </w:rPr>
      </w:pPr>
      <w:r>
        <w:rPr>
          <w:rFonts w:ascii="Times New Roman" w:cs="Times New Roman" w:eastAsia="Times New Roman" w:hAnsi="Times New Roman"/>
          <w:sz w:val="18"/>
          <w:szCs w:val="18"/>
          <w:color w:val="auto"/>
        </w:rPr>
        <w:t>11.3.1</w:t>
      </w:r>
      <w:r>
        <w:rPr>
          <w:sz w:val="20"/>
          <w:szCs w:val="20"/>
          <w:color w:val="auto"/>
        </w:rPr>
        <w:tab/>
      </w:r>
      <w:r>
        <w:rPr>
          <w:rFonts w:ascii="Times New Roman" w:cs="Times New Roman" w:eastAsia="Times New Roman" w:hAnsi="Times New Roman"/>
          <w:sz w:val="18"/>
          <w:szCs w:val="18"/>
          <w:b w:val="1"/>
          <w:bCs w:val="1"/>
          <w:color w:val="auto"/>
        </w:rPr>
        <w:t>Option to Re-Opt-In</w:t>
      </w:r>
      <w:r>
        <w:rPr>
          <w:rFonts w:ascii="Times New Roman" w:cs="Times New Roman" w:eastAsia="Times New Roman" w:hAnsi="Times New Roman"/>
          <w:sz w:val="18"/>
          <w:szCs w:val="18"/>
          <w:color w:val="auto"/>
        </w:rPr>
        <w:t>. At any time during the period starting from [***], if the Continuing Party has not already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Out-Licensing Transaction, then the Opt-Out Party will have the option to reinstate its participation in the Program as set forth in Section 11.3 (“</w:t>
      </w:r>
      <w:r>
        <w:rPr>
          <w:rFonts w:ascii="Times New Roman" w:cs="Times New Roman" w:eastAsia="Times New Roman" w:hAnsi="Times New Roman"/>
          <w:sz w:val="18"/>
          <w:szCs w:val="18"/>
          <w:b w:val="1"/>
          <w:bCs w:val="1"/>
          <w:color w:val="auto"/>
        </w:rPr>
        <w:t>Re-Opt-In</w:t>
      </w:r>
      <w:r>
        <w:rPr>
          <w:rFonts w:ascii="Times New Roman" w:cs="Times New Roman" w:eastAsia="Times New Roman" w:hAnsi="Times New Roman"/>
          <w:sz w:val="18"/>
          <w:szCs w:val="18"/>
          <w:color w:val="auto"/>
        </w:rPr>
        <w:t>”); provided that, [***].</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447" w:name="page448"/>
    <w:bookmarkEnd w:id="447"/>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11.3.2</w:t>
      </w:r>
      <w:r>
        <w:rPr>
          <w:sz w:val="20"/>
          <w:szCs w:val="20"/>
          <w:color w:val="auto"/>
        </w:rPr>
        <w:tab/>
      </w:r>
      <w:r>
        <w:rPr>
          <w:rFonts w:ascii="Times New Roman" w:cs="Times New Roman" w:eastAsia="Times New Roman" w:hAnsi="Times New Roman"/>
          <w:sz w:val="17"/>
          <w:szCs w:val="17"/>
          <w:b w:val="1"/>
          <w:bCs w:val="1"/>
          <w:color w:val="auto"/>
        </w:rPr>
        <w:t>Exercise of Re-Opt-In</w:t>
      </w:r>
      <w:r>
        <w:rPr>
          <w:rFonts w:ascii="Times New Roman" w:cs="Times New Roman" w:eastAsia="Times New Roman" w:hAnsi="Times New Roman"/>
          <w:sz w:val="17"/>
          <w:szCs w:val="17"/>
          <w:color w:val="auto"/>
        </w:rPr>
        <w:t>. In order to exercise a Party’s option to Re-Opt-In, (a) the Opt-Out Party must provide a notice of</w:t>
      </w:r>
    </w:p>
    <w:p>
      <w:pPr>
        <w:spacing w:after="0" w:line="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Re-Opt-In to the Continuing Party prior to the Re-Opt-In Deadline, (b) within [***] of such notice, the Continuing Party will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notify the Opt-Out Party of the amount of the Re-Opt-In Payment, including providing reasonable details (consistent with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level of details provided in a Reconciliation Report) on the calculation of such amount, and (c) within [***] of such notice in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clause (b) [***], the Opt-Out Party will pay the Continuing Party the Re-Opt-In Payment (the date of such payment, the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Re-Opt-In Date</w:t>
      </w:r>
      <w:r>
        <w:rPr>
          <w:rFonts w:ascii="Times New Roman" w:cs="Times New Roman" w:eastAsia="Times New Roman" w:hAnsi="Times New Roman"/>
          <w:sz w:val="18"/>
          <w:szCs w:val="18"/>
          <w:color w:val="auto"/>
        </w:rPr>
        <w:t>”). If the Opt-Out Party fails to make such payment to the Continuing Party within such [***] period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then the Opt-Out Party’s right to Re-Opt-In will be deemed to have terminated without a Re-Opt-In, unless such failure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make such payment is cured within the [***] period after receipt of written notice from the Continuing Party. Any disputes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between the Parties relating to the calculation of the Re-Opt-In Payment under this Section 11.3.2 (Exercise of Re-Opt-In)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shall be finally resolved by a Third Party independent financial expert, reasonably agreed by both Parties, that will have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reasonable access to inspect such books and records of the Continuing Party (as set forth in Section 12.5.1 (Books and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Records)) to determine such Re-Opt-In Payment amount.</w:t>
      </w:r>
    </w:p>
    <w:p>
      <w:pPr>
        <w:spacing w:after="0" w:line="108" w:lineRule="exact"/>
        <w:rPr>
          <w:sz w:val="20"/>
          <w:szCs w:val="20"/>
          <w:color w:val="auto"/>
        </w:rPr>
      </w:pPr>
    </w:p>
    <w:p>
      <w:pPr>
        <w:ind w:left="1960" w:right="20" w:hanging="985"/>
        <w:spacing w:after="0" w:line="254" w:lineRule="auto"/>
        <w:tabs>
          <w:tab w:leader="none" w:pos="1940" w:val="left"/>
        </w:tabs>
        <w:rPr>
          <w:sz w:val="20"/>
          <w:szCs w:val="20"/>
          <w:color w:val="auto"/>
        </w:rPr>
      </w:pPr>
      <w:r>
        <w:rPr>
          <w:rFonts w:ascii="Times New Roman" w:cs="Times New Roman" w:eastAsia="Times New Roman" w:hAnsi="Times New Roman"/>
          <w:sz w:val="18"/>
          <w:szCs w:val="18"/>
          <w:color w:val="auto"/>
        </w:rPr>
        <w:t>11.3.3</w:t>
      </w:r>
      <w:r>
        <w:rPr>
          <w:sz w:val="20"/>
          <w:szCs w:val="20"/>
          <w:color w:val="auto"/>
        </w:rPr>
        <w:tab/>
      </w:r>
      <w:r>
        <w:rPr>
          <w:rFonts w:ascii="Times New Roman" w:cs="Times New Roman" w:eastAsia="Times New Roman" w:hAnsi="Times New Roman"/>
          <w:sz w:val="18"/>
          <w:szCs w:val="18"/>
          <w:b w:val="1"/>
          <w:bCs w:val="1"/>
          <w:color w:val="auto"/>
        </w:rPr>
        <w:t>Terms on Re-Opt-In</w:t>
      </w:r>
      <w:r>
        <w:rPr>
          <w:rFonts w:ascii="Times New Roman" w:cs="Times New Roman" w:eastAsia="Times New Roman" w:hAnsi="Times New Roman"/>
          <w:sz w:val="18"/>
          <w:szCs w:val="18"/>
          <w:color w:val="auto"/>
        </w:rPr>
        <w:t>. Upon the occurrence of the Re-Opt-In Date, (a) the terms in Section 11.2.1 (No Obligations)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11.2.7 (Dissolution of the JSC) will be deemed void with respect to the prior Opt-Out, and, as of the Re-Opt-In Date, the Agreement will be interpreted as if these terms did not take effect; provided that, the Opt-Out Party would not be responsible for any of obligations to conduct activities under the Research Plan, Development Plan or Commercialization Plan, as applicable, that the Opt-Out Party would have been required to conduct during the period between the Opt-Out Date and the Re-Opt-In Date had the Opt-Out Party not Opted-Out, and (b) the Party that was an Opt-Out Party will no longer be deemed an Opt-Out Party under this Agreement, and (c) as of the Re-Opt-In Date, for any terms that are contingent upon an Opt-Out occurring or not occurring, those terms will be interpreted as if an Opt-Out had not yet occurred under this Agreement.</w:t>
      </w: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Collaboration Profit and Loss Sharing</w:t>
      </w:r>
      <w:r>
        <w:rPr>
          <w:rFonts w:ascii="Times New Roman" w:cs="Times New Roman" w:eastAsia="Times New Roman" w:hAnsi="Times New Roman"/>
          <w:sz w:val="17"/>
          <w:szCs w:val="17"/>
          <w:color w:val="auto"/>
        </w:rPr>
        <w:t>. From (a) the Effective Date until the earlier of (i) the Opt-Out Date if a Party Opts-Out, and</w:t>
      </w:r>
    </w:p>
    <w:p>
      <w:pPr>
        <w:spacing w:after="0" w:line="31" w:lineRule="exact"/>
        <w:rPr>
          <w:sz w:val="20"/>
          <w:szCs w:val="20"/>
          <w:color w:val="auto"/>
        </w:rPr>
      </w:pPr>
    </w:p>
    <w:p>
      <w:pPr>
        <w:ind w:left="1240" w:hanging="259"/>
        <w:spacing w:after="0"/>
        <w:tabs>
          <w:tab w:leader="none" w:pos="12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expiration or termination of this Agreement, and (b) the date of Re-Opt-In of an Opt-Out Party until the earlier of</w:t>
      </w:r>
    </w:p>
    <w:p>
      <w:pPr>
        <w:spacing w:after="0" w:line="9" w:lineRule="exact"/>
        <w:rPr>
          <w:rFonts w:ascii="Times New Roman" w:cs="Times New Roman" w:eastAsia="Times New Roman" w:hAnsi="Times New Roman"/>
          <w:sz w:val="18"/>
          <w:szCs w:val="18"/>
          <w:color w:val="auto"/>
        </w:rPr>
      </w:pPr>
    </w:p>
    <w:p>
      <w:pPr>
        <w:ind w:left="980" w:right="320" w:firstLine="1"/>
        <w:spacing w:after="0" w:line="255" w:lineRule="auto"/>
        <w:tabs>
          <w:tab w:leader="none" w:pos="11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Opt-Out Date if a Party Opts-Out and (ii) the effective date of expiration or termination of this Agreement, in each case ((a) and (b)), the Parties will equally share (50:50) Collaboration Profits and Collaboration Losses in accordance with this Section 12.1 (Collaboration Profit and Loss Sharing).</w:t>
      </w:r>
    </w:p>
    <w:p>
      <w:pPr>
        <w:spacing w:after="0" w:line="87" w:lineRule="exact"/>
        <w:rPr>
          <w:sz w:val="20"/>
          <w:szCs w:val="20"/>
          <w:color w:val="auto"/>
        </w:rPr>
      </w:pPr>
    </w:p>
    <w:p>
      <w:pPr>
        <w:ind w:left="1960" w:right="100" w:hanging="985"/>
        <w:spacing w:after="0" w:line="262" w:lineRule="auto"/>
        <w:tabs>
          <w:tab w:leader="none" w:pos="194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b w:val="1"/>
          <w:bCs w:val="1"/>
          <w:color w:val="auto"/>
        </w:rPr>
        <w:t>Reconciliation of Collaboration Profits and Losses</w:t>
      </w:r>
      <w:r>
        <w:rPr>
          <w:rFonts w:ascii="Times New Roman" w:cs="Times New Roman" w:eastAsia="Times New Roman" w:hAnsi="Times New Roman"/>
          <w:sz w:val="18"/>
          <w:szCs w:val="18"/>
          <w:color w:val="auto"/>
        </w:rPr>
        <w:t>. [***], each Party will provide to the other Party an accurate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report detailing all costs incurred and payments received by such Party and its Affiliates that would be included in the calculation of the Collaboration Profits and Collaboration Losses, broken out by cost or payment category agreed by the JSC, [***] (the “</w:t>
      </w:r>
      <w:r>
        <w:rPr>
          <w:rFonts w:ascii="Times New Roman" w:cs="Times New Roman" w:eastAsia="Times New Roman" w:hAnsi="Times New Roman"/>
          <w:sz w:val="18"/>
          <w:szCs w:val="18"/>
          <w:b w:val="1"/>
          <w:bCs w:val="1"/>
          <w:color w:val="auto"/>
        </w:rPr>
        <w:t>Reconciliation Report</w:t>
      </w:r>
      <w:r>
        <w:rPr>
          <w:rFonts w:ascii="Times New Roman" w:cs="Times New Roman" w:eastAsia="Times New Roman" w:hAnsi="Times New Roman"/>
          <w:sz w:val="18"/>
          <w:szCs w:val="18"/>
          <w:color w:val="auto"/>
        </w:rPr>
        <w:t>”). The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6" w:right="479" w:bottom="1440" w:gutter="0" w:footer="0" w:header="0"/>
        </w:sectPr>
      </w:pPr>
    </w:p>
    <w:bookmarkStart w:id="448" w:name="page449"/>
    <w:bookmarkEnd w:id="448"/>
    <w:p>
      <w:pPr>
        <w:ind w:left="98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Reconciliation Report will provide reasonable detail for each such cost or income amount, as agreed to by the JSC. Each Party will provide reasonable supporting documentation for such costs at the request of the other Party. In addition, within [***], Within [***] based on such reports, and the amount of any reimbursement payment owed by one Party to the other, such that the Collaboration Profit or Collaboration Losses, as applicable, will be shared equally (50:50) between the Parties, and will notify the other Party of such reimbursement payment amount. The Party owing such reimbursement payment will pay such amount to the other Party within [***] after [***] has delivered such notice of the reimbursement payment amount. In the event of any disagreement with respect to the calculation of any such payment under this Section 12.1.1 (Shared Research Costs; Shared Development Costs), the Parties will have an additional [***] to discuss such dispute, but any undisputed portion of such payment will be paid within such [***] If the Parties do not resolve the dispute in such additional</w:t>
      </w:r>
    </w:p>
    <w:p>
      <w:pPr>
        <w:spacing w:after="0" w:line="6" w:lineRule="exact"/>
        <w:rPr>
          <w:sz w:val="20"/>
          <w:szCs w:val="20"/>
          <w:color w:val="auto"/>
        </w:rPr>
      </w:pPr>
    </w:p>
    <w:p>
      <w:pPr>
        <w:ind w:left="980" w:firstLine="7"/>
        <w:spacing w:after="0" w:line="260" w:lineRule="auto"/>
        <w:tabs>
          <w:tab w:leader="none" w:pos="141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period, the Parties will follow the dispute resolution procedure under Section 18.1 (Dispute Resolution). For clarity, each Reconciliation Report provided by a Party will be the Confidential Information of such Party.</w:t>
      </w:r>
    </w:p>
    <w:p>
      <w:pPr>
        <w:spacing w:after="0" w:line="3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b w:val="1"/>
          <w:bCs w:val="1"/>
          <w:color w:val="auto"/>
        </w:rPr>
        <w:t>Amendments to Reconciliation Process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420" w:right="80" w:hanging="433"/>
        <w:spacing w:after="0" w:line="255" w:lineRule="auto"/>
        <w:tabs>
          <w:tab w:leader="none" w:pos="14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each Party may propose amendments to (i) the calculation of Collaboration Profit or Collaboration Losses in order to account for any costs incurred or payments received by the Parties or their Affiliates from the Exploitation of Licensed Compounds and Licensed Products that are currently not accounted for in the then-current definitions of Collaboration Profit or Collaboration Loss, as applicable, and (ii) the procedures for reconciling and determining amounts owed with respect to the sharing of Collaboration Profit and Collaboration Losses; provided that no such amendments will be effective until approved by the Parties in writing in accordance with Section 18.9 (Amendment; Waiver).</w:t>
      </w:r>
    </w:p>
    <w:p>
      <w:pPr>
        <w:spacing w:after="0" w:line="94"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000"/>
          </w:cols>
          <w:pgMar w:left="1420" w:top="270" w:right="479" w:bottom="1440" w:gutter="0" w:footer="0" w:header="0"/>
        </w:sectPr>
      </w:pPr>
    </w:p>
    <w:bookmarkStart w:id="449" w:name="page450"/>
    <w:bookmarkEnd w:id="44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w:t>
      </w:r>
      <w:r>
        <w:rPr>
          <w:sz w:val="20"/>
          <w:szCs w:val="20"/>
          <w:color w:val="auto"/>
        </w:rPr>
        <w:tab/>
      </w:r>
      <w:r>
        <w:rPr>
          <w:rFonts w:ascii="Times New Roman" w:cs="Times New Roman" w:eastAsia="Times New Roman" w:hAnsi="Times New Roman"/>
          <w:sz w:val="17"/>
          <w:szCs w:val="17"/>
          <w:b w:val="1"/>
          <w:bCs w:val="1"/>
          <w:color w:val="auto"/>
        </w:rPr>
        <w:t>Payments Following Opt-Out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960" w:hanging="985"/>
        <w:spacing w:after="0" w:line="257" w:lineRule="auto"/>
        <w:tabs>
          <w:tab w:leader="none" w:pos="1940" w:val="left"/>
        </w:tabs>
        <w:rPr>
          <w:sz w:val="20"/>
          <w:szCs w:val="20"/>
          <w:color w:val="auto"/>
        </w:rPr>
      </w:pPr>
      <w:r>
        <w:rPr>
          <w:rFonts w:ascii="Times New Roman" w:cs="Times New Roman" w:eastAsia="Times New Roman" w:hAnsi="Times New Roman"/>
          <w:sz w:val="18"/>
          <w:szCs w:val="18"/>
          <w:color w:val="auto"/>
        </w:rPr>
        <w:t>12.2.1</w:t>
      </w:r>
      <w:r>
        <w:rPr>
          <w:sz w:val="20"/>
          <w:szCs w:val="20"/>
          <w:color w:val="auto"/>
        </w:rPr>
        <w:tab/>
      </w:r>
      <w:r>
        <w:rPr>
          <w:rFonts w:ascii="Times New Roman" w:cs="Times New Roman" w:eastAsia="Times New Roman" w:hAnsi="Times New Roman"/>
          <w:sz w:val="18"/>
          <w:szCs w:val="18"/>
          <w:b w:val="1"/>
          <w:bCs w:val="1"/>
          <w:color w:val="auto"/>
        </w:rPr>
        <w:t>Out-Licensing Net Proceeds Sharing</w:t>
      </w:r>
      <w:r>
        <w:rPr>
          <w:rFonts w:ascii="Times New Roman" w:cs="Times New Roman" w:eastAsia="Times New Roman" w:hAnsi="Times New Roman"/>
          <w:sz w:val="18"/>
          <w:szCs w:val="18"/>
          <w:color w:val="auto"/>
        </w:rPr>
        <w:t>. Subject to Section 12.3 (Continuing Party Cost Offset), in the event of an Opt-Out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Party in accordance with Article 11 (Opt-Out Rights), and notwithstanding any provision to the contrary set forth in any Out-Licensing Agreement, the Opt-Out Party will be entitled to a percentage of Out-Licensing Net Proceeds (if any) during the Term following the Opt-Out Date (unless and until any Re-Opt-In by such Opt-Out Party), as set forth in </w:t>
      </w:r>
      <w:r>
        <w:rPr>
          <w:rFonts w:ascii="Times New Roman" w:cs="Times New Roman" w:eastAsia="Times New Roman" w:hAnsi="Times New Roman"/>
          <w:sz w:val="18"/>
          <w:szCs w:val="18"/>
          <w:b w:val="1"/>
          <w:bCs w:val="1"/>
          <w:color w:val="auto"/>
        </w:rPr>
        <w:t>Schedule 12.2.1</w:t>
      </w:r>
      <w:r>
        <w:rPr>
          <w:rFonts w:ascii="Times New Roman" w:cs="Times New Roman" w:eastAsia="Times New Roman" w:hAnsi="Times New Roman"/>
          <w:sz w:val="18"/>
          <w:szCs w:val="18"/>
          <w:color w:val="auto"/>
        </w:rPr>
        <w:t xml:space="preserve"> (Out-Licensing Net Proceeds Sharing) [***] (the “</w:t>
      </w:r>
      <w:r>
        <w:rPr>
          <w:rFonts w:ascii="Times New Roman" w:cs="Times New Roman" w:eastAsia="Times New Roman" w:hAnsi="Times New Roman"/>
          <w:sz w:val="18"/>
          <w:szCs w:val="18"/>
          <w:b w:val="1"/>
          <w:bCs w:val="1"/>
          <w:color w:val="auto"/>
        </w:rPr>
        <w:t>Opt-Out Out-Licensing Share</w:t>
      </w:r>
      <w:r>
        <w:rPr>
          <w:rFonts w:ascii="Times New Roman" w:cs="Times New Roman" w:eastAsia="Times New Roman" w:hAnsi="Times New Roman"/>
          <w:sz w:val="18"/>
          <w:szCs w:val="18"/>
          <w:color w:val="auto"/>
        </w:rPr>
        <w:t>”), and the Continuing Party will be entitled to any remaining portion of Out-Licensing Net Proceeds.</w:t>
      </w:r>
    </w:p>
    <w:p>
      <w:pPr>
        <w:spacing w:after="0" w:line="88" w:lineRule="exact"/>
        <w:rPr>
          <w:sz w:val="20"/>
          <w:szCs w:val="20"/>
          <w:color w:val="auto"/>
        </w:rPr>
      </w:pPr>
    </w:p>
    <w:p>
      <w:pPr>
        <w:ind w:left="1960" w:hanging="985"/>
        <w:spacing w:after="0" w:line="256" w:lineRule="auto"/>
        <w:tabs>
          <w:tab w:leader="none" w:pos="194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8"/>
          <w:szCs w:val="18"/>
          <w:b w:val="1"/>
          <w:bCs w:val="1"/>
          <w:color w:val="auto"/>
        </w:rPr>
        <w:t xml:space="preserve">Opt-Out Out-Licensing Share Report. </w:t>
      </w:r>
      <w:r>
        <w:rPr>
          <w:rFonts w:ascii="Times New Roman" w:cs="Times New Roman" w:eastAsia="Times New Roman" w:hAnsi="Times New Roman"/>
          <w:sz w:val="18"/>
          <w:szCs w:val="18"/>
          <w:color w:val="auto"/>
        </w:rPr>
        <w:t>Within [***] during the Term following the Opt-Out Date, the Continuing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provide to the other Party an accurate and complete report detailing (a) the costs incurred and payments received by such Party and its Affiliates that would be included in the calculation of Out-Licensing Net Proceeds, broken out by cost or payment category, and (b) the amount of Opt-Out Out-Licensing Share payable by the Continuing Party to the Opt-Out Party, in each case, [***] in accordance with such Party’s accounting standards consistently applied (the “</w:t>
      </w:r>
      <w:r>
        <w:rPr>
          <w:rFonts w:ascii="Times New Roman" w:cs="Times New Roman" w:eastAsia="Times New Roman" w:hAnsi="Times New Roman"/>
          <w:sz w:val="18"/>
          <w:szCs w:val="18"/>
          <w:b w:val="1"/>
          <w:bCs w:val="1"/>
          <w:color w:val="auto"/>
        </w:rPr>
        <w:t>Opt-Out Out-Licensing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Report</w:t>
      </w:r>
      <w:r>
        <w:rPr>
          <w:rFonts w:ascii="Times New Roman" w:cs="Times New Roman" w:eastAsia="Times New Roman" w:hAnsi="Times New Roman"/>
          <w:sz w:val="18"/>
          <w:szCs w:val="18"/>
          <w:color w:val="auto"/>
        </w:rPr>
        <w:t>”). The Continuing Party will make all Opt-Out Out-Licensing Share payments for each Calendar Year no later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 after the end of each Calendar Year [***] for the applicable Calendar Year.</w:t>
      </w:r>
    </w:p>
    <w:p>
      <w:pPr>
        <w:spacing w:after="0" w:line="88" w:lineRule="exact"/>
        <w:rPr>
          <w:sz w:val="20"/>
          <w:szCs w:val="20"/>
          <w:color w:val="auto"/>
        </w:rPr>
      </w:pPr>
    </w:p>
    <w:p>
      <w:pPr>
        <w:ind w:left="1960" w:hanging="985"/>
        <w:spacing w:after="0" w:line="254" w:lineRule="auto"/>
        <w:tabs>
          <w:tab w:leader="none" w:pos="194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The Parties acknowledge and agree that the process set forth in Section 12.2.1 (Out-Licensing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Proceeds Sharing) and Section 12.2.2 (Opt-Out Out-Licensing Share Report) assumes that the Opt-Out Party will not be a party to the applicable Out-Licensing Agreement and will not directly receive any payments or incur any costs in connection with any Out-Licensing Transaction entered into by the Continuing Party following the Opt-Out Date. In the event that the Opt-Out Party is a party to the applicable Out-Licensing Agreement and does receive payments (other than the Opt-Out Out-Licensing Share) or incur costs in connection with the Out-Licensing Transaction, then the Opt-Out Party will provide any necessary information and each Party will make any necessary payments as to give effect to the allocation of Out-Licensing Net Proceeds set forth in Section 12.2.1 (Out-Licensing Net Proceeds Sharing), and the reporting and payment procedure in 12.1.1 (Reconciliation of Collaboration Profits and Losses)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12.2.4</w:t>
      </w:r>
      <w:r>
        <w:rPr>
          <w:sz w:val="20"/>
          <w:szCs w:val="20"/>
          <w:color w:val="auto"/>
        </w:rPr>
        <w:tab/>
      </w:r>
      <w:r>
        <w:rPr>
          <w:rFonts w:ascii="Times New Roman" w:cs="Times New Roman" w:eastAsia="Times New Roman" w:hAnsi="Times New Roman"/>
          <w:sz w:val="17"/>
          <w:szCs w:val="17"/>
          <w:b w:val="1"/>
          <w:bCs w:val="1"/>
          <w:color w:val="auto"/>
        </w:rPr>
        <w:t>Opt-Out Royalties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2400" w:right="120" w:hanging="433"/>
        <w:spacing w:after="0" w:line="255" w:lineRule="auto"/>
        <w:tabs>
          <w:tab w:leader="none" w:pos="24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Subject to Section 12.3 (Continuing Party Cost Offset), on a country-by-country basis, if and only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that (i) a Party has Opted-Out, (ii) no Out-Licensing Transaction has been entered into with respect to the applicable Licensed Product for such country in the Territory, and (iii) the Continuing Party or its Affiliates is Commercializing one or more Licensed Products in such country, then, until the expiration of the applicable Royalty Term for such Licensed Product and such country, the Continuing Party will pay the Opt-Out Party a royalty on Net Sales of such Licensed Product at the applicable rates set forth in </w:t>
      </w:r>
      <w:r>
        <w:rPr>
          <w:rFonts w:ascii="Times New Roman" w:cs="Times New Roman" w:eastAsia="Times New Roman" w:hAnsi="Times New Roman"/>
          <w:sz w:val="18"/>
          <w:szCs w:val="18"/>
          <w:b w:val="1"/>
          <w:bCs w:val="1"/>
          <w:color w:val="auto"/>
        </w:rPr>
        <w:t>Schedule 12.2.4</w:t>
      </w:r>
      <w:r>
        <w:rPr>
          <w:rFonts w:ascii="Times New Roman" w:cs="Times New Roman" w:eastAsia="Times New Roman" w:hAnsi="Times New Roman"/>
          <w:sz w:val="18"/>
          <w:szCs w:val="18"/>
          <w:color w:val="auto"/>
        </w:rPr>
        <w:t xml:space="preserve"> (Opt-Out Royalty) for each Licensed Product and such country, in each case, that are not the subject of an Out-Licensing Transaction in such country, in each Calendar Year (“</w:t>
      </w:r>
      <w:r>
        <w:rPr>
          <w:rFonts w:ascii="Times New Roman" w:cs="Times New Roman" w:eastAsia="Times New Roman" w:hAnsi="Times New Roman"/>
          <w:sz w:val="18"/>
          <w:szCs w:val="18"/>
          <w:b w:val="1"/>
          <w:bCs w:val="1"/>
          <w:color w:val="auto"/>
        </w:rPr>
        <w:t>Opt-Out Royalty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6" w:right="459" w:bottom="1440" w:gutter="0" w:footer="0" w:header="0"/>
        </w:sectPr>
      </w:pPr>
    </w:p>
    <w:bookmarkStart w:id="450" w:name="page451"/>
    <w:bookmarkEnd w:id="450"/>
    <w:p>
      <w:pPr>
        <w:ind w:left="1400" w:hanging="433"/>
        <w:spacing w:after="0"/>
        <w:tabs>
          <w:tab w:leader="none" w:pos="14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to Royalty Payments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40" w:hanging="428"/>
        <w:spacing w:after="0"/>
        <w:tabs>
          <w:tab w:leader="none" w:pos="18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Royalty Reduction </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840" w:hanging="428"/>
        <w:spacing w:after="0"/>
        <w:tabs>
          <w:tab w:leader="none" w:pos="18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40" w:hanging="428"/>
        <w:spacing w:after="0"/>
        <w:tabs>
          <w:tab w:leader="none" w:pos="18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40" w:hanging="428"/>
        <w:spacing w:after="0"/>
        <w:tabs>
          <w:tab w:leader="none" w:pos="18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9019"/>
          </w:cols>
          <w:pgMar w:left="1440" w:top="266" w:right="1440" w:bottom="1440" w:gutter="0" w:footer="0" w:header="0"/>
        </w:sectPr>
      </w:pPr>
    </w:p>
    <w:bookmarkStart w:id="451" w:name="page452"/>
    <w:bookmarkEnd w:id="451"/>
    <w:p>
      <w:pPr>
        <w:ind w:left="2840" w:hanging="428"/>
        <w:spacing w:after="0"/>
        <w:tabs>
          <w:tab w:leader="none" w:pos="28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26" w:lineRule="exact"/>
        <w:rPr>
          <w:rFonts w:ascii="Times New Roman" w:cs="Times New Roman" w:eastAsia="Times New Roman" w:hAnsi="Times New Roman"/>
          <w:sz w:val="18"/>
          <w:szCs w:val="18"/>
          <w:color w:val="auto"/>
        </w:rPr>
      </w:pPr>
    </w:p>
    <w:p>
      <w:pPr>
        <w:ind w:left="2400" w:hanging="433"/>
        <w:spacing w:after="0" w:line="255" w:lineRule="auto"/>
        <w:tabs>
          <w:tab w:leader="none" w:pos="24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Reports; Payments</w:t>
      </w:r>
      <w:r>
        <w:rPr>
          <w:rFonts w:ascii="Times New Roman" w:cs="Times New Roman" w:eastAsia="Times New Roman" w:hAnsi="Times New Roman"/>
          <w:sz w:val="18"/>
          <w:szCs w:val="18"/>
          <w:color w:val="auto"/>
        </w:rPr>
        <w:t>. Commencing on [***], no later than [***] after the end of each Calendar Quarter,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Party will provide to the Opt- Out Party a written report (each, a “</w:t>
      </w:r>
      <w:r>
        <w:rPr>
          <w:rFonts w:ascii="Times New Roman" w:cs="Times New Roman" w:eastAsia="Times New Roman" w:hAnsi="Times New Roman"/>
          <w:sz w:val="18"/>
          <w:szCs w:val="18"/>
          <w:b w:val="1"/>
          <w:bCs w:val="1"/>
          <w:color w:val="auto"/>
        </w:rPr>
        <w:t>Royalty Report</w:t>
      </w:r>
      <w:r>
        <w:rPr>
          <w:rFonts w:ascii="Times New Roman" w:cs="Times New Roman" w:eastAsia="Times New Roman" w:hAnsi="Times New Roman"/>
          <w:sz w:val="18"/>
          <w:szCs w:val="18"/>
          <w:color w:val="auto"/>
        </w:rPr>
        <w:t>”), which Royalty Report will set forth: [***]. All Royalty Reports will be the Confidential Information of the Continuing Party. The Continuing Party will make all royalty payments for each Calendar Quarter no later than [***] after the end of each Calendar Quarter concurrently with the applicable Royalty Report. The Parties acknowledge and agree that the rights and access to the non-Continuing Party’s Know-How as set forth in the licenses granted herein is material and valuable consideration being provided by such non-Continuing Party, in addition to the licenses and rights being provided with respect to such non-Continuing Party’s Patents.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12.3</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Continuing Party Cost Reimbursement</w:t>
            </w:r>
            <w:r>
              <w:rPr>
                <w:rFonts w:ascii="Times New Roman" w:cs="Times New Roman" w:eastAsia="Times New Roman" w:hAnsi="Times New Roman"/>
                <w:sz w:val="18"/>
                <w:szCs w:val="18"/>
                <w:color w:val="auto"/>
              </w:rPr>
              <w:t>. Notwithstanding any provision to the contrary set forth in this Agreement, [***].</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12.4</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Other Payments</w:t>
            </w:r>
            <w:r>
              <w:rPr>
                <w:rFonts w:ascii="Times New Roman" w:cs="Times New Roman" w:eastAsia="Times New Roman" w:hAnsi="Times New Roman"/>
                <w:sz w:val="18"/>
                <w:szCs w:val="18"/>
                <w:color w:val="auto"/>
              </w:rPr>
              <w:t>. Subject to the terms and conditions of this Agreement, each Party will pay to the other Party any other undisputed</w:t>
            </w:r>
          </w:p>
        </w:tc>
      </w:tr>
      <w:tr>
        <w:trPr>
          <w:trHeight w:val="234"/>
        </w:trPr>
        <w:tc>
          <w:tcPr>
            <w:tcW w:w="640" w:type="dxa"/>
            <w:vAlign w:val="bottom"/>
          </w:tcPr>
          <w:p>
            <w:pPr>
              <w:spacing w:after="0"/>
              <w:rPr>
                <w:sz w:val="20"/>
                <w:szCs w:val="20"/>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amounts due under this Agreement no later than [***] after receipt of an invoice for such amounts.</w:t>
            </w:r>
          </w:p>
        </w:tc>
      </w:tr>
      <w:tr>
        <w:trPr>
          <w:trHeight w:val="58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12.5</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Records and Audits</w:t>
            </w:r>
            <w:r>
              <w:rPr>
                <w:rFonts w:ascii="Times New Roman" w:cs="Times New Roman" w:eastAsia="Times New Roman" w:hAnsi="Times New Roman"/>
                <w:sz w:val="18"/>
                <w:szCs w:val="18"/>
                <w:color w:val="auto"/>
              </w:rPr>
              <w: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12.5.1</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Books and Records</w:t>
            </w:r>
            <w:r>
              <w:rPr>
                <w:rFonts w:ascii="Times New Roman" w:cs="Times New Roman" w:eastAsia="Times New Roman" w:hAnsi="Times New Roman"/>
                <w:sz w:val="18"/>
                <w:szCs w:val="18"/>
                <w:color w:val="auto"/>
                <w:w w:val="99"/>
              </w:rPr>
              <w:t>. Each Party will, and will cause it Affiliates to (a) keep complete, true, and accurate books and records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accordance with GAAP in relation to this</w:t>
            </w:r>
          </w:p>
        </w:tc>
      </w:tr>
      <w:tr>
        <w:trPr>
          <w:trHeight w:val="364"/>
        </w:trPr>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16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1000"/>
          </w:cols>
          <w:pgMar w:left="440" w:top="270" w:right="459" w:bottom="1440" w:gutter="0" w:footer="0" w:header="0"/>
        </w:sectPr>
      </w:pPr>
    </w:p>
    <w:bookmarkStart w:id="452" w:name="page453"/>
    <w:bookmarkEnd w:id="4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including in relation to any costs incurred or payments received by a Party or its Affiliates that are subject to</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sharing by the Parties in accordance with Section 12.1 (Collaboration Profit and Loss Sharing) or Section 12.2 (Payments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Following Opt-Out), Net Sales of Licensed Products and the deductions taken in the calculation of Net Sales in sufficient</w:t>
            </w:r>
          </w:p>
        </w:tc>
      </w:tr>
      <w:tr>
        <w:trPr>
          <w:trHeight w:val="212"/>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detail to enable amounts owed or payable to the other Party hereunder to be determined, and (b) maintain such books and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records for at least [***] following the Calendar Year to which they pertain. Each Party (the “</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may, upon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written request to the other Party, cause an internationally-recognized independent accounting firm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that is</w:t>
            </w:r>
          </w:p>
        </w:tc>
      </w:tr>
      <w:tr>
        <w:trPr>
          <w:trHeight w:val="220"/>
        </w:trPr>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reasonably acceptable to the other Party (the “</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to inspect the relevant records of such Audited Party and its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Affiliates to verify the payments made and amounts reported by the Audited Party and the related reports, statements, and</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books of accounts, as applicable.</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12.5.2</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Audit Procedure</w:t>
            </w:r>
            <w:r>
              <w:rPr>
                <w:rFonts w:ascii="Times New Roman" w:cs="Times New Roman" w:eastAsia="Times New Roman" w:hAnsi="Times New Roman"/>
                <w:sz w:val="18"/>
                <w:szCs w:val="18"/>
                <w:color w:val="auto"/>
              </w:rPr>
              <w:t>. Before beginning its inspection, the Auditor will execute a written agreement acceptable to the Audited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Party pursuant to which the Auditor agrees to keep confidential all information reviewed during such inspection, which</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will contain terms of confidentiality and non-use no less stringent than those set forth in this Agreement.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Auditor will have the right to disclose to the Auditing Party only its conclusions regarding any payments owed under this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Each Party and its Affiliates will make their records available for inspection by the Auditor during regular</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hours at such place or places where such records are customarily kept, upon receipt of reasonable advance notice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the Auditing Party. The records will be reviewed solely to verify the accuracy of the Audited Party’s royalty payments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other payment obligations and compliance with the financial terms of this Agreement.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12.5.3</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Frequency; Overpayments and Underpayments</w:t>
            </w:r>
            <w:r>
              <w:rPr>
                <w:rFonts w:ascii="Times New Roman" w:cs="Times New Roman" w:eastAsia="Times New Roman" w:hAnsi="Times New Roman"/>
                <w:sz w:val="18"/>
                <w:szCs w:val="18"/>
                <w:color w:val="auto"/>
                <w:w w:val="99"/>
              </w:rPr>
              <w:t>. [***] without cause in any Calendar Year [***]. In addition, the Auditing</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Party will only be entitled to audit the books and records of the Audited Party for the [***] prior to the Calendar Year in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which the audit request is made. The Auditing Party agrees to hold in strict confidence all information received and all</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information learned in the course of any audit or inspection, except to the extent necessary to enforce its rights under this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or to the extent required to comply with any Applicable Law or judicial order. The Auditor will provide its audit</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 and basis for any determination to the Audited Party at the time such report is provided to the Auditing Party before it</w:t>
            </w:r>
          </w:p>
        </w:tc>
      </w:tr>
      <w:tr>
        <w:trPr>
          <w:trHeight w:val="214"/>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 considered final. In the event that the final result of the inspection reveals an underpayment or overpayment by either</w:t>
            </w:r>
          </w:p>
        </w:tc>
      </w:tr>
      <w:tr>
        <w:trPr>
          <w:trHeight w:val="218"/>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Party, the underpaid or overpaid amount will be settled promptly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due on any underpayments at the Interest Rate.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Auditing Party will pay for such inspections, as well as its expenses associated with enforcing its rights with respect to</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 payments hereunder; provided that if an underpayment of more than [***] of the total payments due hereunder for the</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applicable year is discovered, then the fees and expenses charged by the Auditor will be paid by the Audited Party.</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12.6</w:t>
            </w: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Currency of Payment</w:t>
            </w:r>
            <w:r>
              <w:rPr>
                <w:rFonts w:ascii="Times New Roman" w:cs="Times New Roman" w:eastAsia="Times New Roman" w:hAnsi="Times New Roman"/>
                <w:sz w:val="18"/>
                <w:szCs w:val="18"/>
                <w:color w:val="auto"/>
              </w:rPr>
              <w:t>. All amounts to be paid by one Party to another Party pursuant to this Agreement will be made in United States</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Dollars. When conversion of payments from any foreign currency is required to be undertaken by a Party, the United States Dollar</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equivalent will be calculated using such Party’s then-current standard exchange rate methodology as applied in its external reporting for</w:t>
            </w:r>
          </w:p>
        </w:tc>
      </w:tr>
      <w:tr>
        <w:trPr>
          <w:trHeight w:val="234"/>
        </w:trPr>
        <w:tc>
          <w:tcPr>
            <w:tcW w:w="6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conversion of foreign currency sales into United States Dollars.</w:t>
            </w:r>
          </w:p>
        </w:tc>
      </w:tr>
      <w:tr>
        <w:trPr>
          <w:trHeight w:val="365"/>
        </w:trPr>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020"/>
          </w:cols>
          <w:pgMar w:left="440" w:top="270" w:right="439" w:bottom="1440" w:gutter="0" w:footer="0" w:header="0"/>
        </w:sectPr>
      </w:pPr>
    </w:p>
    <w:bookmarkStart w:id="453" w:name="page454"/>
    <w:bookmarkEnd w:id="4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12.7</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Late Fees</w:t>
            </w:r>
            <w:r>
              <w:rPr>
                <w:rFonts w:ascii="Times New Roman" w:cs="Times New Roman" w:eastAsia="Times New Roman" w:hAnsi="Times New Roman"/>
                <w:sz w:val="18"/>
                <w:szCs w:val="18"/>
                <w:color w:val="auto"/>
              </w:rPr>
              <w:t>. Each paying Party will pay the other Party interest on any undisputed payments that are not paid on or before the date such</w:t>
            </w:r>
          </w:p>
        </w:tc>
      </w:tr>
      <w:tr>
        <w:trPr>
          <w:trHeight w:val="220"/>
        </w:trPr>
        <w:tc>
          <w:tcPr>
            <w:tcW w:w="640" w:type="dxa"/>
            <w:vAlign w:val="bottom"/>
          </w:tcPr>
          <w:p>
            <w:pPr>
              <w:spacing w:after="0"/>
              <w:rPr>
                <w:sz w:val="19"/>
                <w:szCs w:val="19"/>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payments are due under this Agreement at the prime rate as reported by Citibank N.A.,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 (the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calculated on the</w:t>
            </w:r>
          </w:p>
        </w:tc>
      </w:tr>
      <w:tr>
        <w:trPr>
          <w:trHeight w:val="234"/>
        </w:trPr>
        <w:tc>
          <w:tcPr>
            <w:tcW w:w="640" w:type="dxa"/>
            <w:vAlign w:val="bottom"/>
          </w:tcPr>
          <w:p>
            <w:pPr>
              <w:spacing w:after="0"/>
              <w:rPr>
                <w:sz w:val="20"/>
                <w:szCs w:val="20"/>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number of days that the payment is delinquent.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12.8</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 Refunds; Offsets</w:t>
            </w:r>
            <w:r>
              <w:rPr>
                <w:rFonts w:ascii="Times New Roman" w:cs="Times New Roman" w:eastAsia="Times New Roman" w:hAnsi="Times New Roman"/>
                <w:sz w:val="18"/>
                <w:szCs w:val="18"/>
                <w:color w:val="auto"/>
              </w:rPr>
              <w:t>. Except as expressly set forth under this Agreement, (a) all payments under this Agreement will be irrevocable,</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non-refundable, and non-creditable, and (b) neither Party will have the right to offset, set off, or deduct any amounts from or against the</w:t>
            </w:r>
          </w:p>
        </w:tc>
      </w:tr>
      <w:tr>
        <w:trPr>
          <w:trHeight w:val="234"/>
        </w:trPr>
        <w:tc>
          <w:tcPr>
            <w:tcW w:w="640" w:type="dxa"/>
            <w:vAlign w:val="bottom"/>
          </w:tcPr>
          <w:p>
            <w:pPr>
              <w:spacing w:after="0"/>
              <w:rPr>
                <w:sz w:val="20"/>
                <w:szCs w:val="20"/>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amounts due to the other Party hereunder.</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12.9</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Each Party will be responsible for the payment of all taxes imposed on its share of income arising directly or indirectly from the</w:t>
            </w:r>
          </w:p>
        </w:tc>
      </w:tr>
      <w:tr>
        <w:trPr>
          <w:trHeight w:val="212"/>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efforts of the Parties under this Agreement. The paying Party shall be responsible for any sales or use, goods and services, value-added and</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consumption or other similar fees or taxes imposed on amounts payable pursuant to this Agreement. Either Party (a “</w:t>
            </w:r>
            <w:r>
              <w:rPr>
                <w:rFonts w:ascii="Times New Roman" w:cs="Times New Roman" w:eastAsia="Times New Roman" w:hAnsi="Times New Roman"/>
                <w:sz w:val="18"/>
                <w:szCs w:val="18"/>
                <w:b w:val="1"/>
                <w:bCs w:val="1"/>
                <w:color w:val="auto"/>
                <w:w w:val="99"/>
              </w:rPr>
              <w:t>Withholding Party</w:t>
            </w:r>
            <w:r>
              <w:rPr>
                <w:rFonts w:ascii="Times New Roman" w:cs="Times New Roman" w:eastAsia="Times New Roman" w:hAnsi="Times New Roman"/>
                <w:sz w:val="18"/>
                <w:szCs w:val="18"/>
                <w:color w:val="auto"/>
                <w:w w:val="99"/>
              </w:rPr>
              <w:t>”)</w:t>
            </w:r>
          </w:p>
        </w:tc>
      </w:tr>
      <w:tr>
        <w:trPr>
          <w:trHeight w:val="220"/>
        </w:trPr>
        <w:tc>
          <w:tcPr>
            <w:tcW w:w="640" w:type="dxa"/>
            <w:vAlign w:val="bottom"/>
          </w:tcPr>
          <w:p>
            <w:pPr>
              <w:spacing w:after="0"/>
              <w:rPr>
                <w:sz w:val="19"/>
                <w:szCs w:val="19"/>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 withhold from payments due to the other Party (a “</w:t>
            </w:r>
            <w:r>
              <w:rPr>
                <w:rFonts w:ascii="Times New Roman" w:cs="Times New Roman" w:eastAsia="Times New Roman" w:hAnsi="Times New Roman"/>
                <w:sz w:val="18"/>
                <w:szCs w:val="18"/>
                <w:b w:val="1"/>
                <w:bCs w:val="1"/>
                <w:color w:val="auto"/>
              </w:rPr>
              <w:t>Non-Withholding Party</w:t>
            </w:r>
            <w:r>
              <w:rPr>
                <w:rFonts w:ascii="Times New Roman" w:cs="Times New Roman" w:eastAsia="Times New Roman" w:hAnsi="Times New Roman"/>
                <w:sz w:val="18"/>
                <w:szCs w:val="18"/>
                <w:color w:val="auto"/>
              </w:rPr>
              <w:t>”) amounts for payment of any withholding tax that is</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required by Applicable Law to be paid to any Governmental Authority with respect to such payments, which will be remitted in</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accordance with Applicable Law. The Withholding Party will provide to the Non-Withholding Party all relevant documents and</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correspondences, and will also provide to the Non-Withholding Party any other cooperation or assistance on a reasonable basis as may be</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necessary to enable the Non-Withholding Party to claim exemption from such withholding taxes and to receive a refund of such</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withholding tax or claim a foreign tax credit. The Withholding Party will give proper evidence from time to time as to the payment of any</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such tax. The Parties will cooperate with each other in seeking deductions under any double taxation or other similar treaty or agreement</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from time to time in force. Such cooperation may include the Withholding Party making payments from a single source in the U.S., where</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possible. Notwithstanding the foregoing, if a Party assigns its rights and obligations hereunder to, or otherwise causes payments to be</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made to the other Party by, an Affiliate or Third Party pursuant to Section 18.10 (Assignment and Successors) and if the assigning Party or</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such Affiliate or Third Party is required by Applicable Law to withhold any additional taxes from or in respect of any amount payable</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under this Agreement as a result of such assignment, then any such amount payable under this Agreement will be increased to take into</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 the additional taxes withheld as may be necessary so that, after making all required withholdings, the receiving Party receives an</w:t>
            </w:r>
          </w:p>
        </w:tc>
      </w:tr>
      <w:tr>
        <w:trPr>
          <w:trHeight w:val="234"/>
        </w:trPr>
        <w:tc>
          <w:tcPr>
            <w:tcW w:w="640" w:type="dxa"/>
            <w:vAlign w:val="bottom"/>
          </w:tcPr>
          <w:p>
            <w:pPr>
              <w:spacing w:after="0"/>
              <w:rPr>
                <w:sz w:val="20"/>
                <w:szCs w:val="20"/>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 equal to the sum it would have received had no such additional withholding been made.</w:t>
            </w:r>
          </w:p>
        </w:tc>
      </w:tr>
      <w:tr>
        <w:trPr>
          <w:trHeight w:val="626"/>
        </w:trPr>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1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ARTICLE 13</w:t>
            </w:r>
          </w:p>
        </w:tc>
      </w:tr>
      <w:tr>
        <w:trPr>
          <w:trHeight w:val="238"/>
        </w:trPr>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1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INTELLECTUAL PROPERTY</w:t>
            </w:r>
          </w:p>
        </w:tc>
      </w:tr>
      <w:tr>
        <w:trPr>
          <w:trHeight w:val="45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13.1</w:t>
            </w: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w:t>
            </w:r>
          </w:p>
        </w:tc>
        <w:tc>
          <w:tcPr>
            <w:tcW w:w="9100" w:type="dxa"/>
            <w:vAlign w:val="bottom"/>
          </w:tcPr>
          <w:p>
            <w:pPr>
              <w:spacing w:after="0"/>
              <w:rPr>
                <w:sz w:val="24"/>
                <w:szCs w:val="24"/>
                <w:color w:val="auto"/>
              </w:rPr>
            </w:pPr>
          </w:p>
        </w:tc>
      </w:tr>
      <w:tr>
        <w:trPr>
          <w:trHeight w:val="319"/>
        </w:trPr>
        <w:tc>
          <w:tcPr>
            <w:tcW w:w="64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13.1.1</w:t>
            </w:r>
          </w:p>
        </w:tc>
        <w:tc>
          <w:tcPr>
            <w:tcW w:w="9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 by Inventorship</w:t>
            </w:r>
            <w:r>
              <w:rPr>
                <w:rFonts w:ascii="Times New Roman" w:cs="Times New Roman" w:eastAsia="Times New Roman" w:hAnsi="Times New Roman"/>
                <w:sz w:val="18"/>
                <w:szCs w:val="18"/>
                <w:color w:val="auto"/>
              </w:rPr>
              <w:t>. For purposes of determining ownership under this Section 13.1 (Inventions), inventorship will</w:t>
            </w:r>
          </w:p>
        </w:tc>
      </w:tr>
      <w:tr>
        <w:trPr>
          <w:trHeight w:val="234"/>
        </w:trPr>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 determined in accordance with U.S. patent laws (regardless of where the applicable activities occurred).</w:t>
            </w:r>
          </w:p>
        </w:tc>
      </w:tr>
      <w:tr>
        <w:trPr>
          <w:trHeight w:val="338"/>
        </w:trPr>
        <w:tc>
          <w:tcPr>
            <w:tcW w:w="64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13.1.2</w:t>
            </w:r>
          </w:p>
        </w:tc>
        <w:tc>
          <w:tcPr>
            <w:tcW w:w="9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Collaboration Technology </w:t>
            </w:r>
            <w:r>
              <w:rPr>
                <w:rFonts w:ascii="Times New Roman" w:cs="Times New Roman" w:eastAsia="Times New Roman" w:hAnsi="Times New Roman"/>
                <w:sz w:val="18"/>
                <w:szCs w:val="18"/>
                <w:color w:val="auto"/>
              </w:rPr>
              <w:t>[***] The [***].</w:t>
            </w:r>
          </w:p>
        </w:tc>
      </w:tr>
      <w:tr>
        <w:trPr>
          <w:trHeight w:val="365"/>
        </w:trPr>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1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9"/>
              </w:rPr>
              <w:t>-53-</w:t>
            </w:r>
          </w:p>
        </w:tc>
      </w:tr>
    </w:tbl>
    <w:p>
      <w:pPr>
        <w:sectPr>
          <w:pgSz w:w="11900" w:h="16838" w:orient="portrait"/>
          <w:cols w:equalWidth="0" w:num="1">
            <w:col w:w="11000"/>
          </w:cols>
          <w:pgMar w:left="440" w:top="266" w:right="459" w:bottom="1440" w:gutter="0" w:footer="0" w:header="0"/>
        </w:sectPr>
      </w:pPr>
    </w:p>
    <w:bookmarkStart w:id="454" w:name="page455"/>
    <w:bookmarkEnd w:id="454"/>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13.1.3</w:t>
      </w:r>
      <w:r>
        <w:rPr>
          <w:sz w:val="20"/>
          <w:szCs w:val="20"/>
          <w:color w:val="auto"/>
        </w:rPr>
        <w:tab/>
      </w:r>
      <w:r>
        <w:rPr>
          <w:rFonts w:ascii="Times New Roman" w:cs="Times New Roman" w:eastAsia="Times New Roman" w:hAnsi="Times New Roman"/>
          <w:sz w:val="17"/>
          <w:szCs w:val="17"/>
          <w:b w:val="1"/>
          <w:bCs w:val="1"/>
          <w:color w:val="auto"/>
        </w:rPr>
        <w:t>[***] Collaboration Technology</w:t>
      </w:r>
      <w:r>
        <w:rPr>
          <w:rFonts w:ascii="Times New Roman" w:cs="Times New Roman" w:eastAsia="Times New Roman" w:hAnsi="Times New Roman"/>
          <w:sz w:val="17"/>
          <w:szCs w:val="17"/>
          <w:color w:val="auto"/>
        </w:rPr>
        <w:t>. The [***].</w:t>
      </w:r>
    </w:p>
    <w:p>
      <w:pPr>
        <w:spacing w:after="0" w:line="131" w:lineRule="exact"/>
        <w:rPr>
          <w:sz w:val="20"/>
          <w:szCs w:val="20"/>
          <w:color w:val="auto"/>
        </w:rPr>
      </w:pPr>
    </w:p>
    <w:p>
      <w:pPr>
        <w:ind w:left="1960" w:right="60" w:hanging="985"/>
        <w:spacing w:after="0" w:line="255" w:lineRule="auto"/>
        <w:tabs>
          <w:tab w:leader="none" w:pos="1940" w:val="left"/>
        </w:tabs>
        <w:rPr>
          <w:sz w:val="20"/>
          <w:szCs w:val="20"/>
          <w:color w:val="auto"/>
        </w:rPr>
      </w:pPr>
      <w:r>
        <w:rPr>
          <w:rFonts w:ascii="Times New Roman" w:cs="Times New Roman" w:eastAsia="Times New Roman" w:hAnsi="Times New Roman"/>
          <w:sz w:val="18"/>
          <w:szCs w:val="18"/>
          <w:color w:val="auto"/>
        </w:rPr>
        <w:t>13.1.4</w:t>
      </w:r>
      <w:r>
        <w:rPr>
          <w:sz w:val="20"/>
          <w:szCs w:val="20"/>
          <w:color w:val="auto"/>
        </w:rPr>
        <w:tab/>
      </w:r>
      <w:r>
        <w:rPr>
          <w:rFonts w:ascii="Times New Roman" w:cs="Times New Roman" w:eastAsia="Times New Roman" w:hAnsi="Times New Roman"/>
          <w:sz w:val="18"/>
          <w:szCs w:val="18"/>
          <w:b w:val="1"/>
          <w:bCs w:val="1"/>
          <w:color w:val="auto"/>
        </w:rPr>
        <w:t>Joint Collaboration Technology</w:t>
      </w:r>
      <w:r>
        <w:rPr>
          <w:rFonts w:ascii="Times New Roman" w:cs="Times New Roman" w:eastAsia="Times New Roman" w:hAnsi="Times New Roman"/>
          <w:sz w:val="18"/>
          <w:szCs w:val="18"/>
          <w:color w:val="auto"/>
        </w:rPr>
        <w:t>. The Joint Collaboration Technology will be jointly owned by the Parties, with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the free use and enjoyment of such Joint Collaboration Technology, subject to the licenses granted herein. Subject to such terms and conditions of this Agreement, neither Party will have a duty to account to the other or seek any consent with respect to the licensing or Exploitation of Joint Collaboration Technology. To the extent any further consent is required to enable a Party to so license or Exploit its interest in the Joint Collaboration Technology, the other Party hereby grants such consent. Each Party hereby assigns, and will cause its Affiliates to assign, to the other Party a joint, undivided interest in and to its and their rights, title and interests in and to the Joint Collaboration Technology, and the other Party hereby accepts such assignment.</w:t>
      </w:r>
    </w:p>
    <w:p>
      <w:pPr>
        <w:spacing w:after="0" w:line="90"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13.1.5</w:t>
      </w:r>
      <w:r>
        <w:rPr>
          <w:sz w:val="20"/>
          <w:szCs w:val="20"/>
          <w:color w:val="auto"/>
        </w:rPr>
        <w:tab/>
      </w:r>
      <w:r>
        <w:rPr>
          <w:rFonts w:ascii="Times New Roman" w:cs="Times New Roman" w:eastAsia="Times New Roman" w:hAnsi="Times New Roman"/>
          <w:sz w:val="17"/>
          <w:szCs w:val="17"/>
          <w:b w:val="1"/>
          <w:bCs w:val="1"/>
          <w:color w:val="auto"/>
        </w:rPr>
        <w:t>Disclosure</w:t>
      </w:r>
      <w:r>
        <w:rPr>
          <w:rFonts w:ascii="Times New Roman" w:cs="Times New Roman" w:eastAsia="Times New Roman" w:hAnsi="Times New Roman"/>
          <w:sz w:val="17"/>
          <w:szCs w:val="17"/>
          <w:color w:val="auto"/>
        </w:rPr>
        <w:t>. During the Term, (a) each Party will promptly disclose to the other Party all Joint Collaboration Know-How,</w:t>
      </w:r>
    </w:p>
    <w:p>
      <w:pPr>
        <w:spacing w:after="0" w:line="31" w:lineRule="exact"/>
        <w:rPr>
          <w:sz w:val="20"/>
          <w:szCs w:val="20"/>
          <w:color w:val="auto"/>
        </w:rPr>
      </w:pPr>
    </w:p>
    <w:p>
      <w:pPr>
        <w:ind w:left="1960" w:right="60" w:firstLine="7"/>
        <w:spacing w:after="0" w:line="252" w:lineRule="auto"/>
        <w:tabs>
          <w:tab w:leader="none" w:pos="221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Terray will promptly disclose to Odyssey all Odyssey Collaboration Know-How, and, (c) Odyssey will promptly disclose to Terray all Terray Collaboration Know-How, in each case ((a) – (c)), that it develops or invents, whether solely or jointly with others (and in any event, prior to the filing of any patent application with respect to such Know-How), including all invention disclosures or other similar documents submitted to such Party by its or its Affiliates’ employees, agents, or independent contractors relating thereto. Each Party will also respond promptly to reasonable requests from the other Party for additional information relating to such Know-How that it develops or invents.</w:t>
      </w:r>
    </w:p>
    <w:p>
      <w:pPr>
        <w:spacing w:after="0" w:line="91" w:lineRule="exact"/>
        <w:rPr>
          <w:sz w:val="20"/>
          <w:szCs w:val="20"/>
          <w:color w:val="auto"/>
        </w:rPr>
      </w:pPr>
    </w:p>
    <w:p>
      <w:pPr>
        <w:ind w:left="1960" w:right="40" w:hanging="985"/>
        <w:spacing w:after="0" w:line="255" w:lineRule="auto"/>
        <w:tabs>
          <w:tab w:leader="none" w:pos="1940" w:val="left"/>
        </w:tabs>
        <w:rPr>
          <w:sz w:val="20"/>
          <w:szCs w:val="20"/>
          <w:color w:val="auto"/>
        </w:rPr>
      </w:pPr>
      <w:r>
        <w:rPr>
          <w:rFonts w:ascii="Times New Roman" w:cs="Times New Roman" w:eastAsia="Times New Roman" w:hAnsi="Times New Roman"/>
          <w:sz w:val="18"/>
          <w:szCs w:val="18"/>
          <w:color w:val="auto"/>
        </w:rPr>
        <w:t>13.1.6</w:t>
      </w:r>
      <w:r>
        <w:rPr>
          <w:sz w:val="20"/>
          <w:szCs w:val="20"/>
          <w:color w:val="auto"/>
        </w:rPr>
        <w:tab/>
      </w:r>
      <w:r>
        <w:rPr>
          <w:rFonts w:ascii="Times New Roman" w:cs="Times New Roman" w:eastAsia="Times New Roman" w:hAnsi="Times New Roman"/>
          <w:sz w:val="18"/>
          <w:szCs w:val="18"/>
          <w:b w:val="1"/>
          <w:bCs w:val="1"/>
          <w:color w:val="auto"/>
        </w:rPr>
        <w:t>Personnel Obligations</w:t>
      </w:r>
      <w:r>
        <w:rPr>
          <w:rFonts w:ascii="Times New Roman" w:cs="Times New Roman" w:eastAsia="Times New Roman" w:hAnsi="Times New Roman"/>
          <w:sz w:val="18"/>
          <w:szCs w:val="18"/>
          <w:color w:val="auto"/>
        </w:rPr>
        <w:t>. Each Party’s Affiliates, Sublicensees, and its and their employees, agents, or subcontractors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performing work under this Agreement will, prior to commencing such work, be bound by invention assignment obligations, including: (a) promptly reporting any invention, discovery, process or other intellectual property rights; (b) presently assigning to the applicable Party all of his or her rights, title and interests in and to any invention, discovery, process, or other intellectual property rights; (c) cooperating in the prosecution and maintenance and enforcement of any patent and patent application; and (d) performing all acts and signing, executing, acknowledging, and delivering any and all documents required for effecting the obligations and purposes of this Agreement. It is understood and agreed that such invention assignment agreement need not reference or be specific to this Agreement.</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Patent Prosecution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960" w:hanging="985"/>
        <w:spacing w:after="0" w:line="257" w:lineRule="auto"/>
        <w:tabs>
          <w:tab w:leader="none" w:pos="1940" w:val="left"/>
        </w:tabs>
        <w:rPr>
          <w:sz w:val="20"/>
          <w:szCs w:val="20"/>
          <w:color w:val="auto"/>
        </w:rPr>
      </w:pPr>
      <w:r>
        <w:rPr>
          <w:rFonts w:ascii="Times New Roman" w:cs="Times New Roman" w:eastAsia="Times New Roman" w:hAnsi="Times New Roman"/>
          <w:sz w:val="18"/>
          <w:szCs w:val="18"/>
          <w:color w:val="auto"/>
        </w:rPr>
        <w:t>13.2.1</w:t>
      </w:r>
      <w:r>
        <w:rPr>
          <w:sz w:val="20"/>
          <w:szCs w:val="20"/>
          <w:color w:val="auto"/>
        </w:rPr>
        <w:tab/>
      </w:r>
      <w:r>
        <w:rPr>
          <w:rFonts w:ascii="Times New Roman" w:cs="Times New Roman" w:eastAsia="Times New Roman" w:hAnsi="Times New Roman"/>
          <w:sz w:val="18"/>
          <w:szCs w:val="18"/>
          <w:b w:val="1"/>
          <w:bCs w:val="1"/>
          <w:color w:val="auto"/>
        </w:rPr>
        <w:t>[***] First Right</w:t>
      </w:r>
      <w:r>
        <w:rPr>
          <w:rFonts w:ascii="Times New Roman" w:cs="Times New Roman" w:eastAsia="Times New Roman" w:hAnsi="Times New Roman"/>
          <w:sz w:val="18"/>
          <w:szCs w:val="18"/>
          <w:color w:val="auto"/>
        </w:rPr>
        <w:t>. [***] will have the first right (but not the obligation) to file, prosecute and maintain all Joint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Rights in the Territory. [***] will keep [***] reasonably informed of the status of such Joint Collaboration Patent Rights, and [***] will provide [***] with any proposed filings, communications with and responses to any patent office with respect to the Joint Collaboration Patent Rights sufficiently in advance of filing (at least [***] where practicable) and [***] will have the right to review and comment on such filings and responses, which comments [***] will reasonably consider incorporating.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66" w:right="439" w:bottom="1440" w:gutter="0" w:footer="0" w:header="0"/>
        </w:sectPr>
      </w:pPr>
    </w:p>
    <w:bookmarkStart w:id="455" w:name="page456"/>
    <w:bookmarkEnd w:id="455"/>
    <w:p>
      <w:pPr>
        <w:ind w:left="1960" w:right="80" w:hanging="985"/>
        <w:spacing w:after="0" w:line="256" w:lineRule="auto"/>
        <w:tabs>
          <w:tab w:leader="none" w:pos="1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13.2.2</w:t>
      </w:r>
      <w:r>
        <w:rPr>
          <w:sz w:val="20"/>
          <w:szCs w:val="20"/>
          <w:color w:val="auto"/>
        </w:rPr>
        <w:tab/>
      </w:r>
      <w:r>
        <w:rPr>
          <w:rFonts w:ascii="Times New Roman" w:cs="Times New Roman" w:eastAsia="Times New Roman" w:hAnsi="Times New Roman"/>
          <w:sz w:val="18"/>
          <w:szCs w:val="18"/>
          <w:b w:val="1"/>
          <w:bCs w:val="1"/>
          <w:color w:val="auto"/>
        </w:rPr>
        <w:t>[***] Second Right</w:t>
      </w:r>
      <w:r>
        <w:rPr>
          <w:rFonts w:ascii="Times New Roman" w:cs="Times New Roman" w:eastAsia="Times New Roman" w:hAnsi="Times New Roman"/>
          <w:sz w:val="18"/>
          <w:szCs w:val="18"/>
          <w:color w:val="auto"/>
        </w:rPr>
        <w:t>. If [***] determines in its sole discretion to abandon, not to file or maintain, or not to pursue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of any Joint Collaboration Patent Rights, then [***] will provide [***] with written notice promptly after such determination (and where practicable, at least [***] prior to any filing or payment due date, or any other due date that requires action in order to avoid loss of rights) to allow [***] a reasonable period of time to determine, for such country, its interest in assuming the prosecution and maintenance of such Joint Collaboration Patent Rights. If [***] provides written notice to [***] expressing its interest in prosecuting and maintaining such Joint Collaboration Patent Rights, then [***] may assume the prosecution and maintenance of such Joint Collaboration Patent Rights unless [***].</w:t>
      </w:r>
    </w:p>
    <w:p>
      <w:pPr>
        <w:spacing w:after="0" w:line="88" w:lineRule="exact"/>
        <w:rPr>
          <w:sz w:val="20"/>
          <w:szCs w:val="20"/>
          <w:color w:val="auto"/>
        </w:rPr>
      </w:pPr>
    </w:p>
    <w:p>
      <w:pPr>
        <w:ind w:left="1960" w:right="120" w:hanging="985"/>
        <w:spacing w:after="0" w:line="286" w:lineRule="auto"/>
        <w:tabs>
          <w:tab w:leader="none" w:pos="1940" w:val="left"/>
        </w:tabs>
        <w:rPr>
          <w:sz w:val="20"/>
          <w:szCs w:val="20"/>
          <w:color w:val="auto"/>
        </w:rPr>
      </w:pPr>
      <w:r>
        <w:rPr>
          <w:rFonts w:ascii="Times New Roman" w:cs="Times New Roman" w:eastAsia="Times New Roman" w:hAnsi="Times New Roman"/>
          <w:sz w:val="18"/>
          <w:szCs w:val="18"/>
          <w:color w:val="auto"/>
        </w:rPr>
        <w:t>13.2.3</w:t>
      </w:r>
      <w:r>
        <w:rPr>
          <w:sz w:val="20"/>
          <w:szCs w:val="20"/>
          <w:color w:val="auto"/>
        </w:rPr>
        <w:tab/>
      </w:r>
      <w:r>
        <w:rPr>
          <w:rFonts w:ascii="Times New Roman" w:cs="Times New Roman" w:eastAsia="Times New Roman" w:hAnsi="Times New Roman"/>
          <w:sz w:val="18"/>
          <w:szCs w:val="18"/>
          <w:b w:val="1"/>
          <w:bCs w:val="1"/>
          <w:color w:val="auto"/>
        </w:rPr>
        <w:t xml:space="preserve">Odyssey’s Sole Right. </w:t>
      </w:r>
      <w:r>
        <w:rPr>
          <w:rFonts w:ascii="Times New Roman" w:cs="Times New Roman" w:eastAsia="Times New Roman" w:hAnsi="Times New Roman"/>
          <w:sz w:val="18"/>
          <w:szCs w:val="18"/>
          <w:color w:val="auto"/>
        </w:rPr>
        <w:t>Odyssey will have the sole right (but not the obligation) to file, prosecute and maintain any Odyssey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Patent Right and any Patent Rights in Odyssey’s Background IP.</w:t>
      </w:r>
    </w:p>
    <w:p>
      <w:pPr>
        <w:spacing w:after="0" w:line="60" w:lineRule="exact"/>
        <w:rPr>
          <w:sz w:val="20"/>
          <w:szCs w:val="20"/>
          <w:color w:val="auto"/>
        </w:rPr>
      </w:pPr>
    </w:p>
    <w:p>
      <w:pPr>
        <w:ind w:left="1960" w:right="80" w:hanging="985"/>
        <w:spacing w:after="0" w:line="268" w:lineRule="auto"/>
        <w:tabs>
          <w:tab w:leader="none" w:pos="1940" w:val="left"/>
        </w:tabs>
        <w:rPr>
          <w:sz w:val="20"/>
          <w:szCs w:val="20"/>
          <w:color w:val="auto"/>
        </w:rPr>
      </w:pPr>
      <w:r>
        <w:rPr>
          <w:rFonts w:ascii="Times New Roman" w:cs="Times New Roman" w:eastAsia="Times New Roman" w:hAnsi="Times New Roman"/>
          <w:sz w:val="18"/>
          <w:szCs w:val="18"/>
          <w:color w:val="auto"/>
        </w:rPr>
        <w:t>13.2.4</w:t>
      </w:r>
      <w:r>
        <w:rPr>
          <w:sz w:val="20"/>
          <w:szCs w:val="20"/>
          <w:color w:val="auto"/>
        </w:rPr>
        <w:tab/>
      </w:r>
      <w:r>
        <w:rPr>
          <w:rFonts w:ascii="Times New Roman" w:cs="Times New Roman" w:eastAsia="Times New Roman" w:hAnsi="Times New Roman"/>
          <w:sz w:val="18"/>
          <w:szCs w:val="18"/>
          <w:b w:val="1"/>
          <w:bCs w:val="1"/>
          <w:color w:val="auto"/>
        </w:rPr>
        <w:t>Terray’s Sole Right</w:t>
      </w:r>
      <w:r>
        <w:rPr>
          <w:rFonts w:ascii="Times New Roman" w:cs="Times New Roman" w:eastAsia="Times New Roman" w:hAnsi="Times New Roman"/>
          <w:sz w:val="18"/>
          <w:szCs w:val="18"/>
          <w:color w:val="auto"/>
        </w:rPr>
        <w:t>. As between the Parties, Terray will have the sole right (but not the obligation) to file, prosecute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any Terray Collaboration Patent Right, Terray Platform Patent Right and any Patent Rights in Terray’s Background IP.</w:t>
      </w:r>
    </w:p>
    <w:p>
      <w:pPr>
        <w:spacing w:after="0" w:line="76" w:lineRule="exact"/>
        <w:rPr>
          <w:sz w:val="20"/>
          <w:szCs w:val="20"/>
          <w:color w:val="auto"/>
        </w:rPr>
      </w:pPr>
    </w:p>
    <w:p>
      <w:pPr>
        <w:ind w:left="1960" w:right="200" w:hanging="985"/>
        <w:spacing w:after="0" w:line="268" w:lineRule="auto"/>
        <w:tabs>
          <w:tab w:leader="none" w:pos="1940" w:val="left"/>
        </w:tabs>
        <w:rPr>
          <w:sz w:val="20"/>
          <w:szCs w:val="20"/>
          <w:color w:val="auto"/>
        </w:rPr>
      </w:pPr>
      <w:r>
        <w:rPr>
          <w:rFonts w:ascii="Times New Roman" w:cs="Times New Roman" w:eastAsia="Times New Roman" w:hAnsi="Times New Roman"/>
          <w:sz w:val="18"/>
          <w:szCs w:val="18"/>
          <w:color w:val="auto"/>
        </w:rPr>
        <w:t>13.2.5</w:t>
      </w:r>
      <w:r>
        <w:rPr>
          <w:sz w:val="20"/>
          <w:szCs w:val="20"/>
          <w:color w:val="auto"/>
        </w:rPr>
        <w:tab/>
      </w:r>
      <w:r>
        <w:rPr>
          <w:rFonts w:ascii="Times New Roman" w:cs="Times New Roman" w:eastAsia="Times New Roman" w:hAnsi="Times New Roman"/>
          <w:sz w:val="18"/>
          <w:szCs w:val="18"/>
          <w:b w:val="1"/>
          <w:bCs w:val="1"/>
          <w:color w:val="auto"/>
        </w:rPr>
        <w:t xml:space="preserve">Prosecution Costs. </w:t>
      </w:r>
      <w:r>
        <w:rPr>
          <w:rFonts w:ascii="Times New Roman" w:cs="Times New Roman" w:eastAsia="Times New Roman" w:hAnsi="Times New Roman"/>
          <w:sz w:val="18"/>
          <w:szCs w:val="18"/>
          <w:color w:val="auto"/>
        </w:rPr>
        <w:t>All reasonable Out-of-Pocket costs of the Parties or its Affiliates related to the prosecution of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Patent Rights (“</w:t>
      </w:r>
      <w:r>
        <w:rPr>
          <w:rFonts w:ascii="Times New Roman" w:cs="Times New Roman" w:eastAsia="Times New Roman" w:hAnsi="Times New Roman"/>
          <w:sz w:val="18"/>
          <w:szCs w:val="18"/>
          <w:b w:val="1"/>
          <w:bCs w:val="1"/>
          <w:color w:val="auto"/>
        </w:rPr>
        <w:t>Shared Prosecution Costs</w:t>
      </w:r>
      <w:r>
        <w:rPr>
          <w:rFonts w:ascii="Times New Roman" w:cs="Times New Roman" w:eastAsia="Times New Roman" w:hAnsi="Times New Roman"/>
          <w:sz w:val="18"/>
          <w:szCs w:val="18"/>
          <w:color w:val="auto"/>
        </w:rPr>
        <w:t>”), will be shared by the Parties in accordance with Article 12 (Payments); [***]. Otherwise, [***].</w:t>
      </w:r>
    </w:p>
    <w:p>
      <w:pPr>
        <w:spacing w:after="0" w:line="3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Patent Enforcement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960" w:hanging="985"/>
        <w:spacing w:after="0" w:line="259" w:lineRule="auto"/>
        <w:tabs>
          <w:tab w:leader="none" w:pos="1940" w:val="left"/>
        </w:tabs>
        <w:rPr>
          <w:sz w:val="20"/>
          <w:szCs w:val="20"/>
          <w:color w:val="auto"/>
        </w:rPr>
      </w:pPr>
      <w:r>
        <w:rPr>
          <w:rFonts w:ascii="Times New Roman" w:cs="Times New Roman" w:eastAsia="Times New Roman" w:hAnsi="Times New Roman"/>
          <w:sz w:val="18"/>
          <w:szCs w:val="18"/>
          <w:color w:val="auto"/>
        </w:rPr>
        <w:t>13.3.1</w:t>
      </w:r>
      <w:r>
        <w:rPr>
          <w:sz w:val="20"/>
          <w:szCs w:val="20"/>
          <w:color w:val="auto"/>
        </w:rPr>
        <w:tab/>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Each Party will promptly notify the other if it becomes aware of any actual, likely, or suspected infringement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Terray Licensed Patent Right or Odyssey Licensed Patent Right (an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including any Infringement that arises as a result of the making, using, offering to sell, selling, or importing of [***] (a “</w:t>
      </w:r>
      <w:r>
        <w:rPr>
          <w:rFonts w:ascii="Times New Roman" w:cs="Times New Roman" w:eastAsia="Times New Roman" w:hAnsi="Times New Roman"/>
          <w:sz w:val="18"/>
          <w:szCs w:val="18"/>
          <w:b w:val="1"/>
          <w:bCs w:val="1"/>
          <w:color w:val="auto"/>
        </w:rPr>
        <w:t>Competitive Infringement</w:t>
      </w:r>
      <w:r>
        <w:rPr>
          <w:rFonts w:ascii="Times New Roman" w:cs="Times New Roman" w:eastAsia="Times New Roman" w:hAnsi="Times New Roman"/>
          <w:sz w:val="18"/>
          <w:szCs w:val="18"/>
          <w:color w:val="auto"/>
        </w:rPr>
        <w:t>”). In addition, each Party will promptly notify the other in the event such Party becomes aware of any action by a Third Party for a declaration that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456" w:name="page457"/>
    <w:bookmarkEnd w:id="4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the Terray Licensed Patent Right or Odyssey Licensed Patent Right are not infringed or are invalid, or unenforceable.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all cases, each Party will provide any available evidence of such Infringement or other conduct with such notification.</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13.3.2</w:t>
      </w:r>
      <w:r>
        <w:rPr>
          <w:sz w:val="20"/>
          <w:szCs w:val="20"/>
          <w:color w:val="auto"/>
        </w:rPr>
        <w:tab/>
      </w:r>
      <w:r>
        <w:rPr>
          <w:rFonts w:ascii="Times New Roman" w:cs="Times New Roman" w:eastAsia="Times New Roman" w:hAnsi="Times New Roman"/>
          <w:sz w:val="17"/>
          <w:szCs w:val="17"/>
          <w:b w:val="1"/>
          <w:bCs w:val="1"/>
          <w:color w:val="auto"/>
        </w:rPr>
        <w:t>Competitive Infringements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jc w:val="both"/>
        <w:ind w:left="1420" w:right="60" w:hanging="433"/>
        <w:spacing w:after="0" w:line="261" w:lineRule="auto"/>
        <w:tabs>
          <w:tab w:leader="none" w:pos="14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 will have the first right, but not the obligation, to initiate an infringement or other appropriate suit (an “</w:t>
      </w:r>
      <w:r>
        <w:rPr>
          <w:rFonts w:ascii="Times New Roman" w:cs="Times New Roman" w:eastAsia="Times New Roman" w:hAnsi="Times New Roman"/>
          <w:sz w:val="18"/>
          <w:szCs w:val="18"/>
          <w:b w:val="1"/>
          <w:bCs w:val="1"/>
          <w:color w:val="auto"/>
        </w:rPr>
        <w:t>Infringement Action</w:t>
      </w:r>
      <w:r>
        <w:rPr>
          <w:rFonts w:ascii="Times New Roman" w:cs="Times New Roman" w:eastAsia="Times New Roman" w:hAnsi="Times New Roman"/>
          <w:sz w:val="18"/>
          <w:szCs w:val="18"/>
          <w:color w:val="auto"/>
        </w:rPr>
        <w:t>”) against any Competitive Infringement with respect to any Joint Collaboration Patent Rights at [***] (but subject to inclusion of such costs and expenses as Shared Enforcement Costs under Section 13.3.5 (Enforcement Costs and Recoveries)).</w:t>
      </w:r>
    </w:p>
    <w:p>
      <w:pPr>
        <w:spacing w:after="0" w:line="85" w:lineRule="exact"/>
        <w:rPr>
          <w:rFonts w:ascii="Times New Roman" w:cs="Times New Roman" w:eastAsia="Times New Roman" w:hAnsi="Times New Roman"/>
          <w:sz w:val="18"/>
          <w:szCs w:val="18"/>
          <w:color w:val="auto"/>
        </w:rPr>
      </w:pPr>
    </w:p>
    <w:p>
      <w:pPr>
        <w:ind w:left="1420" w:hanging="433"/>
        <w:spacing w:after="0" w:line="253" w:lineRule="auto"/>
        <w:tabs>
          <w:tab w:leader="none" w:pos="14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if [***] fails to initiate an Infringement Action against any Competitive Infringement with respect to any such Joint Collaboration Patent Rights, during the earlier of (i) [***] after written notice of such Competitive Infringement is first provided by a Party under Section 13.3.1 (Notification) and (ii) [***] before any statute of limitation or other deadline that would be prejudicial to [***] right to initiate an Infringement Action, then in each case ((i) and (ii)), [***] will have the right to initiate and control an Infringement Action with respect to such Competitive Infringement using counsel of its own choice, at its own discretion and at [***] cost and expense (but subject to inclusion of such costs and expenses as Shared Enforcement Costs under Section 13.3.5 (Enforcement Costs and Recoveries)), and [***] will have the right, at its own expense (but subject to inclusion of such costs and expenses as Shared Enforcement Costs under Section 13.3.5 (Enforcement Costs and Recoveries)), to be represented in any such action by counsel of its own choice</w:t>
      </w:r>
      <w:r>
        <w:rPr>
          <w:rFonts w:ascii="Times New Roman" w:cs="Times New Roman" w:eastAsia="Times New Roman" w:hAnsi="Times New Roman"/>
          <w:sz w:val="18"/>
          <w:szCs w:val="18"/>
          <w:b w:val="1"/>
          <w:bCs w:val="1"/>
          <w:color w:val="auto"/>
        </w:rPr>
        <w:t>.</w:t>
      </w:r>
    </w:p>
    <w:p>
      <w:pPr>
        <w:spacing w:after="0" w:line="99" w:lineRule="exact"/>
        <w:rPr>
          <w:rFonts w:ascii="Times New Roman" w:cs="Times New Roman" w:eastAsia="Times New Roman" w:hAnsi="Times New Roman"/>
          <w:sz w:val="18"/>
          <w:szCs w:val="18"/>
          <w:color w:val="auto"/>
        </w:rPr>
      </w:pPr>
    </w:p>
    <w:p>
      <w:pPr>
        <w:ind w:left="1420" w:right="140" w:hanging="433"/>
        <w:spacing w:after="0" w:line="254" w:lineRule="auto"/>
        <w:tabs>
          <w:tab w:leader="none" w:pos="14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(i) [***] will have the sole right, but not the obligation, to initiate an Infringement Action to abate any existing, alleged, or threatened Competitive Infringement with respect to [***] Background IP or the [***] Collaboration Patent Rights at [***] cost and expense (but subject to inclusion of such costs and expenses as Shared Enforcement Costs under Section 13.3.5 (Enforcement Costs and Recoveries)), and (ii) [***] will have the sole right, but not the obligation, to initiate an Infringement Action to abate any existing, alleged, or threatened Competitive Infringement with respect to [***] Background IP or the [***] Collaboration Patent Rights at [***] cost and expense (but subject to inclusion of such costs and expenses as Shared Enforcement Costs under Section 13.3.5 (Enforcement Costs and Recoveries)).</w:t>
      </w:r>
    </w:p>
    <w:p>
      <w:pPr>
        <w:spacing w:after="0" w:line="93" w:lineRule="exact"/>
        <w:rPr>
          <w:sz w:val="20"/>
          <w:szCs w:val="20"/>
          <w:color w:val="auto"/>
        </w:rPr>
      </w:pPr>
    </w:p>
    <w:p>
      <w:pPr>
        <w:ind w:left="980" w:right="140" w:hanging="985"/>
        <w:spacing w:after="0" w:line="255" w:lineRule="auto"/>
        <w:tabs>
          <w:tab w:leader="none" w:pos="960" w:val="left"/>
        </w:tabs>
        <w:rPr>
          <w:sz w:val="20"/>
          <w:szCs w:val="20"/>
          <w:color w:val="auto"/>
        </w:rPr>
      </w:pPr>
      <w:r>
        <w:rPr>
          <w:rFonts w:ascii="Times New Roman" w:cs="Times New Roman" w:eastAsia="Times New Roman" w:hAnsi="Times New Roman"/>
          <w:sz w:val="18"/>
          <w:szCs w:val="18"/>
          <w:color w:val="auto"/>
        </w:rPr>
        <w:t>13.3.3</w:t>
      </w:r>
      <w:r>
        <w:rPr>
          <w:sz w:val="20"/>
          <w:szCs w:val="20"/>
          <w:color w:val="auto"/>
        </w:rPr>
        <w:tab/>
      </w:r>
      <w:r>
        <w:rPr>
          <w:rFonts w:ascii="Times New Roman" w:cs="Times New Roman" w:eastAsia="Times New Roman" w:hAnsi="Times New Roman"/>
          <w:sz w:val="18"/>
          <w:szCs w:val="18"/>
          <w:b w:val="1"/>
          <w:bCs w:val="1"/>
          <w:color w:val="auto"/>
        </w:rPr>
        <w:t>Other Infringement Actions</w:t>
      </w:r>
      <w:r>
        <w:rPr>
          <w:rFonts w:ascii="Times New Roman" w:cs="Times New Roman" w:eastAsia="Times New Roman" w:hAnsi="Times New Roman"/>
          <w:sz w:val="18"/>
          <w:szCs w:val="18"/>
          <w:color w:val="auto"/>
        </w:rPr>
        <w:t>. During the Term, (a) [***] will have the sole right, but not the obligation, to initiate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Action against any Infringement that is not a Competitive Infringement with respect to Patent Rights in [***] Background IP, [***] Platform Patent Rights or the [***] Collaboration Patent Rights, at [***], (b) [***] will have the sole right, but not the obligation, to initiate an Infringement Action against any Infringement that is not a Competitive Infringement with respect to Patent Rights in [***] Background IP or the [***] Collaboration Patent Rights, at [***], and</w:t>
      </w:r>
    </w:p>
    <w:p>
      <w:pPr>
        <w:spacing w:after="0" w:line="3" w:lineRule="exact"/>
        <w:rPr>
          <w:sz w:val="20"/>
          <w:szCs w:val="20"/>
          <w:color w:val="auto"/>
        </w:rPr>
      </w:pPr>
    </w:p>
    <w:p>
      <w:pPr>
        <w:ind w:left="980" w:right="260" w:firstLine="7"/>
        <w:spacing w:after="0" w:line="260" w:lineRule="auto"/>
        <w:tabs>
          <w:tab w:leader="none" w:pos="122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agree upon any initiation of an Infringement Action against any Infringement that is not a Competitive Infringement with respect to any Joint Collaboration Patent Rights, provided that neither</w:t>
      </w:r>
    </w:p>
    <w:p>
      <w:pPr>
        <w:spacing w:after="0" w:line="11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000"/>
          </w:cols>
          <w:pgMar w:left="1420" w:top="270" w:right="47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Party will unreasonably withhold, condition, or delay its agreement to initiate any such Infringement Action with respect to</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 Joint Collaboration Patent Rights upon the reasonable request of the other Party.</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13.3.4</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Collaboration</w:t>
            </w:r>
            <w:r>
              <w:rPr>
                <w:rFonts w:ascii="Times New Roman" w:cs="Times New Roman" w:eastAsia="Times New Roman" w:hAnsi="Times New Roman"/>
                <w:sz w:val="18"/>
                <w:szCs w:val="18"/>
                <w:color w:val="auto"/>
              </w:rPr>
              <w:t>. Each Party will provide to the enforcing Party reasonable assistance in the enforcement action brought under</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Section 13.3 (Patent Enforcement), at such enforcing Party’s request and expense (except that Out-of-Pocket Costs for</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assistance with respect to enforcement of Competitive Infringement will be included as a Shared Enforcement Cost in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accordance with Section 13.3.5 (Enforcement Costs and Recoveries)), including to be named in such action if required by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Applicable Law to pursue such action. The enforcing Party will keep the other Party regularly informed of the status and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progress of such enforcement efforts, and will reasonably consider the other Party’s comments on any such efforts, including</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determination of litigation strategy and filing of material papers to the competent court. The non-enforcing Party will be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entitled to separate representation in such matter by counsel of its own choice and at its own expense, but such Party will at</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 times cooperate fully with the enforcing Party. The enforcing Party will not settle any claim, suit, or action that it brought</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Section 13.3.2 (Competitive Infringement) in any manner that would limit the rights of the other Party or impose any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 on the other Party, without the prior written consent of the other Party, which consent will not be unreasonably</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withheld, conditioned, or delayed.</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13.3.5</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Enforcement Costs and Recoveries</w:t>
            </w:r>
            <w:r>
              <w:rPr>
                <w:rFonts w:ascii="Times New Roman" w:cs="Times New Roman" w:eastAsia="Times New Roman" w:hAnsi="Times New Roman"/>
                <w:sz w:val="18"/>
                <w:szCs w:val="18"/>
                <w:color w:val="auto"/>
                <w:w w:val="99"/>
              </w:rPr>
              <w:t>. The enforcing Party bringing a claim, suit, or action under Section 13.3.2 (Competitive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Infringement) and Section 13.3.3 (Other Infringement Actions) will be responsible for [***] as a result of such claim, suit, or</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 [***].</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13.4</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Defense of Claims</w:t>
            </w:r>
            <w:r>
              <w:rPr>
                <w:rFonts w:ascii="Times New Roman" w:cs="Times New Roman" w:eastAsia="Times New Roman" w:hAnsi="Times New Roman"/>
                <w:sz w:val="18"/>
                <w:szCs w:val="18"/>
                <w:color w:val="auto"/>
              </w:rPr>
              <w:t>. Each Party will promptly inform the other Party in writing if such Party receives written notice, or otherwise becomes</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aware, of alleged infringement, misappropriation, or other violation of a Third Party’s intellectual property right based upon such Party’s</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of its obligations or exercise of its rights hereunder. Except as otherwise set forth under this Agreement (including under</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Article 16 (Indemnification; Limited Liability; Insurance)), such Party will be solely responsible for the defense of any such claim brought</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against it. The enforcing Party will keep the other Party advised of all material developments in the conduct of any proceedings in</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defending any claim of alleged infringement, misappropriation, or other violation related to any Licensed Products and the other Party will</w:t>
            </w:r>
          </w:p>
        </w:tc>
      </w:tr>
      <w:tr>
        <w:trPr>
          <w:trHeight w:val="234"/>
        </w:trPr>
        <w:tc>
          <w:tcPr>
            <w:tcW w:w="640" w:type="dxa"/>
            <w:vAlign w:val="bottom"/>
          </w:tcPr>
          <w:p>
            <w:pPr>
              <w:spacing w:after="0"/>
              <w:rPr>
                <w:sz w:val="20"/>
                <w:szCs w:val="20"/>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reasonably cooperate with the enforcing Party in the conduct of such defense. In no event may the enforcing Party settle any such</w:t>
            </w:r>
          </w:p>
        </w:tc>
      </w:tr>
    </w:tbl>
    <w:p>
      <w:pPr>
        <w:ind w:left="980" w:right="6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infringement, misappropriation, or other violation claim in any manner that would limit the rights of the other Party or impose any obligation on the other Party, without the prior written consent of the other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458" w:name="page459"/>
    <w:bookmarkEnd w:id="458"/>
    <w:p>
      <w:pPr>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which consent will not be unreasonably withheld, conditioned or delayed. Except with respect to Losses indemnified by a Party pursuant to Article 16 (Indemnification; Limited Liability; Insurance), all reasonable Out-of-Pocket costs of the Parties or their respective Affiliates related to the defense of claims that the Exploitation of the Licensed Compound or Licensed Products infringes, misappropriates or otherwise violates a Third Party’s intellectual property rights (“</w:t>
      </w:r>
      <w:r>
        <w:rPr>
          <w:rFonts w:ascii="Times New Roman" w:cs="Times New Roman" w:eastAsia="Times New Roman" w:hAnsi="Times New Roman"/>
          <w:sz w:val="18"/>
          <w:szCs w:val="18"/>
          <w:b w:val="1"/>
          <w:bCs w:val="1"/>
          <w:color w:val="auto"/>
        </w:rPr>
        <w:t>Shared Defense Costs</w:t>
      </w:r>
      <w:r>
        <w:rPr>
          <w:rFonts w:ascii="Times New Roman" w:cs="Times New Roman" w:eastAsia="Times New Roman" w:hAnsi="Times New Roman"/>
          <w:sz w:val="18"/>
          <w:szCs w:val="18"/>
          <w:color w:val="auto"/>
        </w:rPr>
        <w:t>”) will be shared by the Parties in accordance with Article 12 (Payments).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960" w:right="60" w:hanging="985"/>
        <w:spacing w:after="0" w:line="254" w:lineRule="auto"/>
        <w:tabs>
          <w:tab w:leader="none" w:pos="194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Receiving Party will maintain all Confidential Information disclosed to it or its representatives by or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Disclosing Party in strict confidence during the Term of this Agreement and for a period of [***] after the expiration or termination of this Agreement; provided that any Confidential Information of either Party that constitutes a trade secret will continue to be subject to the terms of this Article 14 (Confidentiality) in perpetuity, so long as such information remains a trade secret. Each Party will use all such disclosed Confidential Information only to the extent necessary for purposes of this Agreement, including exercising the licenses and rights hereunder and will not disclose such Confidential Information to any Third Party without the prior written consent of the Disclosing Party, except as permitted under this Agreement. Each Party will notify the other Party promptly on discovery of any unauthorized use or disclosure by a Party of the other Party’s Confidential Information, including the other Party’s trade secrets.</w:t>
      </w:r>
    </w:p>
    <w:p>
      <w:pPr>
        <w:spacing w:after="0" w:line="94" w:lineRule="exact"/>
        <w:rPr>
          <w:sz w:val="20"/>
          <w:szCs w:val="20"/>
          <w:color w:val="auto"/>
        </w:rPr>
      </w:pPr>
    </w:p>
    <w:p>
      <w:pPr>
        <w:ind w:left="1960" w:right="40" w:hanging="985"/>
        <w:spacing w:after="0" w:line="253" w:lineRule="auto"/>
        <w:tabs>
          <w:tab w:leader="none" w:pos="194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8"/>
          <w:szCs w:val="18"/>
          <w:b w:val="1"/>
          <w:bCs w:val="1"/>
          <w:color w:val="auto"/>
        </w:rPr>
        <w:t>Confidential Information of Each Party</w:t>
      </w:r>
      <w:r>
        <w:rPr>
          <w:rFonts w:ascii="Times New Roman" w:cs="Times New Roman" w:eastAsia="Times New Roman" w:hAnsi="Times New Roman"/>
          <w:sz w:val="18"/>
          <w:szCs w:val="18"/>
          <w:color w:val="auto"/>
        </w:rPr>
        <w:t>. All Know-How in Terray’s Background IP, Terray Platform, Terray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Terray Collaboration Know-How, Terray’s DC Data Package, Terray’s Reconciliation Reports, Terray’s Opt-Out Out- Licensing Share Report, Terray’s Royalty Reports and all reports provided by or on behalf of Terray under Sections 6.4 (Development Reports) and Section 8.3.3(d) (Commercialization Reports) and all other Confidential Information provided hereunder by or on behalf of Terray to Odyssey, other than the Joint Collaboration Know-How, will be considered Confidential Information of Terray. All non-disclosed terms of this Agreement and the Joint Collaboration Know-How will be considered the Confidential Information of both Parties. All Know-How in Odyssey’s Background IP, Odyssey Collaboration Know-How, Odyssey’s DC Data Package, Odyssey’s Reconciliation Reports, Odyssey’s Opt-Out Out-Licensing Share Report, Odyssey’s Royalty Reports and all reports provided by or on behalf of Odyssey under Sections 6.4 (Development Reports) and Section 8.3.3(d) (Commercialization Reports), and all other Confidential Information provided hereunder by or on behalf of Odyssey to Terray, other than Joint Collaboration Know-How, will be considered Confidential Information of Odyssey.</w:t>
      </w:r>
    </w:p>
    <w:p>
      <w:pPr>
        <w:spacing w:after="0" w:line="95" w:lineRule="exact"/>
        <w:rPr>
          <w:sz w:val="20"/>
          <w:szCs w:val="20"/>
          <w:color w:val="auto"/>
        </w:rPr>
      </w:pPr>
    </w:p>
    <w:p>
      <w:pPr>
        <w:ind w:left="1960" w:right="120" w:hanging="985"/>
        <w:spacing w:after="0" w:line="257" w:lineRule="auto"/>
        <w:tabs>
          <w:tab w:leader="none" w:pos="19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8"/>
          <w:szCs w:val="18"/>
          <w:b w:val="1"/>
          <w:bCs w:val="1"/>
          <w:color w:val="auto"/>
        </w:rPr>
        <w:t>Exceptions to Confidentiality</w:t>
      </w:r>
      <w:r>
        <w:rPr>
          <w:rFonts w:ascii="Times New Roman" w:cs="Times New Roman" w:eastAsia="Times New Roman" w:hAnsi="Times New Roman"/>
          <w:sz w:val="18"/>
          <w:szCs w:val="18"/>
          <w:color w:val="auto"/>
        </w:rPr>
        <w:t>. The following information will not be Confidential Information of the Disclosing Party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the obligations of each Receiving Party imposed by Section 14.1.1 (General) will not apply to any such information that: (a) was known to the Receiving Party without an obligation to keep such information confidential prior to the Effective Date other than as a result of disclosure under any other agreement between the Parties, including the CDA (as demonstrated by documentary evidence); (b) is or becomes generally available to the public through means other than an unauthorized disclosure by the Receiving Party, its Affiliates,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459" w:name="page460"/>
    <w:bookmarkEnd w:id="459"/>
    <w:p>
      <w:pPr>
        <w:ind w:left="9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agents to whom it or they disclosed such information; (c) was or subsequently is disclosed to the Receiving Party without restriction by a Third Party having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right to disclose such Confidential Information without breaching any obligation to the Disclosing Party; or (d) is developed independently by the Receiving Party without benefit of or recourse to any of the Disclosing Party’s Confidential Information (as demonstrated by documentary evidence). For clarity, (i) specific aspects or details of Confidential Information will not be deemed to be within the public domain or in the possession of the Receiving Party merely because such details are embraced by more general information in the public domain or in the possession of the Receiving Party; and (ii) any combination of Confidential Information will not be considered in the public domain or in the possession of the Receiving Party merely because individual elements of such Confidential Information are in the public domain or in the possession of the Receiving Party unless the combination is in the public domain or in the possession of the Receiving Party.</w:t>
      </w: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8"/>
          <w:szCs w:val="18"/>
          <w:b w:val="1"/>
          <w:bCs w:val="1"/>
          <w:color w:val="auto"/>
        </w:rPr>
        <w:t>Permitted Disclosures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20" w:right="260" w:hanging="433"/>
        <w:spacing w:after="0" w:line="268" w:lineRule="auto"/>
        <w:tabs>
          <w:tab w:leader="none" w:pos="14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 Confidential Information</w:t>
      </w:r>
      <w:r>
        <w:rPr>
          <w:rFonts w:ascii="Times New Roman" w:cs="Times New Roman" w:eastAsia="Times New Roman" w:hAnsi="Times New Roman"/>
          <w:sz w:val="18"/>
          <w:szCs w:val="18"/>
          <w:color w:val="auto"/>
        </w:rPr>
        <w:t>. Notwithstanding any provision to the contrary set forth in this Article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each Receiving Party may use and make disclosures of Confidential Information of the Disclosing Party:</w:t>
      </w:r>
    </w:p>
    <w:p>
      <w:pPr>
        <w:spacing w:after="0" w:line="80" w:lineRule="exact"/>
        <w:rPr>
          <w:rFonts w:ascii="Times New Roman" w:cs="Times New Roman" w:eastAsia="Times New Roman" w:hAnsi="Times New Roman"/>
          <w:sz w:val="18"/>
          <w:szCs w:val="18"/>
          <w:color w:val="auto"/>
        </w:rPr>
      </w:pPr>
    </w:p>
    <w:p>
      <w:pPr>
        <w:ind w:left="1860" w:right="180" w:hanging="428"/>
        <w:spacing w:after="0" w:line="258" w:lineRule="auto"/>
        <w:tabs>
          <w:tab w:leader="none" w:pos="18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Affiliates, and the Receiving Party’s employees, directors, agents, consultants, Permitted Subcontractors, Sublicensees, and advisors to the extent necessary for the potential or actual performance of its obligations or exercise of its licenses and other rights under this Agreement, in each case, who are under an obligation of confidentiality and non-use with respect to such information that are substantially similar with the terms of this Agreement;</w:t>
      </w:r>
    </w:p>
    <w:p>
      <w:pPr>
        <w:spacing w:after="0" w:line="86" w:lineRule="exact"/>
        <w:rPr>
          <w:rFonts w:ascii="Times New Roman" w:cs="Times New Roman" w:eastAsia="Times New Roman" w:hAnsi="Times New Roman"/>
          <w:sz w:val="18"/>
          <w:szCs w:val="18"/>
          <w:color w:val="auto"/>
        </w:rPr>
      </w:pPr>
    </w:p>
    <w:p>
      <w:pPr>
        <w:ind w:left="1860" w:right="320" w:hanging="428"/>
        <w:spacing w:after="0" w:line="256" w:lineRule="auto"/>
        <w:tabs>
          <w:tab w:leader="none" w:pos="18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actual or prospective acquirers, underwriters, investors, lenders and other financing sources (including in connection with any royalty monetization transaction) and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actual or prospective licensors, Sublicensees, licensees, and strategic partners and to employees, directors, agents, consultants, and advisers of such Third Party, who are under an obligation of confidentiality and non-use with respect to such information that are substantially similar to the terms of this Agreement [***]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Confidential Information will be disclosed only to the extent reasonably necessary to evaluate the proposed transaction or perform its obligations or exercise its rights granted under the applicable agreement;</w:t>
      </w:r>
    </w:p>
    <w:p>
      <w:pPr>
        <w:spacing w:after="0" w:line="90" w:lineRule="exact"/>
        <w:rPr>
          <w:rFonts w:ascii="Times New Roman" w:cs="Times New Roman" w:eastAsia="Times New Roman" w:hAnsi="Times New Roman"/>
          <w:sz w:val="18"/>
          <w:szCs w:val="18"/>
          <w:color w:val="auto"/>
        </w:rPr>
      </w:pPr>
    </w:p>
    <w:p>
      <w:pPr>
        <w:ind w:left="1860" w:right="40" w:hanging="428"/>
        <w:spacing w:after="0" w:line="266" w:lineRule="auto"/>
        <w:tabs>
          <w:tab w:leader="none" w:pos="18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patent offices in any country in which Patent Rights are sought for purposes of prosecuting or maintaining any applications for any Patent Rights or defending any Patent Rights in interference or opposition actions as contemplated by this Agreement;</w:t>
      </w:r>
    </w:p>
    <w:p>
      <w:pPr>
        <w:spacing w:after="0" w:line="81" w:lineRule="exact"/>
        <w:rPr>
          <w:rFonts w:ascii="Times New Roman" w:cs="Times New Roman" w:eastAsia="Times New Roman" w:hAnsi="Times New Roman"/>
          <w:sz w:val="18"/>
          <w:szCs w:val="18"/>
          <w:color w:val="auto"/>
        </w:rPr>
      </w:pPr>
    </w:p>
    <w:p>
      <w:pPr>
        <w:ind w:left="1860" w:right="160" w:hanging="428"/>
        <w:spacing w:after="0" w:line="261" w:lineRule="auto"/>
        <w:tabs>
          <w:tab w:leader="none" w:pos="18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Regulatory Authorities as necessary to pursue Development, Commercialization, Manufacturing, Regulatory Approval, and Pricing Approval (if applicable) of Licensed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Confidential Information will be disclosed only to the extent reasonably necessary to do so, and where permitted, subject to confidential treatment;</w:t>
      </w:r>
    </w:p>
    <w:p>
      <w:pPr>
        <w:spacing w:after="0" w:line="1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040"/>
          </w:cols>
          <w:pgMar w:left="1420" w:top="270" w:right="439" w:bottom="1440" w:gutter="0" w:footer="0" w:header="0"/>
        </w:sectPr>
      </w:pPr>
    </w:p>
    <w:bookmarkStart w:id="460" w:name="page461"/>
    <w:bookmarkEnd w:id="460"/>
    <w:p>
      <w:pPr>
        <w:ind w:left="1840" w:right="100" w:hanging="428"/>
        <w:spacing w:after="0" w:line="266" w:lineRule="auto"/>
        <w:tabs>
          <w:tab w:leader="none" w:pos="18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Third Parties to the extent a Party is required to do so pursuant to the terms of a Collaboration In-Licenses;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Confidential Information will be disclosed only to the extent reasonably necessary to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obligations to the Third Party thereunder; or</w:t>
      </w:r>
    </w:p>
    <w:p>
      <w:pPr>
        <w:spacing w:after="0" w:line="81" w:lineRule="exact"/>
        <w:rPr>
          <w:rFonts w:ascii="Times New Roman" w:cs="Times New Roman" w:eastAsia="Times New Roman" w:hAnsi="Times New Roman"/>
          <w:sz w:val="18"/>
          <w:szCs w:val="18"/>
          <w:color w:val="auto"/>
        </w:rPr>
      </w:pPr>
    </w:p>
    <w:p>
      <w:pPr>
        <w:ind w:left="1840" w:hanging="428"/>
        <w:spacing w:after="0" w:line="253" w:lineRule="auto"/>
        <w:tabs>
          <w:tab w:leader="none" w:pos="18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to comply with Applicable Law or a court or administrative order (excluding the United States Securities and Exchange Commission or a similar regulatory agency in a country other than the United States (each a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xml:space="preserve">”), which will be subject to the terms of Section 14.1.4(b) (SEC Filings and Other Disclosures) below), in each case, to the extent applicable to such Party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who is required to make such disclosure under this Section 14.1.4(a)(vi) (A) provides the other Party with reasonable prior written notice, (B) coordinates with the other Party with respect to the wording and timing of any such disclosure and affords the other Party an opportunity to oppose or limit, or secure confidential treatment for such required disclosure to the extent permitted under Applicable Law, (C) if unsuccessful in its efforts pursuant to clause (B), takes all reasonable and lawful actions to obtain confidential treatment for such disclosure, and (D) discloses the minimum amount and scope of the Confidential Information necessary to comply with Applicable Law.</w:t>
      </w:r>
    </w:p>
    <w:p>
      <w:pPr>
        <w:spacing w:after="0" w:line="97" w:lineRule="exact"/>
        <w:rPr>
          <w:sz w:val="20"/>
          <w:szCs w:val="20"/>
          <w:color w:val="auto"/>
        </w:rPr>
      </w:pPr>
    </w:p>
    <w:p>
      <w:pPr>
        <w:ind w:left="1400" w:right="460" w:hanging="433"/>
        <w:spacing w:after="0" w:line="282" w:lineRule="auto"/>
        <w:tabs>
          <w:tab w:leader="none" w:pos="14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Confidential Information so disclosed will remain subject to the terms of this Agreement.</w:t>
      </w:r>
    </w:p>
    <w:p>
      <w:pPr>
        <w:spacing w:after="0" w:line="63" w:lineRule="exact"/>
        <w:rPr>
          <w:sz w:val="20"/>
          <w:szCs w:val="20"/>
          <w:color w:val="auto"/>
        </w:rPr>
      </w:pPr>
    </w:p>
    <w:p>
      <w:pPr>
        <w:ind w:left="1400" w:right="20" w:hanging="433"/>
        <w:spacing w:after="0" w:line="255" w:lineRule="auto"/>
        <w:tabs>
          <w:tab w:leader="none" w:pos="14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Filings and Other Disclosures</w:t>
      </w:r>
      <w:r>
        <w:rPr>
          <w:rFonts w:ascii="Times New Roman" w:cs="Times New Roman" w:eastAsia="Times New Roman" w:hAnsi="Times New Roman"/>
          <w:sz w:val="18"/>
          <w:szCs w:val="18"/>
          <w:color w:val="auto"/>
        </w:rPr>
        <w:t>. Each Receiving Party may use and make disclosures of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Disclosing Party if such Party concludes that such Confidential Information (including a copy of this Agreement) must be filed with a Stock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Party will (i) a reasonable time prior to any such filing, provide the other Party with a copy of the Agreement showing any provisions hereof as to which the Party proposes to request confidential treatment, (ii) provide the other Party with an opportunity to comment on any such proposed redactions and to suggest additional redactions, and (iii) take such Party’s reasonable comments into consideration before filing such Agreement and use reasonable efforts to have terms identified by such other Party afforded confidential treatment by the applicable regulatory agency.</w:t>
      </w:r>
    </w:p>
    <w:p>
      <w:pPr>
        <w:spacing w:after="0" w:line="90" w:lineRule="exact"/>
        <w:rPr>
          <w:sz w:val="20"/>
          <w:szCs w:val="20"/>
          <w:color w:val="auto"/>
        </w:rPr>
      </w:pPr>
    </w:p>
    <w:p>
      <w:pPr>
        <w:ind w:left="960" w:hanging="985"/>
        <w:spacing w:after="0" w:line="255" w:lineRule="auto"/>
        <w:tabs>
          <w:tab w:leader="none" w:pos="9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 Except as otherwise contemplated by this Section 14.1.5 (Publicity), Section 14.3 (Publications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Presentations), or as required by Applicable Law, legal process, or stock exchange rules, neither Party will issue a press or news release or make any similar public announcement related to the execution or terms of this Agreement, the conduct of the Research Activities, other Development activities or the Commercialization of the Licensed Compounds and Licensed Products without the prior written consent of the other Party (solely for the purpose of this Section 14.1.5 (Publicity), consent via e-mail with return receipt will be allowed). The disclosing Party may make subsequent public disclosures reiterating such information without having to obtain the other Party’s prior consent and approval so long as the information in such press release or other public announcement remains true, correct, and the most current</w:t>
      </w:r>
    </w:p>
    <w:p>
      <w:pPr>
        <w:spacing w:after="0" w:line="1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000"/>
          </w:cols>
          <w:pgMar w:left="1440" w:top="270" w:right="459" w:bottom="1440" w:gutter="0" w:footer="0" w:header="0"/>
        </w:sectPr>
      </w:pPr>
    </w:p>
    <w:bookmarkStart w:id="461" w:name="page462"/>
    <w:bookmarkEnd w:id="461"/>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with respect to the subject matter set forth therein. Similarly, after a Publication has been made available to the</w:t>
            </w:r>
          </w:p>
        </w:tc>
      </w:tr>
      <w:tr>
        <w:trPr>
          <w:trHeight w:val="216"/>
        </w:trPr>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each Party may post such Publication or a link to it on its corporate web site (or any website managed by such Party</w:t>
            </w:r>
          </w:p>
        </w:tc>
      </w:tr>
      <w:tr>
        <w:trPr>
          <w:trHeight w:val="216"/>
        </w:trPr>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connection with a Clinical Trial for a Licensed Product, as appropriate) without the prior written consent of the other</w:t>
            </w:r>
          </w:p>
        </w:tc>
      </w:tr>
      <w:tr>
        <w:trPr>
          <w:trHeight w:val="216"/>
        </w:trPr>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so long as the information in such Publication remains true, correct, and the most current information with respect to</w:t>
            </w:r>
          </w:p>
        </w:tc>
      </w:tr>
      <w:tr>
        <w:trPr>
          <w:trHeight w:val="234"/>
        </w:trPr>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subject matter set forth therein.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14.2</w:t>
            </w: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 Use of Name</w:t>
            </w:r>
            <w:r>
              <w:rPr>
                <w:rFonts w:ascii="Times New Roman" w:cs="Times New Roman" w:eastAsia="Times New Roman" w:hAnsi="Times New Roman"/>
                <w:sz w:val="18"/>
                <w:szCs w:val="18"/>
                <w:color w:val="auto"/>
              </w:rPr>
              <w:t>. Subject to the terms of this Agreement, neither Party will use the name or Trademarks of the other Party in any</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promotional materials or advertising without the prior written consent of the other Party, except as provided under this Agreement or</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required by Applicable Law, in which case the Party disclosing such name or Trademarks will give advance notice of such use and</w:t>
            </w:r>
          </w:p>
        </w:tc>
      </w:tr>
      <w:tr>
        <w:trPr>
          <w:trHeight w:val="234"/>
        </w:trPr>
        <w:tc>
          <w:tcPr>
            <w:tcW w:w="640" w:type="dxa"/>
            <w:vAlign w:val="bottom"/>
          </w:tcPr>
          <w:p>
            <w:pPr>
              <w:spacing w:after="0"/>
              <w:rPr>
                <w:sz w:val="20"/>
                <w:szCs w:val="20"/>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otherwise comply with Section 14.1.4(a) (Compliance with Law).</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14.3</w:t>
            </w: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Publications and Presentations</w:t>
            </w:r>
            <w:r>
              <w:rPr>
                <w:rFonts w:ascii="Times New Roman" w:cs="Times New Roman" w:eastAsia="Times New Roman" w:hAnsi="Times New Roman"/>
                <w:sz w:val="18"/>
                <w:szCs w:val="18"/>
                <w:color w:val="auto"/>
              </w:rPr>
              <w:t>. Neither Party will publicly present or publish the results of, or scientific information regarding, any</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activities specific to Collaboration Compounds, Licensed Compounds, or the Licensed Products under this Agreement (each such</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proposed presentation or publication, a “Publication”) absent the other Party’s prior written consent; provided that following an Opt-Out</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by a Party, the Continuing Party will have the sole right to publicly present or publish any Publication, without the obligation to obtain the</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prior written consent of the Opt-Out Party as long as it complies with the other terms of this Section 14.3 (Publications and Presentations)</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below. Any Publication will be made in a manner consistent with Applicable Law and industry practices and subject to the procedure set</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forth in this Section 14.3 (Publications and Presentations). In addition, prior to publicly presenting or publishing any Publication, the</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publishing Party will provide the other Party with drafts of such proposed Publication. If requested by the other Party within [***]</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following receipt of such proposed Publication (or such shorter period as may be agreed upon by the Parties), the publishing Party will</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delay any such proposed Publication for a reasonable period (not to exceed [***] after the other Party receives such proposed Publication)</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 permit the other Party to make filings for patent protection, and the publishing Party will otherwise remove Confidential Information of</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other Party (except to the extent comprising Joint Collaboration Know-How related to the publishing Party’s activities with respect to</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Licensed Compounds and Licensed Products) that is identified by the other Party in such proposed Publication within such [***] (or</w:t>
            </w:r>
          </w:p>
        </w:tc>
      </w:tr>
      <w:tr>
        <w:trPr>
          <w:trHeight w:val="216"/>
        </w:trPr>
        <w:tc>
          <w:tcPr>
            <w:tcW w:w="64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shorter, as applicable) period. Each Party agrees to acknowledge the contributions of the other Party and the other Party’s employees, in</w:t>
            </w:r>
          </w:p>
        </w:tc>
      </w:tr>
      <w:tr>
        <w:trPr>
          <w:trHeight w:val="234"/>
        </w:trPr>
        <w:tc>
          <w:tcPr>
            <w:tcW w:w="640" w:type="dxa"/>
            <w:vAlign w:val="bottom"/>
          </w:tcPr>
          <w:p>
            <w:pPr>
              <w:spacing w:after="0"/>
              <w:rPr>
                <w:sz w:val="20"/>
                <w:szCs w:val="20"/>
                <w:color w:val="auto"/>
              </w:rPr>
            </w:pP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each case, in accordance with standard academic practice regarding authorship of scientific publication.</w:t>
            </w:r>
          </w:p>
        </w:tc>
      </w:tr>
      <w:tr>
        <w:trPr>
          <w:trHeight w:val="626"/>
        </w:trPr>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10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ARTICLE 15</w:t>
            </w:r>
          </w:p>
        </w:tc>
      </w:tr>
      <w:tr>
        <w:trPr>
          <w:trHeight w:val="238"/>
        </w:trPr>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0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REPRESENTATIONS, WARRANTIES, AND COVENANTS</w:t>
            </w:r>
          </w:p>
        </w:tc>
      </w:tr>
      <w:tr>
        <w:trPr>
          <w:trHeight w:val="44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15.1</w:t>
            </w:r>
          </w:p>
        </w:tc>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Mutual Representations and Warranties</w:t>
            </w:r>
            <w:r>
              <w:rPr>
                <w:rFonts w:ascii="Times New Roman" w:cs="Times New Roman" w:eastAsia="Times New Roman" w:hAnsi="Times New Roman"/>
                <w:sz w:val="18"/>
                <w:szCs w:val="18"/>
                <w:color w:val="auto"/>
                <w:w w:val="99"/>
              </w:rPr>
              <w:t>. As of the Effective Date, Terray and Odyssey each hereby represents and warrants to the other</w:t>
            </w:r>
          </w:p>
        </w:tc>
      </w:tr>
      <w:tr>
        <w:trPr>
          <w:trHeight w:val="234"/>
        </w:trPr>
        <w:tc>
          <w:tcPr>
            <w:tcW w:w="640" w:type="dxa"/>
            <w:vAlign w:val="bottom"/>
          </w:tcPr>
          <w:p>
            <w:pPr>
              <w:spacing w:after="0"/>
              <w:rPr>
                <w:sz w:val="20"/>
                <w:szCs w:val="20"/>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follows:</w:t>
            </w:r>
          </w:p>
        </w:tc>
        <w:tc>
          <w:tcPr>
            <w:tcW w:w="9100" w:type="dxa"/>
            <w:vAlign w:val="bottom"/>
          </w:tcPr>
          <w:p>
            <w:pPr>
              <w:spacing w:after="0"/>
              <w:rPr>
                <w:sz w:val="20"/>
                <w:szCs w:val="20"/>
                <w:color w:val="auto"/>
              </w:rPr>
            </w:pPr>
          </w:p>
        </w:tc>
      </w:tr>
      <w:tr>
        <w:trPr>
          <w:trHeight w:val="319"/>
        </w:trPr>
        <w:tc>
          <w:tcPr>
            <w:tcW w:w="64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15.1.1</w:t>
            </w: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 It is a corporation duly organized, validly existing, and in good standing under the laws of the jurisdiction of</w:t>
            </w:r>
          </w:p>
        </w:tc>
      </w:tr>
      <w:tr>
        <w:trPr>
          <w:trHeight w:val="216"/>
        </w:trPr>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organization, and has all requisite power and authority, corporate or otherwise, to execute, deliver, and perform this</w:t>
            </w:r>
          </w:p>
        </w:tc>
      </w:tr>
      <w:tr>
        <w:trPr>
          <w:trHeight w:val="234"/>
        </w:trPr>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w:t>
            </w:r>
          </w:p>
        </w:tc>
      </w:tr>
      <w:tr>
        <w:trPr>
          <w:trHeight w:val="319"/>
        </w:trPr>
        <w:tc>
          <w:tcPr>
            <w:tcW w:w="64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15.1.2</w:t>
            </w: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Authorization; No Conflicts</w:t>
            </w:r>
            <w:r>
              <w:rPr>
                <w:rFonts w:ascii="Times New Roman" w:cs="Times New Roman" w:eastAsia="Times New Roman" w:hAnsi="Times New Roman"/>
                <w:sz w:val="18"/>
                <w:szCs w:val="18"/>
                <w:color w:val="auto"/>
              </w:rPr>
              <w:t>. The execution and delivery of this Agreement and the performance by it of the transactions</w:t>
            </w:r>
          </w:p>
        </w:tc>
      </w:tr>
      <w:tr>
        <w:trPr>
          <w:trHeight w:val="216"/>
        </w:trPr>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contemplated hereby have been duly authorized by all necessary corporate action and will not violate (a) such Party’s</w:t>
            </w:r>
          </w:p>
        </w:tc>
      </w:tr>
      <w:tr>
        <w:trPr>
          <w:trHeight w:val="216"/>
        </w:trPr>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or bylaws (or equivalent charter or organizational documents), (b) any agreement, instrument or</w:t>
            </w:r>
          </w:p>
        </w:tc>
      </w:tr>
      <w:tr>
        <w:trPr>
          <w:trHeight w:val="234"/>
        </w:trPr>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contractual obligation to which such Party is bound, (c) any</w:t>
            </w:r>
          </w:p>
        </w:tc>
      </w:tr>
      <w:tr>
        <w:trPr>
          <w:trHeight w:val="364"/>
        </w:trPr>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1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-61-</w:t>
            </w:r>
          </w:p>
        </w:tc>
      </w:tr>
    </w:tbl>
    <w:p>
      <w:pPr>
        <w:jc w:val="center"/>
        <w:ind w:right="171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62" w:name="page463"/>
    <w:bookmarkEnd w:id="462"/>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requirement of any Applicable Law or regulations or court or administrative under, or (d) any order, writ, judgment,</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injunction, decree, determination, or award of any court or Governmental Authority presently in effect applicable to such</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Party.</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15.1.3</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 Inconsistent Obligation</w:t>
            </w:r>
            <w:r>
              <w:rPr>
                <w:rFonts w:ascii="Times New Roman" w:cs="Times New Roman" w:eastAsia="Times New Roman" w:hAnsi="Times New Roman"/>
                <w:sz w:val="18"/>
                <w:szCs w:val="18"/>
                <w:color w:val="auto"/>
              </w:rPr>
              <w:t>. It is not under any obligation, contractual, or otherwise, to any Person that conflicts with or is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inconsistent in any respect with the terms of this Agreement.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15.1.4</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No Litigation</w:t>
            </w:r>
            <w:r>
              <w:rPr>
                <w:rFonts w:ascii="Times New Roman" w:cs="Times New Roman" w:eastAsia="Times New Roman" w:hAnsi="Times New Roman"/>
                <w:sz w:val="18"/>
                <w:szCs w:val="18"/>
                <w:color w:val="auto"/>
                <w:w w:val="99"/>
              </w:rPr>
              <w:t>. There is no action or proceeding pending or, to the knowledge of such Party, threatened that would reasonably</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 expected to impair or delay the ability of such Party to perform its obligations under this Agreement.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15.1.5</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Government Authorizations</w:t>
            </w:r>
            <w:r>
              <w:rPr>
                <w:rFonts w:ascii="Times New Roman" w:cs="Times New Roman" w:eastAsia="Times New Roman" w:hAnsi="Times New Roman"/>
                <w:sz w:val="18"/>
                <w:szCs w:val="18"/>
                <w:color w:val="auto"/>
              </w:rPr>
              <w:t>. All consents, approvals, and authorizations from all Governmental Authorities or other Third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Parties required to be obtained by such Party in connection with entering this Agreement, including the grant of any licenses,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have been obtained.</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15.1.6</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Debarment</w:t>
            </w:r>
            <w:r>
              <w:rPr>
                <w:rFonts w:ascii="Times New Roman" w:cs="Times New Roman" w:eastAsia="Times New Roman" w:hAnsi="Times New Roman"/>
                <w:sz w:val="18"/>
                <w:szCs w:val="18"/>
                <w:color w:val="auto"/>
              </w:rPr>
              <w:t>. Neither such Party, nor any Affiliate of such Party, has been debarred by any Regulatory Authority, including</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the Generic Drug Enforcement Act of 1992 (21 U.S.C. §301 et seq.), is under investigation for debarment action by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 Regulatory Authority, has been disqualified as an investigator pursuant to 21 C.F.R. §312.70, has a disqualification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hearing pending or is currently employing or using any Person that has been so debarred or disqualified by any Regulatory</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Authority to perform any of such Party’s obligations under this Agreement.</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15.2</w:t>
            </w: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Additional Representations of Terray as of the Effective Date</w:t>
            </w:r>
            <w:r>
              <w:rPr>
                <w:rFonts w:ascii="Times New Roman" w:cs="Times New Roman" w:eastAsia="Times New Roman" w:hAnsi="Times New Roman"/>
                <w:sz w:val="18"/>
                <w:szCs w:val="18"/>
                <w:color w:val="auto"/>
              </w:rPr>
              <w:t>. As of the Effective Date, Terray further represents and warrants to</w:t>
            </w:r>
          </w:p>
        </w:tc>
      </w:tr>
      <w:tr>
        <w:trPr>
          <w:trHeight w:val="234"/>
        </w:trPr>
        <w:tc>
          <w:tcPr>
            <w:tcW w:w="6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Odyssey, that: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15.2.1</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Terray Licensed Patent Rights</w:t>
            </w:r>
            <w:r>
              <w:rPr>
                <w:rFonts w:ascii="Times New Roman" w:cs="Times New Roman" w:eastAsia="Times New Roman" w:hAnsi="Times New Roman"/>
                <w:sz w:val="18"/>
                <w:szCs w:val="18"/>
                <w:color w:val="auto"/>
              </w:rPr>
              <w:t>. To the knowledge of Terray, all application, registration, maintenance, and renewal fees in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 of Terray’s Background IP in the Terray Licensed Technology as of the Effective Date have been paid and all</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necessary documents and certificates have been filed with the relevant agencies for the purpose of maintaining Terray’s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Background IP in the Terray Licensed Technology.</w:t>
            </w:r>
          </w:p>
        </w:tc>
      </w:tr>
      <w:tr>
        <w:trPr>
          <w:trHeight w:val="338"/>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15.2.2</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15.2.3</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Existing In-License</w:t>
            </w:r>
            <w:r>
              <w:rPr>
                <w:rFonts w:ascii="Times New Roman" w:cs="Times New Roman" w:eastAsia="Times New Roman" w:hAnsi="Times New Roman"/>
                <w:sz w:val="18"/>
                <w:szCs w:val="18"/>
                <w:color w:val="auto"/>
              </w:rPr>
              <w:t>. Terray is not a party to any agreement with a Third Party pursuant to which Terray Controls any of</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Terray’s Background IP in the Terray Licensed Technology.</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15.2.4</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Terray Inventions and Assignments</w:t>
            </w:r>
            <w:r>
              <w:rPr>
                <w:rFonts w:ascii="Times New Roman" w:cs="Times New Roman" w:eastAsia="Times New Roman" w:hAnsi="Times New Roman"/>
                <w:sz w:val="18"/>
                <w:szCs w:val="18"/>
                <w:color w:val="auto"/>
                <w:w w:val="99"/>
              </w:rPr>
              <w:t>. With respect to Terray’s Background IP in the Terray Licensed Technology: (a) Terray</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its Affiliates have obtained from all individuals who contributed to the conception or reduction to practice thereof,</w:t>
            </w:r>
          </w:p>
        </w:tc>
      </w:tr>
    </w:tbl>
    <w:p>
      <w:pPr>
        <w:ind w:left="196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assignments of all ownership rights of such individuals in such Background IP, either pursuant to written agreement or by operation of law; and (b) all of its employees, officers, and consultants have executed agreements or have existing obligations under Applicable Law requiring assignment to Terray or its Affiliates, as applicable, of all</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463" w:name="page464"/>
    <w:bookmarkEnd w:id="463"/>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inventions made during the course of performance under this Agreement, and no officer or employee of Terray or its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Affiliates is subject to any agreement with any other Third Party that requires such officer or employee to assign any interest</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any of such Background IP to any Third Party.</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15.2.5</w:t>
            </w: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No Terray Infringement</w:t>
            </w:r>
            <w:r>
              <w:rPr>
                <w:rFonts w:ascii="Times New Roman" w:cs="Times New Roman" w:eastAsia="Times New Roman" w:hAnsi="Times New Roman"/>
                <w:sz w:val="18"/>
                <w:szCs w:val="18"/>
                <w:color w:val="auto"/>
                <w:w w:val="98"/>
              </w:rPr>
              <w:t>. To the knowledge of Terray, the use of Terray’s Background IP in the Terray Licensed Technology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contemplated under this Agreement does not infringe, misappropriate, or otherwise violate any intellectual property rights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any Third Party.</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15.2.6</w:t>
            </w: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 Third Party Infringement</w:t>
            </w:r>
            <w:r>
              <w:rPr>
                <w:rFonts w:ascii="Times New Roman" w:cs="Times New Roman" w:eastAsia="Times New Roman" w:hAnsi="Times New Roman"/>
                <w:sz w:val="18"/>
                <w:szCs w:val="18"/>
                <w:color w:val="auto"/>
              </w:rPr>
              <w:t>. To the knowledge of Terray, no Patent Right or trade secret right owned or controlled by a</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Party will be infringed or misappropriated by the performance of the Research Activities in accordance with this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nor has Terray or its Affiliates received in writing any notice alleging such infringement or misappropriation.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15.3</w:t>
            </w: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Additional Representations of Odyssey as of the Effective Date</w:t>
            </w:r>
            <w:r>
              <w:rPr>
                <w:rFonts w:ascii="Times New Roman" w:cs="Times New Roman" w:eastAsia="Times New Roman" w:hAnsi="Times New Roman"/>
                <w:sz w:val="18"/>
                <w:szCs w:val="18"/>
                <w:color w:val="auto"/>
              </w:rPr>
              <w:t>. As of the Effective Date, Odyssey further represents and warrants to</w:t>
            </w:r>
          </w:p>
        </w:tc>
      </w:tr>
      <w:tr>
        <w:trPr>
          <w:trHeight w:val="234"/>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Odyssey, that: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15.3.1</w:t>
            </w: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Odyssey Licensed Patent Rights</w:t>
            </w:r>
            <w:r>
              <w:rPr>
                <w:rFonts w:ascii="Times New Roman" w:cs="Times New Roman" w:eastAsia="Times New Roman" w:hAnsi="Times New Roman"/>
                <w:sz w:val="18"/>
                <w:szCs w:val="18"/>
                <w:color w:val="auto"/>
                <w:w w:val="99"/>
              </w:rPr>
              <w:t>. To the knowledge of Odyssey, all application, registration, maintenance, and renewal fees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respect of Odyssey’s Background IP in the Odyssey Licensed Technology as of the Effective Date have been paid and all</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necessary documents and certificates have been filed with the relevant agencies for the purpose of maintaining Odyssey’s</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Background IP in the Odyssey Licensed Technology.</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15.3.2</w:t>
            </w: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Existing In-License</w:t>
            </w:r>
            <w:r>
              <w:rPr>
                <w:rFonts w:ascii="Times New Roman" w:cs="Times New Roman" w:eastAsia="Times New Roman" w:hAnsi="Times New Roman"/>
                <w:sz w:val="18"/>
                <w:szCs w:val="18"/>
                <w:color w:val="auto"/>
              </w:rPr>
              <w:t>. Odyssey is not a party to any agreement with a Third Party pursuant to which Odyssey Controls any of</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Odyssey’s Background IP in the Odyssey Licensed Technology.</w:t>
            </w: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15.3.3</w:t>
      </w:r>
      <w:r>
        <w:rPr>
          <w:sz w:val="20"/>
          <w:szCs w:val="20"/>
          <w:color w:val="auto"/>
        </w:rPr>
        <w:tab/>
      </w:r>
      <w:r>
        <w:rPr>
          <w:rFonts w:ascii="Times New Roman" w:cs="Times New Roman" w:eastAsia="Times New Roman" w:hAnsi="Times New Roman"/>
          <w:sz w:val="17"/>
          <w:szCs w:val="17"/>
          <w:b w:val="1"/>
          <w:bCs w:val="1"/>
          <w:color w:val="auto"/>
        </w:rPr>
        <w:t>Odyssey Inventions and Assignments</w:t>
      </w:r>
      <w:r>
        <w:rPr>
          <w:rFonts w:ascii="Times New Roman" w:cs="Times New Roman" w:eastAsia="Times New Roman" w:hAnsi="Times New Roman"/>
          <w:sz w:val="17"/>
          <w:szCs w:val="17"/>
          <w:color w:val="auto"/>
        </w:rPr>
        <w:t>. With respect to Odyssey’s Background IP in the Odyssey Licensed Technology:</w:t>
      </w:r>
    </w:p>
    <w:p>
      <w:pPr>
        <w:spacing w:after="0" w:line="31" w:lineRule="exact"/>
        <w:rPr>
          <w:sz w:val="20"/>
          <w:szCs w:val="20"/>
          <w:color w:val="auto"/>
        </w:rPr>
      </w:pPr>
    </w:p>
    <w:p>
      <w:pPr>
        <w:ind w:left="1960" w:right="120" w:firstLine="7"/>
        <w:spacing w:after="0" w:line="252" w:lineRule="auto"/>
        <w:tabs>
          <w:tab w:leader="none" w:pos="220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Odyssey and its Affiliates have obtained from all individuals who contributed to the conception or reduction to practice thereof, effective assignments of all ownership rights of such individuals in such Background IP, either pursuant to written agreement or by operation of law; and (b) all of its employees, officers, and consultants have executed agreements or have existing obligations under Applicable Law requiring assignment to Odyssey or its Affiliates, as applicable, of all inventions made during the course of performance under this Agreement, and no officer or employee of Odyssey or its Affiliates is subject to any agreement with any other Third Party that requires such officer or employee to assign any interest in any of such Background IP to any Third Party.</w:t>
      </w:r>
    </w:p>
    <w:p>
      <w:pPr>
        <w:spacing w:after="0" w:line="90" w:lineRule="exact"/>
        <w:rPr>
          <w:sz w:val="20"/>
          <w:szCs w:val="20"/>
          <w:color w:val="auto"/>
        </w:rPr>
      </w:pPr>
    </w:p>
    <w:p>
      <w:pPr>
        <w:jc w:val="both"/>
        <w:ind w:left="1960" w:right="260" w:hanging="985"/>
        <w:spacing w:after="0" w:line="268" w:lineRule="auto"/>
        <w:tabs>
          <w:tab w:leader="none" w:pos="1940" w:val="left"/>
        </w:tabs>
        <w:rPr>
          <w:sz w:val="20"/>
          <w:szCs w:val="20"/>
          <w:color w:val="auto"/>
        </w:rPr>
      </w:pPr>
      <w:r>
        <w:rPr>
          <w:rFonts w:ascii="Times New Roman" w:cs="Times New Roman" w:eastAsia="Times New Roman" w:hAnsi="Times New Roman"/>
          <w:sz w:val="18"/>
          <w:szCs w:val="18"/>
          <w:color w:val="auto"/>
        </w:rPr>
        <w:t>15.3.4</w:t>
      </w:r>
      <w:r>
        <w:rPr>
          <w:sz w:val="20"/>
          <w:szCs w:val="20"/>
          <w:color w:val="auto"/>
        </w:rPr>
        <w:tab/>
      </w:r>
      <w:r>
        <w:rPr>
          <w:rFonts w:ascii="Times New Roman" w:cs="Times New Roman" w:eastAsia="Times New Roman" w:hAnsi="Times New Roman"/>
          <w:sz w:val="18"/>
          <w:szCs w:val="18"/>
          <w:b w:val="1"/>
          <w:bCs w:val="1"/>
          <w:color w:val="auto"/>
        </w:rPr>
        <w:t>No Odyssey Infringement</w:t>
      </w:r>
      <w:r>
        <w:rPr>
          <w:rFonts w:ascii="Times New Roman" w:cs="Times New Roman" w:eastAsia="Times New Roman" w:hAnsi="Times New Roman"/>
          <w:sz w:val="18"/>
          <w:szCs w:val="18"/>
          <w:color w:val="auto"/>
        </w:rPr>
        <w:t>. To the knowledge of Odyssey, the use of Odyssey’s Background IP in the Odyssey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as contemplated under this Agreement does not infringe, misappropriate, or otherwise violate any intellectual property rights of any Third Party.</w:t>
      </w:r>
    </w:p>
    <w:p>
      <w:pPr>
        <w:spacing w:after="0" w:line="76" w:lineRule="exact"/>
        <w:rPr>
          <w:sz w:val="20"/>
          <w:szCs w:val="20"/>
          <w:color w:val="auto"/>
        </w:rPr>
      </w:pPr>
    </w:p>
    <w:p>
      <w:pPr>
        <w:ind w:left="1960" w:right="40" w:hanging="985"/>
        <w:spacing w:after="0" w:line="268" w:lineRule="auto"/>
        <w:tabs>
          <w:tab w:leader="none" w:pos="1940" w:val="left"/>
        </w:tabs>
        <w:rPr>
          <w:sz w:val="20"/>
          <w:szCs w:val="20"/>
          <w:color w:val="auto"/>
        </w:rPr>
      </w:pPr>
      <w:r>
        <w:rPr>
          <w:rFonts w:ascii="Times New Roman" w:cs="Times New Roman" w:eastAsia="Times New Roman" w:hAnsi="Times New Roman"/>
          <w:sz w:val="18"/>
          <w:szCs w:val="18"/>
          <w:color w:val="auto"/>
        </w:rPr>
        <w:t>15.3.5</w:t>
      </w:r>
      <w:r>
        <w:rPr>
          <w:sz w:val="20"/>
          <w:szCs w:val="20"/>
          <w:color w:val="auto"/>
        </w:rPr>
        <w:tab/>
      </w:r>
      <w:r>
        <w:rPr>
          <w:rFonts w:ascii="Times New Roman" w:cs="Times New Roman" w:eastAsia="Times New Roman" w:hAnsi="Times New Roman"/>
          <w:sz w:val="18"/>
          <w:szCs w:val="18"/>
          <w:b w:val="1"/>
          <w:bCs w:val="1"/>
          <w:color w:val="auto"/>
        </w:rPr>
        <w:t>No Third Party Infringement</w:t>
      </w:r>
      <w:r>
        <w:rPr>
          <w:rFonts w:ascii="Times New Roman" w:cs="Times New Roman" w:eastAsia="Times New Roman" w:hAnsi="Times New Roman"/>
          <w:sz w:val="18"/>
          <w:szCs w:val="18"/>
          <w:color w:val="auto"/>
        </w:rPr>
        <w:t>. To the knowledge of Odyssey, no Patent Right or trade secret right owned or controlled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will be infringed or misappropriated by the performance of the Research Activities in accordance with this Agreement, nor has Odyssey or its Affiliates received in writing any notice alleging such infringement or misappropriation.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464" w:name="page465"/>
    <w:bookmarkEnd w:id="46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15.4</w:t>
      </w:r>
      <w:r>
        <w:rPr>
          <w:sz w:val="20"/>
          <w:szCs w:val="20"/>
          <w:color w:val="auto"/>
        </w:rPr>
        <w:tab/>
      </w:r>
      <w:r>
        <w:rPr>
          <w:rFonts w:ascii="Times New Roman" w:cs="Times New Roman" w:eastAsia="Times New Roman" w:hAnsi="Times New Roman"/>
          <w:sz w:val="17"/>
          <w:szCs w:val="17"/>
          <w:b w:val="1"/>
          <w:bCs w:val="1"/>
          <w:color w:val="auto"/>
        </w:rPr>
        <w:t>Mutual Covenants</w:t>
      </w:r>
      <w:r>
        <w:rPr>
          <w:rFonts w:ascii="Times New Roman" w:cs="Times New Roman" w:eastAsia="Times New Roman" w:hAnsi="Times New Roman"/>
          <w:sz w:val="17"/>
          <w:szCs w:val="17"/>
          <w:color w:val="auto"/>
        </w:rPr>
        <w:t>. Each of Odyssey and Terray covenant to the other as follows:</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15.4.1</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Conduct of Activities</w:t>
            </w:r>
            <w:r>
              <w:rPr>
                <w:rFonts w:ascii="Times New Roman" w:cs="Times New Roman" w:eastAsia="Times New Roman" w:hAnsi="Times New Roman"/>
                <w:sz w:val="18"/>
                <w:szCs w:val="18"/>
                <w:color w:val="auto"/>
              </w:rPr>
              <w:t>. Each Party will conduct, and each will ensure that their Affiliates, licensees and permitted</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Sublicensees (as applicable), and Subcontractors conduct, all activities under the Research Plan and Development Plan in a</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 scientific manner, in accordance with cGLP, cGMP, and cGCP, as applicable, and in compliance with Applicable Law.</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Each Party and its Affiliates will maintain written or electronic records, in sufficient detail, in a good scientific manner (in</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accordance with cGLP, cGCP, and cGMP, as applicable), and appropriate for regulatory and patent purposes, and that are</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and accurate in all material respects and reflect all activities performed and results achieved, in each case, by or on</w:t>
            </w:r>
          </w:p>
        </w:tc>
      </w:tr>
      <w:tr>
        <w:trPr>
          <w:trHeight w:val="234"/>
        </w:trPr>
        <w:tc>
          <w:tcPr>
            <w:tcW w:w="72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behalf of such Party and its Affiliates.</w:t>
            </w:r>
          </w:p>
        </w:tc>
      </w:tr>
      <w:tr>
        <w:trPr>
          <w:trHeight w:val="319"/>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15.4.2</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 Encumbrances</w:t>
            </w:r>
            <w:r>
              <w:rPr>
                <w:rFonts w:ascii="Times New Roman" w:cs="Times New Roman" w:eastAsia="Times New Roman" w:hAnsi="Times New Roman"/>
                <w:sz w:val="18"/>
                <w:szCs w:val="18"/>
                <w:color w:val="auto"/>
              </w:rPr>
              <w:t>. It will, and will ensure that its Affiliates will, (a) maintain Control of all Terray Licensed Technology</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(solely with respect to the covenant made by Terray) or Odyssey Licensed Technology (solely with respect to the covenant</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made by Odyssey), and (b) not assign, transfer, restrict, impair, encumber or diminish or otherwise grant any Third party any</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with respect to the Terray Licensed Technology (solely with respect to the covenant made by Terray) or Odyssey</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Licensed Technology (solely with respect to the covenant made by Odyssey) in a manner that would conflict with the other</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Party’s rights hereunder or the activities contemplated under this Agreement without first obtaining such other Party’s prior</w:t>
            </w:r>
          </w:p>
        </w:tc>
      </w:tr>
      <w:tr>
        <w:trPr>
          <w:trHeight w:val="234"/>
        </w:trPr>
        <w:tc>
          <w:tcPr>
            <w:tcW w:w="72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written consent.</w:t>
            </w:r>
          </w:p>
        </w:tc>
      </w:tr>
      <w:tr>
        <w:trPr>
          <w:trHeight w:val="319"/>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15.4.3</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In-Licenses</w:t>
            </w:r>
            <w:r>
              <w:rPr>
                <w:rFonts w:ascii="Times New Roman" w:cs="Times New Roman" w:eastAsia="Times New Roman" w:hAnsi="Times New Roman"/>
                <w:sz w:val="18"/>
                <w:szCs w:val="18"/>
                <w:color w:val="auto"/>
              </w:rPr>
              <w:t>. It will, and will ensure that its Affiliates will, (a) maintain and not breach, and will cause its</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Affiliates to maintain and not breach, any Collaboration In-License that it is a Party to, and (b) not amend, modify or</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terminate any such agreement in a manner that would adversely affect the other Party’s rights hereunder, or a Third Party</w:t>
            </w:r>
          </w:p>
        </w:tc>
      </w:tr>
      <w:tr>
        <w:trPr>
          <w:trHeight w:val="234"/>
        </w:trPr>
        <w:tc>
          <w:tcPr>
            <w:tcW w:w="72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Out-Licensee’s rights under an Out-Licensing Agreement, without first obtaining the other Party’s prior written consent.</w:t>
            </w:r>
          </w:p>
        </w:tc>
      </w:tr>
      <w:tr>
        <w:trPr>
          <w:trHeight w:val="319"/>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15.4.4</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Out-Licensing Agreements</w:t>
            </w:r>
            <w:r>
              <w:rPr>
                <w:rFonts w:ascii="Times New Roman" w:cs="Times New Roman" w:eastAsia="Times New Roman" w:hAnsi="Times New Roman"/>
                <w:sz w:val="18"/>
                <w:szCs w:val="18"/>
                <w:color w:val="auto"/>
              </w:rPr>
              <w:t>. It will, and will ensure that Affiliates will, (a) maintain and not breach, and will cause its</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Affiliates to maintain and not breach, any Out-Licensing Agreement that it is a Party to, and (b) not amend, modify or</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terminate any such agreement in a manner that would adversely affect the other Party’s rights hereunder without first</w:t>
            </w:r>
          </w:p>
        </w:tc>
      </w:tr>
      <w:tr>
        <w:trPr>
          <w:trHeight w:val="234"/>
        </w:trPr>
        <w:tc>
          <w:tcPr>
            <w:tcW w:w="72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obtaining such other Party’s prior written consent.</w:t>
            </w:r>
          </w:p>
        </w:tc>
      </w:tr>
      <w:tr>
        <w:trPr>
          <w:trHeight w:val="319"/>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15.4.5</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It will, and will ensure that its Affiliates, comply with all Applicable Law in connection with the</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performance of its and its Affiliates’ activities under this Agreement, including, to the extent applicable, the U.S. Foreign</w:t>
            </w:r>
          </w:p>
        </w:tc>
      </w:tr>
      <w:tr>
        <w:trPr>
          <w:trHeight w:val="216"/>
        </w:trPr>
        <w:tc>
          <w:tcPr>
            <w:tcW w:w="72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Corrupt Practices Act, the European Data Protection Directive 95/46/EC, the European General Data Protection Regulation</w:t>
            </w:r>
          </w:p>
        </w:tc>
      </w:tr>
      <w:tr>
        <w:trPr>
          <w:trHeight w:val="234"/>
        </w:trPr>
        <w:tc>
          <w:tcPr>
            <w:tcW w:w="72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(Regulation (EU) 2016/679), and any other applicable national data protection legislation.</w:t>
            </w:r>
          </w:p>
        </w:tc>
      </w:tr>
      <w:tr>
        <w:trPr>
          <w:trHeight w:val="319"/>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15.4.6</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 Inconsistent Obligations</w:t>
            </w:r>
            <w:r>
              <w:rPr>
                <w:rFonts w:ascii="Times New Roman" w:cs="Times New Roman" w:eastAsia="Times New Roman" w:hAnsi="Times New Roman"/>
                <w:sz w:val="18"/>
                <w:szCs w:val="18"/>
                <w:color w:val="auto"/>
              </w:rPr>
              <w:t>. It will not, and will ensure that its Affiliates will not, take any action or enter into any</w:t>
            </w:r>
          </w:p>
        </w:tc>
      </w:tr>
      <w:tr>
        <w:trPr>
          <w:trHeight w:val="234"/>
        </w:trPr>
        <w:tc>
          <w:tcPr>
            <w:tcW w:w="72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with any Third Party that conflicts with the rights granted to the other Party under this Agreement.</w:t>
            </w:r>
          </w:p>
        </w:tc>
      </w:tr>
      <w:tr>
        <w:trPr>
          <w:trHeight w:val="319"/>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15.4.7</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Foreign Corrupt Practices Act of 1977</w:t>
            </w:r>
            <w:r>
              <w:rPr>
                <w:rFonts w:ascii="Times New Roman" w:cs="Times New Roman" w:eastAsia="Times New Roman" w:hAnsi="Times New Roman"/>
                <w:sz w:val="18"/>
                <w:szCs w:val="18"/>
                <w:color w:val="auto"/>
              </w:rPr>
              <w:t>. In performing under this Agreement, it and its Affiliates agree to comply with all</w:t>
            </w:r>
          </w:p>
        </w:tc>
      </w:tr>
      <w:tr>
        <w:trPr>
          <w:trHeight w:val="234"/>
        </w:trPr>
        <w:tc>
          <w:tcPr>
            <w:tcW w:w="72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applicable anti-corruption laws, including the Foreign Corrupt Practices Act of 1977, as amended from time-to-time; the anti-</w:t>
            </w:r>
          </w:p>
        </w:tc>
      </w:tr>
    </w:tbl>
    <w:p>
      <w:pPr>
        <w:ind w:left="1960" w:right="720"/>
        <w:spacing w:after="0" w:line="260" w:lineRule="auto"/>
        <w:rPr>
          <w:sz w:val="20"/>
          <w:szCs w:val="20"/>
          <w:color w:val="auto"/>
        </w:rPr>
      </w:pPr>
      <w:r>
        <w:rPr>
          <w:rFonts w:ascii="Times New Roman" w:cs="Times New Roman" w:eastAsia="Times New Roman" w:hAnsi="Times New Roman"/>
          <w:sz w:val="18"/>
          <w:szCs w:val="18"/>
          <w:color w:val="auto"/>
        </w:rPr>
        <w:t>corruption laws of the Territory; and all laws enacted to implement the Organization for Economic Cooperation and Development Convention on Combating Bribery of Foreign Officials in International Business Transactions.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66" w:right="439" w:bottom="1440" w:gutter="0" w:footer="0" w:header="0"/>
        </w:sectPr>
      </w:pPr>
    </w:p>
    <w:bookmarkStart w:id="465" w:name="page466"/>
    <w:bookmarkEnd w:id="465"/>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15.4.8</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 Bribery</w:t>
            </w:r>
            <w:r>
              <w:rPr>
                <w:rFonts w:ascii="Times New Roman" w:cs="Times New Roman" w:eastAsia="Times New Roman" w:hAnsi="Times New Roman"/>
                <w:sz w:val="18"/>
                <w:szCs w:val="18"/>
                <w:color w:val="auto"/>
              </w:rPr>
              <w:t>. It will not directly or indirectly offer or pay, or authorize such offer or payment of, any money, or transfer</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anything of value, to improperly seek to influence: (a) any elected or appointed government official (e.g., a member of a</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ministry of health); (b) any employee or person acting for or on behalf of a Governmental Authority; (c) any political party</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 employee, or person acting for or on behalf of a political party or candidate for public office; (d) an employee or</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person acting for or on behalf of a public international organization; or (e) any person otherwise categorized as a government</w:t>
            </w:r>
          </w:p>
        </w:tc>
      </w:tr>
      <w:tr>
        <w:trPr>
          <w:trHeight w:val="234"/>
        </w:trPr>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official under local law.</w:t>
            </w:r>
          </w:p>
        </w:tc>
      </w:tr>
      <w:tr>
        <w:trPr>
          <w:trHeight w:val="319"/>
        </w:trPr>
        <w:tc>
          <w:tcPr>
            <w:tcW w:w="6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15.4.9</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Export Control</w:t>
            </w:r>
            <w:r>
              <w:rPr>
                <w:rFonts w:ascii="Times New Roman" w:cs="Times New Roman" w:eastAsia="Times New Roman" w:hAnsi="Times New Roman"/>
                <w:sz w:val="18"/>
                <w:szCs w:val="18"/>
                <w:color w:val="auto"/>
              </w:rPr>
              <w:t>. Neither it nor its Affiliates will export, transfer, or sell any Licensed Product to any country or territory</w:t>
            </w:r>
          </w:p>
        </w:tc>
      </w:tr>
      <w:tr>
        <w:trPr>
          <w:trHeight w:val="234"/>
        </w:trPr>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except in compliance with Applicable Law.</w:t>
            </w:r>
          </w:p>
        </w:tc>
      </w:tr>
      <w:tr>
        <w:trPr>
          <w:trHeight w:val="319"/>
        </w:trPr>
        <w:tc>
          <w:tcPr>
            <w:tcW w:w="6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15.4.10</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Debarment</w:t>
            </w:r>
            <w:r>
              <w:rPr>
                <w:rFonts w:ascii="Times New Roman" w:cs="Times New Roman" w:eastAsia="Times New Roman" w:hAnsi="Times New Roman"/>
                <w:sz w:val="18"/>
                <w:szCs w:val="18"/>
                <w:color w:val="auto"/>
              </w:rPr>
              <w:t>. It will not engage, in any capacity in connection with this Agreement or any ancillary agreements, any officer,</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contractor, consultant, agent, representative, or other person who has been debarred by any Regulatory Authority,</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including under the Generic Drug Enforcement Act of 1992 (21 U.S.C. §301 et seq.), is under investigation for debarment</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action by any Regulatory Authority, has been disqualified as an investigator pursuant to 21 C.F.R. §312.70, has a</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disqualification hearing pending or is currently employing or using any Person that has been so debarred or disqualified by</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Regulatory Authority to perform any of such Party’s obligations under this Agreement. Each Party will inform the other</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Party in writing promptly if it or any person engaged by it or any of its Affiliates who is performing any obligations under</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this Agreement or any ancillary agreements is debarred or excluded, or if any action, suit, claim, investigation or legal or</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proceeding is pending or, to each Party’s knowledge, is threatened, pursuant to which a Party, any of its</w:t>
            </w:r>
          </w:p>
        </w:tc>
      </w:tr>
      <w:tr>
        <w:trPr>
          <w:trHeight w:val="234"/>
        </w:trPr>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Affiliates or any such person performing obligations hereunder or thereunder may become debarred or excluded.</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15.5</w:t>
            </w: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Warranty Disclaimer</w:t>
            </w:r>
            <w:r>
              <w:rPr>
                <w:rFonts w:ascii="Times New Roman" w:cs="Times New Roman" w:eastAsia="Times New Roman" w:hAnsi="Times New Roman"/>
                <w:sz w:val="18"/>
                <w:szCs w:val="18"/>
                <w:color w:val="auto"/>
              </w:rPr>
              <w:t>. EXCEPT AS EXPRESSLY SET FORTH HEREIN, THE INTELLECTUAL PROPERTY RIGHTS AND</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MATERIALS PROVIDED BY EACH PARTY ARE PROVIDED “AS IS” AND WITHOUT WARRANTY. EXCEPT AS EXPRESSLY</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 FORTH HEREIN, EACH OF THE PARTIES EXPRESSLY DISCLAIMS ANY AND ALL WARRANTIES OF ANY KIND,</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EXPRESS OR IMPLIED, INCLUDING THE WARRANTIES OF DESIGN, MERCHANTABILITY, FITNESS FOR A PARTICULAR</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PURPOSE, VALIDITY, OR ENFORCEABILITY OF THEIR RESPECTIVE INTELLECTUAL PROPERTY RIGHTS, AND</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NONINFRINGEMENT OF THE INTELLECTUAL PROPERTY RIGHTS OF THIRD PARTIES, IN EACH CASE, ARISING FROM A</w:t>
            </w:r>
          </w:p>
        </w:tc>
      </w:tr>
      <w:tr>
        <w:trPr>
          <w:trHeight w:val="234"/>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COURSE OF DEALING, USAGE, OR TRADE PRACTICES, IN ALL CASES WITH RESPECT THERETO.</w:t>
            </w:r>
          </w:p>
        </w:tc>
      </w:tr>
      <w:tr>
        <w:trPr>
          <w:trHeight w:val="626"/>
        </w:trPr>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4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ARTICLE 16</w:t>
            </w:r>
          </w:p>
        </w:tc>
      </w:tr>
      <w:tr>
        <w:trPr>
          <w:trHeight w:val="238"/>
        </w:trPr>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4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INDEMNIFICATION; LIMITED LIABILITY; INSURANCE</w:t>
            </w:r>
          </w:p>
        </w:tc>
      </w:tr>
      <w:tr>
        <w:trPr>
          <w:trHeight w:val="44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16.1</w:t>
            </w: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Indemnification of Terray by Odyssey</w:t>
            </w:r>
            <w:r>
              <w:rPr>
                <w:rFonts w:ascii="Times New Roman" w:cs="Times New Roman" w:eastAsia="Times New Roman" w:hAnsi="Times New Roman"/>
                <w:sz w:val="18"/>
                <w:szCs w:val="18"/>
                <w:color w:val="auto"/>
              </w:rPr>
              <w:t>. Subject to Section 16.3 (Conditions to Indemnification) and Section 16.4 (Shared Losses),</w:t>
            </w:r>
          </w:p>
        </w:tc>
      </w:tr>
      <w:tr>
        <w:trPr>
          <w:trHeight w:val="234"/>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Odyssey will defend, indemnify, and hold harmless Terray and its Affiliates, and their respective employees, officers, and directors</w:t>
            </w:r>
          </w:p>
        </w:tc>
      </w:tr>
    </w:tbl>
    <w:p>
      <w:pPr>
        <w:ind w:left="98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(“Terray Indemnitees”) from and against any and all liability, damage, loss, cost, or expense of any nature (including reasonable attorney’s fees and litigation expenses) (“Losses”) incurred or imposed upon Terray Indemnitees or any one of them in connection with any claims, suits, actions, demands, proceedings, causes of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66" w:right="479" w:bottom="1440" w:gutter="0" w:footer="0" w:header="0"/>
        </w:sectPr>
      </w:pPr>
    </w:p>
    <w:bookmarkStart w:id="466" w:name="page467"/>
    <w:bookmarkEnd w:id="466"/>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action, or judgments resulting from a Third Party claim to the extent arising out of or relating to: (a) the breach by any Odyssey Indemnitee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Odyssey’s Sublicensees or Subcontractor of any term of this Agreement; (b) the negligence or willful misconduct of any Odyssey</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Indemnitee or Odyssey’s Sublicensee or Subcontractor; or (c) if, following an Opt-Out by Terray, Odyssey is the Continuing Party, the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Exploitation of any Licensed Compound or Licensed Product by or on behalf of any Odyssey Indemnitee or any of Odyssey’s</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Subcontractors or Sublicensees; except, in each case ((a) through (c)), to the extent that any such Losses result or arise from a matter under</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16.2 (Indemnification of Odyssey by Terray) for which Terray is obligated to indemnify Odyssey as to which Losses each Party</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will indemnify the other to the extent of their respective liability.</w:t>
            </w:r>
          </w:p>
        </w:tc>
      </w:tr>
      <w:tr>
        <w:trPr>
          <w:trHeight w:val="44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16.2</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Indemnification of Odyssey by Terray</w:t>
            </w:r>
            <w:r>
              <w:rPr>
                <w:rFonts w:ascii="Times New Roman" w:cs="Times New Roman" w:eastAsia="Times New Roman" w:hAnsi="Times New Roman"/>
                <w:sz w:val="18"/>
                <w:szCs w:val="18"/>
                <w:color w:val="auto"/>
                <w:w w:val="99"/>
              </w:rPr>
              <w:t>. Subject to Section 16.3 (Conditions to Indemnification) and Section 16.4 (Shared Losses), Terray</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will defend, indemnify, and hold harmless Odyssey and its Affiliates and their respective employees, officers and directors (“Odyssey</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Indemnitees”) from and against any and all Losses incurred or imposed upon the Odyssey Indemnitees or any one of them in connection</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any claims, suits, actions, demands, proceedings, causes of action, or judgments resulting from a Third Party claim to the extent</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arising out of or relating to (a) the breach by any Terray Indemnitee or Terray’s Sublicensee or Subcontractor, of any term of this</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Agreement; (b) the negligence or willful misconduct of any Terray Indemnitee or Terray’s Sublicensee or Subcontractor, or (c) if following</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 Opt-Out by Odyssey, Terray is the Continuing Party, the Exploitation of any Licensed Compound or Licensed Product by or on behalf</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any Terray Indemnitee or any of Terray’s Subcontractors or Sublicensees; except, in each case ((a) through (c)), to the extent that any</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such Losses result or arise from a matter under Section 16.1 (Indemnification of Terray by Odyssey) for which Odyssey is obligated to</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indemnify Terray as to which Losses each Party will indemnify the other to the extent of their respective liability.</w:t>
            </w:r>
          </w:p>
        </w:tc>
      </w:tr>
      <w:tr>
        <w:trPr>
          <w:trHeight w:val="44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16.3</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Conditions to Indemnification</w:t>
            </w:r>
            <w:r>
              <w:rPr>
                <w:rFonts w:ascii="Times New Roman" w:cs="Times New Roman" w:eastAsia="Times New Roman" w:hAnsi="Times New Roman"/>
                <w:sz w:val="18"/>
                <w:szCs w:val="18"/>
                <w:color w:val="auto"/>
              </w:rPr>
              <w:t>. Any Person seeking indemnification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under this Article 16 (Indemnification; Limited</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Liability; Insurance) will give prompt written notice of the indemnity claim to the indemnifying Party and promptly provide a copy to the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indemnifying Party of any complaint, summons, or other written or verbal notice that the Indemnitee receives in connection with any such</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claim. An Indemnitee’s failure to deliver written notice will relieve the indemnifying Party of liability to the Indemnitee under this Article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 (Indemnification; Limited Liability; Insurance) only to the extent such delay is prejudicial to the indemnifying Party’s ability to defend</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settle such claim. The indemnifying Party will have the right to assume and control the defense of the indemnification claim at its own</w:t>
            </w:r>
          </w:p>
        </w:tc>
      </w:tr>
    </w:tbl>
    <w:p>
      <w:pPr>
        <w:ind w:left="980"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expense with counsel selected by the indemnifying Party and reasonably acceptable to the Indemnitee;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 Indemnitee will have the right to retain its own counsel, with the fees and expenses to be paid by the indemnifying Party, if representation of such Indemnitee by the counsel retained by the indemnifying Party would be inappropriate due to actual or potential differing interests between the Indemnitee and any other party represented by such counsel in such proceedings. The indemnifying Party will act reasonably and in good faith with respect to all matters relating to such claim. If the indemnifying Party does not assume the defense of the indemnification claim as described in this Section 16.3 (Conditions to Indemnification), then the Indemnitee may defend the indemnification claim but will have no obligation to do so. The Indemnitee will not settle or compromise the indemnification claim without the prior written consent of the indemnifying Party, and the indemnifying Party will not settle or compromise the indemnification claim in any manner that would have an adverse effect on the Indemnitee’s interests (including any rights under this Agreement or the scope, validity, or enforceability of any Patent Rights, Confidential Information, or other rights licensed by a Party to the other Party hereunder), without the prior written consent of the Indemnitee, which consent, in each case (by the indemnifying Party or the Indemnitee, as the case may be), will not be unreasonably withheld, conditioned, or delayed. The Indemnitee will reasonably cooperate with the indemnifying Party at the indemnifying Party’s expense and will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467" w:name="page468"/>
    <w:bookmarkEnd w:id="467"/>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make available to the indemnifying Party all pertinent information under the control of the Indemnitee, which information will be subject</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Article 14 (Confidentiality). The indemnifying Party will not be liable for any settlement or other disposition of the claims by the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Indemnitee if such settlement is reached without the written consent of the indemnifying Party pursuant to this Section 16.3 (Conditions to</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Indemnification).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16.4</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Shared Losses</w:t>
            </w:r>
            <w:r>
              <w:rPr>
                <w:rFonts w:ascii="Times New Roman" w:cs="Times New Roman" w:eastAsia="Times New Roman" w:hAnsi="Times New Roman"/>
                <w:sz w:val="18"/>
                <w:szCs w:val="18"/>
                <w:color w:val="auto"/>
                <w:w w:val="99"/>
              </w:rPr>
              <w:t>. All Losses arising from any Third Party claim relating to the Exploitation of a Licensed Product in the Territory, including</w:t>
            </w:r>
          </w:p>
        </w:tc>
      </w:tr>
      <w:tr>
        <w:trPr>
          <w:trHeight w:val="212"/>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and disbursements to counsel, incurred by either Party or its Affiliates in connection with the defense of any such Third Party claim</w:t>
            </w:r>
          </w:p>
        </w:tc>
      </w:tr>
      <w:tr>
        <w:trPr>
          <w:trHeight w:val="220"/>
        </w:trPr>
        <w:tc>
          <w:tcPr>
            <w:tcW w:w="6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brought in the Territory (“</w:t>
            </w:r>
            <w:r>
              <w:rPr>
                <w:rFonts w:ascii="Times New Roman" w:cs="Times New Roman" w:eastAsia="Times New Roman" w:hAnsi="Times New Roman"/>
                <w:sz w:val="18"/>
                <w:szCs w:val="18"/>
                <w:b w:val="1"/>
                <w:bCs w:val="1"/>
                <w:color w:val="auto"/>
                <w:w w:val="99"/>
              </w:rPr>
              <w:t>Shared Loss Costs</w:t>
            </w:r>
            <w:r>
              <w:rPr>
                <w:rFonts w:ascii="Times New Roman" w:cs="Times New Roman" w:eastAsia="Times New Roman" w:hAnsi="Times New Roman"/>
                <w:sz w:val="18"/>
                <w:szCs w:val="18"/>
                <w:color w:val="auto"/>
                <w:w w:val="99"/>
              </w:rPr>
              <w:t>”) will be shared in accordance with Article 12 (Payments); [***] For the avoidance of doubt,</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of a Party or its Affiliates to the extent required to be indemnified under Section 16.1(c) (Indemnification of Terray by Odyssey) or</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16.2(c) (Indemnification of Odyssey by Terray) will be included in Shared Loss Costs and shared in accordance with Article 12</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16.5</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Limitation on Consequential Damages</w:t>
            </w:r>
            <w:r>
              <w:rPr>
                <w:rFonts w:ascii="Times New Roman" w:cs="Times New Roman" w:eastAsia="Times New Roman" w:hAnsi="Times New Roman"/>
                <w:sz w:val="18"/>
                <w:szCs w:val="18"/>
                <w:color w:val="auto"/>
              </w:rPr>
              <w:t>. NEITHER OF THE PARTIES WILL BE ENTITLED TO RECOVER FROM THE OTHER</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PARTY ANY SPECIAL, INCIDENTAL, INDIRECT, PUNITIVE DAMAGES OR CONSEQUENTIAL DAMAGES, INCLUDING FOR</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OF PROFIT OR LOST OPPORTUNITY IN CONNECTION WITH THIS AGREEMENT (TO THE EXTENT THE SAME ARE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CONSEQUENTIAL DAMAGES), ITS PERFORMANCE OR LACK OF PERFORMANCE HEREUNDER, OR ANY LICENSE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HEREUNDER, EXCEPT TO THE EXTENT THE DAMAGES RESULT FROM (A) SUCH OTHER PARTY’S FRAUD,</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WILLFUL MISCONDUCT, OR GROSS NEGLIGENCE UNDER THIS AGREEMENT, (B) SUCH OTHER PARTY’S BREACH OF</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OBLIGATIONS OF A PARTY UNDER ARTICLE 14 (CONFIDENTIALITY), (C) [***], OR (D) AMOUNTS REQUIRED TO BE</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 AS PART OF A CLAIM FOR WHICH A PARTY PROVIDES INDEMNIFICATION UNDER ARTICLE 16</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(INDEMNIFICATION; LIMITED LIABILITY; INSURANCE).</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16.6</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Insurance Obligations</w:t>
            </w:r>
            <w:r>
              <w:rPr>
                <w:rFonts w:ascii="Times New Roman" w:cs="Times New Roman" w:eastAsia="Times New Roman" w:hAnsi="Times New Roman"/>
                <w:sz w:val="18"/>
                <w:szCs w:val="18"/>
                <w:color w:val="auto"/>
              </w:rPr>
              <w:t>. Each Party, at its own expense, will maintain liability insurance in an amount consistent with industry standards</w:t>
            </w:r>
          </w:p>
        </w:tc>
      </w:tr>
      <w:tr>
        <w:trPr>
          <w:trHeight w:val="216"/>
        </w:trPr>
        <w:tc>
          <w:tcPr>
            <w:tcW w:w="6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Term. In addition, during the term of Commercialization of any Licensed Product and for a period of at least [***] thereafter,</w:t>
            </w:r>
          </w:p>
        </w:tc>
      </w:tr>
      <w:tr>
        <w:trPr>
          <w:trHeight w:val="234"/>
        </w:trPr>
        <w:tc>
          <w:tcPr>
            <w:tcW w:w="6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Party will maintain product liability insurance in an amount consistent with industry standards. Prior to Initiation of a Clinical Trial,</w:t>
            </w:r>
          </w:p>
        </w:tc>
      </w:tr>
    </w:tbl>
    <w:p>
      <w:pPr>
        <w:ind w:left="980"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will obtain and maintain clinical trial insurance in compliance with all Applicable Law pertaining to the jurisdictions in which such Clinical Trials are conducted. Each Party will provide a certificate of insurance evidencing such coverage to the other Party upon request. Each Party will notify the other Party [***] in advance of cancelation of any such insurance. Such insurance will not be construed to create a limit of a Party’s liability with respect to its indemnification obligations under this Article 16 (Indemnification; Limited Liability; Insurance). All reasonable Out-of-Pocket costs incurred by each Party that are reasonably allocable to obtaining clinical trial insurance or insurance with respect to the Commercialization of Licensed Products, in order to comply with the terms of this Section 16.6 (Insurance Obligations) (“</w:t>
      </w:r>
      <w:r>
        <w:rPr>
          <w:rFonts w:ascii="Times New Roman" w:cs="Times New Roman" w:eastAsia="Times New Roman" w:hAnsi="Times New Roman"/>
          <w:sz w:val="18"/>
          <w:szCs w:val="18"/>
          <w:b w:val="1"/>
          <w:bCs w:val="1"/>
          <w:color w:val="auto"/>
        </w:rPr>
        <w:t>Shared Insurance Costs</w:t>
      </w:r>
      <w:r>
        <w:rPr>
          <w:rFonts w:ascii="Times New Roman" w:cs="Times New Roman" w:eastAsia="Times New Roman" w:hAnsi="Times New Roman"/>
          <w:sz w:val="18"/>
          <w:szCs w:val="18"/>
          <w:color w:val="auto"/>
        </w:rPr>
        <w:t xml:space="preserve">”), will be shared by the Parties in accordance with Article 12 (Payments); provided that, Shared Insurance Costs in excess of the amounts set forth in the applicable Development Budget or Commercialization Budget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Allowable Overruns, will not be shared.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9"/>
              </w:rPr>
              <w:t>ARTICLE 17</w:t>
            </w:r>
          </w:p>
        </w:tc>
      </w:tr>
      <w:tr>
        <w:trPr>
          <w:trHeight w:val="238"/>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4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TERM AND TERMINATION</w:t>
            </w:r>
          </w:p>
        </w:tc>
      </w:tr>
      <w:tr>
        <w:trPr>
          <w:trHeight w:val="44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17.1</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Term</w:t>
            </w:r>
            <w:r>
              <w:rPr>
                <w:rFonts w:ascii="Times New Roman" w:cs="Times New Roman" w:eastAsia="Times New Roman" w:hAnsi="Times New Roman"/>
                <w:sz w:val="18"/>
                <w:szCs w:val="18"/>
                <w:color w:val="auto"/>
                <w:w w:val="99"/>
              </w:rPr>
              <w:t>. This Agreement will commence on the Effective Date and, unless otherwise terminated pursuant to Section 17.2 (Termination), will</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continue until the expiration of all payment obligations with respect to Licensed Products under this Agreement (the “Term”). In the event</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Party Opts-Out, then on a Licensed Product-by-Licensed Product and country-by-country basis, if the Continuing Party is not in breach</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the Agreement and has made all payments due hereunder, then effective upon the expiration of the Royalty Term for such Licensed</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in such country (but not upon any earlier termination of this Agreement for any reason) the licenses granted to the Continuing</w:t>
            </w:r>
          </w:p>
        </w:tc>
      </w:tr>
      <w:tr>
        <w:trPr>
          <w:trHeight w:val="216"/>
        </w:trPr>
        <w:tc>
          <w:tcPr>
            <w:tcW w:w="640" w:type="dxa"/>
            <w:vAlign w:val="bottom"/>
          </w:tcPr>
          <w:p>
            <w:pPr>
              <w:spacing w:after="0"/>
              <w:rPr>
                <w:sz w:val="18"/>
                <w:szCs w:val="18"/>
                <w:color w:val="auto"/>
              </w:rPr>
            </w:pP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Party by the Opt-Out Party will become fully paid-up, royalty-free, irrevocable, and perpetual with respect to such Licensed Product in</w:t>
            </w:r>
          </w:p>
        </w:tc>
      </w:tr>
      <w:tr>
        <w:trPr>
          <w:trHeight w:val="234"/>
        </w:trPr>
        <w:tc>
          <w:tcPr>
            <w:tcW w:w="640" w:type="dxa"/>
            <w:vAlign w:val="bottom"/>
          </w:tcPr>
          <w:p>
            <w:pPr>
              <w:spacing w:after="0"/>
              <w:rPr>
                <w:sz w:val="20"/>
                <w:szCs w:val="20"/>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such country.</w:t>
            </w:r>
          </w:p>
        </w:tc>
        <w:tc>
          <w:tcPr>
            <w:tcW w:w="9040" w:type="dxa"/>
            <w:vAlign w:val="bottom"/>
          </w:tcPr>
          <w:p>
            <w:pPr>
              <w:spacing w:after="0"/>
              <w:rPr>
                <w:sz w:val="20"/>
                <w:szCs w:val="20"/>
                <w:color w:val="auto"/>
              </w:rPr>
            </w:pPr>
          </w:p>
        </w:tc>
      </w:tr>
      <w:tr>
        <w:trPr>
          <w:trHeight w:val="338"/>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17.2</w:t>
            </w:r>
          </w:p>
        </w:tc>
        <w:tc>
          <w:tcPr>
            <w:tcW w:w="10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may be terminated as follows:</w:t>
            </w:r>
          </w:p>
        </w:tc>
      </w:tr>
      <w:tr>
        <w:trPr>
          <w:trHeight w:val="319"/>
        </w:trPr>
        <w:tc>
          <w:tcPr>
            <w:tcW w:w="64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17.2.1</w:t>
            </w: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for Convenience</w:t>
            </w:r>
            <w:r>
              <w:rPr>
                <w:rFonts w:ascii="Times New Roman" w:cs="Times New Roman" w:eastAsia="Times New Roman" w:hAnsi="Times New Roman"/>
                <w:sz w:val="18"/>
                <w:szCs w:val="18"/>
                <w:color w:val="auto"/>
              </w:rPr>
              <w:t>. Either Party may terminate this Agreement for convenience in its sole discretion, on not less</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than [***] prior written notice to the other Party; provided that this Agreement may not be terminated for convenience during</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the pendency of any active Clinical Trials with respect to a Licensed Product, unless such Clinical Trial was Initiated by the</w:t>
            </w:r>
          </w:p>
        </w:tc>
      </w:tr>
      <w:tr>
        <w:trPr>
          <w:trHeight w:val="234"/>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Continuing Party following an Opt-Out by a Party.</w:t>
            </w:r>
          </w:p>
        </w:tc>
      </w:tr>
      <w:tr>
        <w:trPr>
          <w:trHeight w:val="319"/>
        </w:trPr>
        <w:tc>
          <w:tcPr>
            <w:tcW w:w="64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17.2.2</w:t>
            </w: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for Breach</w:t>
            </w:r>
            <w:r>
              <w:rPr>
                <w:rFonts w:ascii="Times New Roman" w:cs="Times New Roman" w:eastAsia="Times New Roman" w:hAnsi="Times New Roman"/>
                <w:sz w:val="18"/>
                <w:szCs w:val="18"/>
                <w:color w:val="auto"/>
              </w:rPr>
              <w:t>. If a Party materially breaches this Agreement, then the other Party may terminate this Agreement</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 its entirety upon written notice to the breaching Party, unless such breach is cured within (a) with respect to any material</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breach of any payment obligation under this Agreement, the [***] period after receipt of written notice from the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non-breaching Party, or (b) with respect to any other material breach of this Agreement, the [***] period after receipt of</w:t>
            </w:r>
          </w:p>
        </w:tc>
      </w:tr>
      <w:tr>
        <w:trPr>
          <w:trHeight w:val="234"/>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written notice from the non-breaching Party.</w:t>
            </w:r>
          </w:p>
        </w:tc>
      </w:tr>
      <w:tr>
        <w:trPr>
          <w:trHeight w:val="319"/>
        </w:trPr>
        <w:tc>
          <w:tcPr>
            <w:tcW w:w="64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17.2.3</w:t>
            </w: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Termination for Bankruptcy</w:t>
            </w:r>
            <w:r>
              <w:rPr>
                <w:rFonts w:ascii="Times New Roman" w:cs="Times New Roman" w:eastAsia="Times New Roman" w:hAnsi="Times New Roman"/>
                <w:sz w:val="18"/>
                <w:szCs w:val="18"/>
                <w:color w:val="auto"/>
                <w:w w:val="99"/>
              </w:rPr>
              <w:t>. This Agreement may be terminated in its entirety by a Party (the “</w:t>
            </w:r>
            <w:r>
              <w:rPr>
                <w:rFonts w:ascii="Times New Roman" w:cs="Times New Roman" w:eastAsia="Times New Roman" w:hAnsi="Times New Roman"/>
                <w:sz w:val="18"/>
                <w:szCs w:val="18"/>
                <w:b w:val="1"/>
                <w:bCs w:val="1"/>
                <w:color w:val="auto"/>
                <w:w w:val="99"/>
              </w:rPr>
              <w:t>Non-Bankrupt Party</w:t>
            </w:r>
            <w:r>
              <w:rPr>
                <w:rFonts w:ascii="Times New Roman" w:cs="Times New Roman" w:eastAsia="Times New Roman" w:hAnsi="Times New Roman"/>
                <w:sz w:val="18"/>
                <w:szCs w:val="18"/>
                <w:color w:val="auto"/>
                <w:w w:val="99"/>
              </w:rPr>
              <w:t>”) by</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providing written notice of termination to the other Party upon the filing or institution of bankruptcy, reorganization,</w:t>
            </w:r>
          </w:p>
        </w:tc>
      </w:tr>
      <w:tr>
        <w:trPr>
          <w:trHeight w:val="212"/>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liquidation or receivership proceedings, or upon an assignment of a substantial portion of the assets for the benefit of</w:t>
            </w:r>
          </w:p>
        </w:tc>
      </w:tr>
      <w:tr>
        <w:trPr>
          <w:trHeight w:val="220"/>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creditors by the other Party (the “</w:t>
            </w:r>
            <w:r>
              <w:rPr>
                <w:rFonts w:ascii="Times New Roman" w:cs="Times New Roman" w:eastAsia="Times New Roman" w:hAnsi="Times New Roman"/>
                <w:sz w:val="18"/>
                <w:szCs w:val="18"/>
                <w:b w:val="1"/>
                <w:bCs w:val="1"/>
                <w:color w:val="auto"/>
              </w:rPr>
              <w:t>Bankrupt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any involuntary bankruptcy or</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receivership proceeding such right to terminate will only become effective if the Bankrupt Party consents to the involuntary</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bankruptcy or receivership or such proceeding is not dismissed within [***] after the filing of such bankruptcy or</w:t>
            </w:r>
          </w:p>
        </w:tc>
      </w:tr>
      <w:tr>
        <w:trPr>
          <w:trHeight w:val="234"/>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receivership.</w:t>
            </w:r>
          </w:p>
        </w:tc>
      </w:tr>
      <w:tr>
        <w:trPr>
          <w:trHeight w:val="319"/>
        </w:trPr>
        <w:tc>
          <w:tcPr>
            <w:tcW w:w="64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17.2.4</w:t>
            </w: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for Patent Challenge</w:t>
            </w:r>
            <w:r>
              <w:rPr>
                <w:rFonts w:ascii="Times New Roman" w:cs="Times New Roman" w:eastAsia="Times New Roman" w:hAnsi="Times New Roman"/>
                <w:sz w:val="18"/>
                <w:szCs w:val="18"/>
                <w:color w:val="auto"/>
              </w:rPr>
              <w:t>. If a Party or any of its Affiliates or Sublicensees files, assists a Third Party in filing, or</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joins a Third Party in filing or maintaining, a Patent Challenge of any Joint Collaboration Patent Rights, or any other Patent</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Right Controlled by the other Party that Covers any Licensed Compound or Licensed Product, then such other Party may</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provide written notice of its intent to terminate this Agreement, and unless such Patent Challenge is withdrawn within [***]</w:t>
            </w:r>
          </w:p>
        </w:tc>
      </w:tr>
      <w:tr>
        <w:trPr>
          <w:trHeight w:val="234"/>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after such notice, such other Party may terminate this Agreement in its entirety.</w:t>
            </w:r>
          </w:p>
        </w:tc>
      </w:tr>
      <w:tr>
        <w:trPr>
          <w:trHeight w:val="319"/>
        </w:trPr>
        <w:tc>
          <w:tcPr>
            <w:tcW w:w="64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17.2.5</w:t>
            </w: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for Failure to Identify a Development Candidate</w:t>
            </w:r>
            <w:r>
              <w:rPr>
                <w:rFonts w:ascii="Times New Roman" w:cs="Times New Roman" w:eastAsia="Times New Roman" w:hAnsi="Times New Roman"/>
                <w:sz w:val="18"/>
                <w:szCs w:val="18"/>
                <w:color w:val="auto"/>
              </w:rPr>
              <w:t>. If (a) no Collaboration Compound identified in the DC</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Data Package achieves the DC Criteria (b) the JSC does not designate one or more Collaboration Compounds as a</w:t>
            </w:r>
          </w:p>
        </w:tc>
      </w:tr>
      <w:tr>
        <w:trPr>
          <w:trHeight w:val="234"/>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r>
      <w:tr>
        <w:trPr>
          <w:trHeight w:val="365"/>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-68-</w:t>
            </w:r>
          </w:p>
        </w:tc>
      </w:tr>
    </w:tbl>
    <w:p>
      <w:pPr>
        <w:jc w:val="center"/>
        <w:ind w:right="1850"/>
        <w:spacing w:after="0"/>
        <w:rPr>
          <w:sz w:val="20"/>
          <w:szCs w:val="20"/>
          <w:color w:val="auto"/>
        </w:rPr>
        <w:sectPr>
          <w:pgSz w:w="11900" w:h="16838" w:orient="portrait"/>
          <w:cols w:equalWidth="0" w:num="1">
            <w:col w:w="11000"/>
          </w:cols>
          <w:pgMar w:left="440" w:top="26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69" w:name="page470"/>
    <w:bookmarkEnd w:id="469"/>
    <w:p>
      <w:pPr>
        <w:ind w:left="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Candidate, and (c) neither Party desires to continue Research Activities to identify additional Collaboration Compounds that meet the DC Criteria, in each case ((a) – (c)), during the [***] period set forth in Section 3.3.3 (Development Candidate Identification) (as such period may be extended), then this Agreement will terminate upon mutual agreement of the Parties at the conclusion of such [***] (or longer) period.</w:t>
      </w:r>
    </w:p>
    <w:p>
      <w:pPr>
        <w:spacing w:after="0" w:line="81" w:lineRule="exact"/>
        <w:rPr>
          <w:sz w:val="20"/>
          <w:szCs w:val="20"/>
          <w:color w:val="auto"/>
        </w:rPr>
      </w:pPr>
    </w:p>
    <w:p>
      <w:pPr>
        <w:ind w:left="980" w:hanging="985"/>
        <w:spacing w:after="0" w:line="259" w:lineRule="auto"/>
        <w:tabs>
          <w:tab w:leader="none" w:pos="960" w:val="left"/>
        </w:tabs>
        <w:rPr>
          <w:sz w:val="20"/>
          <w:szCs w:val="20"/>
          <w:color w:val="auto"/>
        </w:rPr>
      </w:pPr>
      <w:r>
        <w:rPr>
          <w:rFonts w:ascii="Times New Roman" w:cs="Times New Roman" w:eastAsia="Times New Roman" w:hAnsi="Times New Roman"/>
          <w:sz w:val="18"/>
          <w:szCs w:val="18"/>
          <w:color w:val="auto"/>
        </w:rPr>
        <w:t>17.2.6</w:t>
      </w:r>
      <w:r>
        <w:rPr>
          <w:sz w:val="20"/>
          <w:szCs w:val="20"/>
          <w:color w:val="auto"/>
        </w:rPr>
        <w:tab/>
      </w:r>
      <w:r>
        <w:rPr>
          <w:rFonts w:ascii="Times New Roman" w:cs="Times New Roman" w:eastAsia="Times New Roman" w:hAnsi="Times New Roman"/>
          <w:sz w:val="18"/>
          <w:szCs w:val="18"/>
          <w:b w:val="1"/>
          <w:bCs w:val="1"/>
          <w:color w:val="auto"/>
        </w:rPr>
        <w:t xml:space="preserve">Termination for Failure to Continue Following Opt-Out. </w:t>
      </w:r>
      <w:r>
        <w:rPr>
          <w:rFonts w:ascii="Times New Roman" w:cs="Times New Roman" w:eastAsia="Times New Roman" w:hAnsi="Times New Roman"/>
          <w:sz w:val="18"/>
          <w:szCs w:val="18"/>
          <w:color w:val="auto"/>
        </w:rPr>
        <w:t>If, following the delivery of the notice of Opt-Out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Opt-Out Party to the other Party, such other Party notifies the Opt-Out Party that it will not continue any activities to identify a Development Candidate or to Exploit Licensed Compounds and Licensed Products, as applicable, in accordance with Section 11.1 (Right to Opt-Out) then either Party may terminate this Agreement within [***] following such notice from such other Party that it will not continue activities under the Agreement.</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17.2.7</w:t>
      </w:r>
      <w:r>
        <w:rPr>
          <w:sz w:val="20"/>
          <w:szCs w:val="20"/>
          <w:color w:val="auto"/>
        </w:rPr>
        <w:tab/>
      </w:r>
      <w:r>
        <w:rPr>
          <w:rFonts w:ascii="Times New Roman" w:cs="Times New Roman" w:eastAsia="Times New Roman" w:hAnsi="Times New Roman"/>
          <w:sz w:val="17"/>
          <w:szCs w:val="17"/>
          <w:b w:val="1"/>
          <w:bCs w:val="1"/>
          <w:color w:val="auto"/>
        </w:rPr>
        <w:t>Termination for Cessation of Development or Commercialization</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1420" w:right="80" w:hanging="433"/>
        <w:spacing w:after="0" w:line="281" w:lineRule="auto"/>
        <w:tabs>
          <w:tab w:leader="none" w:pos="1420"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Party has Opted-Out, and the Continuing Party does not [***] or does not conduct any [***] Development, Manufacturing or Commercialization activities for any Licensed Compound or Licensed Product for a [***] period of [***] after the Opt-Out Date, and such suspension of activity is not a result of the Continuing Party’s [***], then the Opt-Out Party may, at its election, terminate this Agreement upon [***] prior written notice to the Continuing Party.</w:t>
      </w:r>
    </w:p>
    <w:p>
      <w:pPr>
        <w:spacing w:after="0" w:line="69" w:lineRule="exact"/>
        <w:rPr>
          <w:rFonts w:ascii="Times New Roman" w:cs="Times New Roman" w:eastAsia="Times New Roman" w:hAnsi="Times New Roman"/>
          <w:sz w:val="17"/>
          <w:szCs w:val="17"/>
          <w:color w:val="auto"/>
        </w:rPr>
      </w:pPr>
    </w:p>
    <w:p>
      <w:pPr>
        <w:ind w:left="1420" w:right="100" w:hanging="433"/>
        <w:spacing w:after="0" w:line="255" w:lineRule="auto"/>
        <w:tabs>
          <w:tab w:leader="none" w:pos="14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(i) no Party has Opted-Out, (ii) an Out-Licensing Transaction has not been entered into and (iii) (A) following the completion of all Research Plan activities, the JSC has not provided the Further Development Approval within [***] following completion of all Research Plan activities and no Party has provided a Continuation Notice during such period, or (B) following the completion of all Development Plan activities, the JSC has not provided Commercialization Approval within [***] following completion of all Development Plan activities and no Party has provided a Continuation Notice during such period, then either Party may terminate this Agreement upon [***] prior written notice to the other Party.</w:t>
      </w:r>
    </w:p>
    <w:p>
      <w:pPr>
        <w:spacing w:after="0" w:line="90" w:lineRule="exact"/>
        <w:rPr>
          <w:sz w:val="20"/>
          <w:szCs w:val="20"/>
          <w:color w:val="auto"/>
        </w:rPr>
      </w:pPr>
    </w:p>
    <w:p>
      <w:pPr>
        <w:ind w:left="980" w:right="40" w:hanging="985"/>
        <w:spacing w:after="0" w:line="259" w:lineRule="auto"/>
        <w:tabs>
          <w:tab w:leader="none" w:pos="960" w:val="left"/>
        </w:tabs>
        <w:rPr>
          <w:sz w:val="20"/>
          <w:szCs w:val="20"/>
          <w:color w:val="auto"/>
        </w:rPr>
      </w:pPr>
      <w:r>
        <w:rPr>
          <w:rFonts w:ascii="Times New Roman" w:cs="Times New Roman" w:eastAsia="Times New Roman" w:hAnsi="Times New Roman"/>
          <w:sz w:val="18"/>
          <w:szCs w:val="18"/>
          <w:color w:val="auto"/>
        </w:rPr>
        <w:t>17.2.8</w:t>
      </w:r>
      <w:r>
        <w:rPr>
          <w:sz w:val="20"/>
          <w:szCs w:val="20"/>
          <w:color w:val="auto"/>
        </w:rPr>
        <w:tab/>
      </w:r>
      <w:r>
        <w:rPr>
          <w:rFonts w:ascii="Times New Roman" w:cs="Times New Roman" w:eastAsia="Times New Roman" w:hAnsi="Times New Roman"/>
          <w:sz w:val="18"/>
          <w:szCs w:val="18"/>
          <w:b w:val="1"/>
          <w:bCs w:val="1"/>
          <w:color w:val="auto"/>
        </w:rPr>
        <w:t>Full Force and Effect During Notice Period</w:t>
      </w:r>
      <w:r>
        <w:rPr>
          <w:rFonts w:ascii="Times New Roman" w:cs="Times New Roman" w:eastAsia="Times New Roman" w:hAnsi="Times New Roman"/>
          <w:sz w:val="18"/>
          <w:szCs w:val="18"/>
          <w:color w:val="auto"/>
        </w:rPr>
        <w:t>. This Agreement will remain in full force and effect until the expiration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termination notice period. Accordingly, if during any termination notice period described in this Article 17 (Term and Termination) the Parties incur any costs or receive any payments that are to be shared in accordance with Article 12 (Payments), then the Parties will remain responsible to share those costs and payments, even if the due date for the payment occurs after the effective date of termination.</w:t>
      </w:r>
    </w:p>
    <w:p>
      <w:pPr>
        <w:spacing w:after="0" w:line="85" w:lineRule="exact"/>
        <w:rPr>
          <w:sz w:val="20"/>
          <w:szCs w:val="20"/>
          <w:color w:val="auto"/>
        </w:rPr>
      </w:pPr>
    </w:p>
    <w:p>
      <w:pPr>
        <w:jc w:val="both"/>
        <w:ind w:left="980" w:right="80" w:hanging="985"/>
        <w:spacing w:after="0" w:line="259" w:lineRule="auto"/>
        <w:tabs>
          <w:tab w:leader="none" w:pos="960" w:val="left"/>
        </w:tabs>
        <w:rPr>
          <w:sz w:val="20"/>
          <w:szCs w:val="20"/>
          <w:color w:val="auto"/>
        </w:rPr>
      </w:pPr>
      <w:r>
        <w:rPr>
          <w:rFonts w:ascii="Times New Roman" w:cs="Times New Roman" w:eastAsia="Times New Roman" w:hAnsi="Times New Roman"/>
          <w:sz w:val="18"/>
          <w:szCs w:val="18"/>
          <w:color w:val="auto"/>
        </w:rPr>
        <w:t>17.2.9</w:t>
      </w:r>
      <w:r>
        <w:rPr>
          <w:sz w:val="20"/>
          <w:szCs w:val="20"/>
          <w:color w:val="auto"/>
        </w:rPr>
        <w:tab/>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If the allegedly breaching Party disputes in good faith the existence or materiality of a breach specified in a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the other Party in accordance with Section 17.2.2 (Termination for Breach), and such allegedly breaching Party provides the other Party written notice of such dispute within thirty [***] of the notice, then termination of this Agreement under Section 17.2.2 (Termination for Breach), shall not take effect unless and until it has been finally determined pursuant to Section 18.1 (Dispute Resolution) that the alleged breaching Party has materially</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980"/>
          </w:cols>
          <w:pgMar w:left="1420" w:top="270" w:right="499" w:bottom="1440"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breached this Agreement and such breaching Party fails to comply with its obligations that have been breached within [***]</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 respect to any material breach of a payment obligation) or [***] (with respect to other material breach) after such</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determination. During the pendency of such dispute and cure period, all of the terms and conditions of this Agreement shall</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remain in effect and the Parties shall continue to perform all of their respective obligations hereunder.</w:t>
            </w:r>
          </w:p>
        </w:tc>
      </w:tr>
      <w:tr>
        <w:trPr>
          <w:trHeight w:val="44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17.3</w:t>
            </w: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Effects of Termination</w:t>
            </w:r>
            <w:r>
              <w:rPr>
                <w:rFonts w:ascii="Times New Roman" w:cs="Times New Roman" w:eastAsia="Times New Roman" w:hAnsi="Times New Roman"/>
                <w:sz w:val="18"/>
                <w:szCs w:val="18"/>
                <w:color w:val="auto"/>
              </w:rPr>
              <w:t>. In the event of any termination of this Agreement effective as of the effective date of termination, the following</w:t>
            </w:r>
          </w:p>
        </w:tc>
      </w:tr>
      <w:tr>
        <w:trPr>
          <w:trHeight w:val="234"/>
        </w:trPr>
        <w:tc>
          <w:tcPr>
            <w:tcW w:w="6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provisions will apply with respect to Licensed Products:</w:t>
            </w:r>
          </w:p>
        </w:tc>
      </w:tr>
      <w:tr>
        <w:trPr>
          <w:trHeight w:val="338"/>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17.3.1</w:t>
            </w:r>
          </w:p>
        </w:tc>
        <w:tc>
          <w:tcPr>
            <w:tcW w:w="9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Right to Continue Non-Out-Licensed Program</w:t>
            </w:r>
            <w:r>
              <w:rPr>
                <w:rFonts w:ascii="Times New Roman" w:cs="Times New Roman" w:eastAsia="Times New Roman" w:hAnsi="Times New Roman"/>
                <w:sz w:val="18"/>
                <w:szCs w:val="18"/>
                <w:color w:val="auto"/>
              </w:rPr>
              <w:t>. If:</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0" w:hanging="433"/>
        <w:spacing w:after="0"/>
        <w:tabs>
          <w:tab w:leader="none" w:pos="2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has Opted-Out, and this Agreement is terminated by a Party (i) for convenience in accordance with</w:t>
      </w:r>
    </w:p>
    <w:p>
      <w:pPr>
        <w:spacing w:after="0" w:line="27" w:lineRule="exact"/>
        <w:rPr>
          <w:rFonts w:ascii="Times New Roman" w:cs="Times New Roman" w:eastAsia="Times New Roman" w:hAnsi="Times New Roman"/>
          <w:sz w:val="18"/>
          <w:szCs w:val="18"/>
          <w:color w:val="auto"/>
        </w:rPr>
      </w:pPr>
    </w:p>
    <w:p>
      <w:pPr>
        <w:ind w:left="24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17.2.1 (Termination for Convenience), (ii) for material breach in accordance with Section 17.2.2 (Termination for Breach), (iii) for bankruptcy in accordance with Section 17.2.3 (Termination for Bankruptcy) or (iv) for a Patent Challenge in accordance with Section 17.2.4 (Termination for Patent Challenge); or</w:t>
      </w:r>
    </w:p>
    <w:p>
      <w:pPr>
        <w:spacing w:after="0" w:line="91" w:lineRule="exact"/>
        <w:rPr>
          <w:rFonts w:ascii="Times New Roman" w:cs="Times New Roman" w:eastAsia="Times New Roman" w:hAnsi="Times New Roman"/>
          <w:sz w:val="18"/>
          <w:szCs w:val="18"/>
          <w:color w:val="auto"/>
        </w:rPr>
      </w:pPr>
    </w:p>
    <w:p>
      <w:pPr>
        <w:ind w:left="2400" w:right="20" w:hanging="433"/>
        <w:spacing w:after="0" w:line="254" w:lineRule="auto"/>
        <w:tabs>
          <w:tab w:leader="none" w:pos="2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has Opted-Out, and this Agreement is terminated (i) by the Opt-Out Party for convenience in accordance with Section 17.2.1 (Termination for Convenience) or (ii) by the Continuing Party for (A) convenience in accordance with Section 17.2.1 (Termination for Convenience), and the Opt-Out Party notifies the Continuing Party within [***] of receipt of the applicable termination notice that it wishes to continue activities under the Agreement, (B) material breach in accordance with Section 17.2.2 (Termination for Breach), (C) bankruptcy in accordance with Section 17.2.3 (Termination for Bankruptcy) or (D) a Patent Challenge in accordance with Section 17.2.4 (Termination for Patent Challenge) (the non-terminating Party in clauses (x)(i), (y)(i) and (y)(ii)(A), and the terminating Party in clauses (x) (ii)-(iv) and (y)(ii)(B)-(D), the “</w:t>
      </w:r>
      <w:r>
        <w:rPr>
          <w:rFonts w:ascii="Times New Roman" w:cs="Times New Roman" w:eastAsia="Times New Roman" w:hAnsi="Times New Roman"/>
          <w:sz w:val="18"/>
          <w:szCs w:val="18"/>
          <w:b w:val="1"/>
          <w:bCs w:val="1"/>
          <w:color w:val="auto"/>
        </w:rPr>
        <w:t>Ongoing Party</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then the Ongoing Party will have the right to continue to progress the Program, and the following provisions will apply:</w:t>
      </w:r>
    </w:p>
    <w:p>
      <w:pPr>
        <w:spacing w:after="0" w:line="131" w:lineRule="exact"/>
        <w:rPr>
          <w:sz w:val="20"/>
          <w:szCs w:val="20"/>
          <w:color w:val="auto"/>
        </w:rPr>
      </w:pPr>
    </w:p>
    <w:p>
      <w:pPr>
        <w:ind w:left="2400" w:hanging="433"/>
        <w:spacing w:after="0"/>
        <w:tabs>
          <w:tab w:leader="none" w:pos="24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00"/>
          </w:cols>
          <w:pgMar w:left="440" w:top="270" w:right="559" w:bottom="1440" w:gutter="0" w:footer="0" w:header="0"/>
        </w:sectPr>
      </w:pPr>
    </w:p>
    <w:bookmarkStart w:id="471" w:name="page472"/>
    <w:bookmarkEnd w:id="471"/>
    <w:p>
      <w:pPr>
        <w:ind w:left="1400" w:hanging="433"/>
        <w:spacing w:after="0"/>
        <w:tabs>
          <w:tab w:leader="none" w:pos="14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9019"/>
          </w:cols>
          <w:pgMar w:left="1440" w:top="270" w:right="1440" w:bottom="1440" w:gutter="0" w:footer="0" w:header="0"/>
        </w:sectPr>
      </w:pPr>
    </w:p>
    <w:bookmarkStart w:id="472" w:name="page473"/>
    <w:bookmarkEnd w:id="472"/>
    <w:p>
      <w:pPr>
        <w:ind w:left="1400" w:hanging="433"/>
        <w:spacing w:after="0"/>
        <w:tabs>
          <w:tab w:leader="none" w:pos="14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9019"/>
          </w:cols>
          <w:pgMar w:left="1440" w:top="270" w:right="1440" w:bottom="1440" w:gutter="0" w:footer="0" w:header="0"/>
        </w:sectPr>
      </w:pPr>
    </w:p>
    <w:bookmarkStart w:id="473" w:name="page474"/>
    <w:bookmarkEnd w:id="473"/>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17.3.2</w:t>
      </w:r>
      <w:r>
        <w:rPr>
          <w:sz w:val="20"/>
          <w:szCs w:val="20"/>
          <w:color w:val="auto"/>
        </w:rPr>
        <w:tab/>
      </w:r>
      <w:r>
        <w:rPr>
          <w:rFonts w:ascii="Times New Roman" w:cs="Times New Roman" w:eastAsia="Times New Roman" w:hAnsi="Times New Roman"/>
          <w:sz w:val="17"/>
          <w:szCs w:val="17"/>
          <w:b w:val="1"/>
          <w:bCs w:val="1"/>
          <w:color w:val="auto"/>
        </w:rPr>
        <w:t>Out-License Transactions</w:t>
      </w:r>
      <w:r>
        <w:rPr>
          <w:rFonts w:ascii="Times New Roman" w:cs="Times New Roman" w:eastAsia="Times New Roman" w:hAnsi="Times New Roman"/>
          <w:sz w:val="17"/>
          <w:szCs w:val="17"/>
          <w:color w:val="auto"/>
        </w:rPr>
        <w:t>. With respect to any Out-Licensing Agreement in effect as of the effective date of termination:</w:t>
      </w:r>
    </w:p>
    <w:p>
      <w:pPr>
        <w:spacing w:after="0" w:line="135" w:lineRule="exact"/>
        <w:rPr>
          <w:sz w:val="20"/>
          <w:szCs w:val="20"/>
          <w:color w:val="auto"/>
        </w:rPr>
      </w:pPr>
    </w:p>
    <w:p>
      <w:pPr>
        <w:ind w:left="2400" w:right="100" w:hanging="433"/>
        <w:spacing w:after="0" w:line="257" w:lineRule="auto"/>
        <w:tabs>
          <w:tab w:leader="none" w:pos="24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Party had Opted-Out as of the effective date of termination, then the Parties will equally share (50:50) the Out-Licensing Net Proceeds following the effective date of termination, and solely with respect to such Out-Licensing Agreement; provided that for purposes of this provision, the definition of “Out-Licensing Net Proceeds” in</w:t>
      </w:r>
    </w:p>
    <w:p>
      <w:pPr>
        <w:spacing w:after="0" w:line="1" w:lineRule="exact"/>
        <w:rPr>
          <w:rFonts w:ascii="Times New Roman" w:cs="Times New Roman" w:eastAsia="Times New Roman" w:hAnsi="Times New Roman"/>
          <w:sz w:val="18"/>
          <w:szCs w:val="18"/>
          <w:color w:val="auto"/>
        </w:rPr>
      </w:pPr>
    </w:p>
    <w:p>
      <w:pPr>
        <w:jc w:val="both"/>
        <w:ind w:left="240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1.121 (Out-Licensing Net Proceeds) will be deemed to not include the proviso, so that the Parties will equally share any net costs if the costs incurred exceed the payment received. The reporting and payment procedure in 12.1.1 (Reconciliation of Collaboration Profits and Losses)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left="2400" w:right="340" w:hanging="433"/>
        <w:spacing w:after="0" w:line="261" w:lineRule="auto"/>
        <w:tabs>
          <w:tab w:leader="none" w:pos="24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had Opted-Out as of the effective date of termination, then the Parties will share the Out-Licensing Net Proceeds following the effective date of termination, and solely with respect to such Out-Licensing Agreement, in accordance with the terms of Section 12.2.1 (Out-Licensing Net Proceeds Sharing) through Section 12.2.3 (Further Assurances).</w:t>
      </w:r>
    </w:p>
    <w:p>
      <w:pPr>
        <w:spacing w:after="0" w:line="81" w:lineRule="exact"/>
        <w:rPr>
          <w:sz w:val="20"/>
          <w:szCs w:val="20"/>
          <w:color w:val="auto"/>
        </w:rPr>
      </w:pPr>
    </w:p>
    <w:p>
      <w:pPr>
        <w:ind w:left="1960" w:right="20" w:hanging="985"/>
        <w:spacing w:after="0" w:line="286" w:lineRule="auto"/>
        <w:tabs>
          <w:tab w:leader="none" w:pos="1940" w:val="left"/>
        </w:tabs>
        <w:rPr>
          <w:sz w:val="20"/>
          <w:szCs w:val="20"/>
          <w:color w:val="auto"/>
        </w:rPr>
      </w:pPr>
      <w:r>
        <w:rPr>
          <w:rFonts w:ascii="Times New Roman" w:cs="Times New Roman" w:eastAsia="Times New Roman" w:hAnsi="Times New Roman"/>
          <w:sz w:val="18"/>
          <w:szCs w:val="18"/>
          <w:color w:val="auto"/>
        </w:rPr>
        <w:t>17.3.3</w:t>
      </w:r>
      <w:r>
        <w:rPr>
          <w:sz w:val="20"/>
          <w:szCs w:val="20"/>
          <w:color w:val="auto"/>
        </w:rPr>
        <w:tab/>
      </w:r>
      <w:r>
        <w:rPr>
          <w:rFonts w:ascii="Times New Roman" w:cs="Times New Roman" w:eastAsia="Times New Roman" w:hAnsi="Times New Roman"/>
          <w:sz w:val="18"/>
          <w:szCs w:val="18"/>
          <w:b w:val="1"/>
          <w:bCs w:val="1"/>
          <w:color w:val="auto"/>
        </w:rPr>
        <w:t>Termination of License</w:t>
      </w:r>
      <w:r>
        <w:rPr>
          <w:rFonts w:ascii="Times New Roman" w:cs="Times New Roman" w:eastAsia="Times New Roman" w:hAnsi="Times New Roman"/>
          <w:sz w:val="18"/>
          <w:szCs w:val="18"/>
          <w:color w:val="auto"/>
        </w:rPr>
        <w:t>. Except with respect to any licenses granted under Section 17.3 (Effects of Termination), all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one Party to the other Party under this Agreement will terminate.</w:t>
      </w:r>
    </w:p>
    <w:p>
      <w:pPr>
        <w:spacing w:after="0" w:line="60" w:lineRule="exact"/>
        <w:rPr>
          <w:sz w:val="20"/>
          <w:szCs w:val="20"/>
          <w:color w:val="auto"/>
        </w:rPr>
      </w:pPr>
    </w:p>
    <w:p>
      <w:pPr>
        <w:ind w:left="1960" w:right="100" w:hanging="985"/>
        <w:spacing w:after="0" w:line="259" w:lineRule="auto"/>
        <w:tabs>
          <w:tab w:leader="none" w:pos="1940" w:val="left"/>
        </w:tabs>
        <w:rPr>
          <w:sz w:val="20"/>
          <w:szCs w:val="20"/>
          <w:color w:val="auto"/>
        </w:rPr>
      </w:pPr>
      <w:r>
        <w:rPr>
          <w:rFonts w:ascii="Times New Roman" w:cs="Times New Roman" w:eastAsia="Times New Roman" w:hAnsi="Times New Roman"/>
          <w:sz w:val="18"/>
          <w:szCs w:val="18"/>
          <w:color w:val="auto"/>
        </w:rPr>
        <w:t>17.3.4</w:t>
      </w:r>
      <w:r>
        <w:rPr>
          <w:sz w:val="20"/>
          <w:szCs w:val="20"/>
          <w:color w:val="auto"/>
        </w:rPr>
        <w:tab/>
      </w:r>
      <w:r>
        <w:rPr>
          <w:rFonts w:ascii="Times New Roman" w:cs="Times New Roman" w:eastAsia="Times New Roman" w:hAnsi="Times New Roman"/>
          <w:sz w:val="18"/>
          <w:szCs w:val="18"/>
          <w:b w:val="1"/>
          <w:bCs w:val="1"/>
          <w:color w:val="auto"/>
        </w:rPr>
        <w:t>Wind Down of Activities</w:t>
      </w:r>
      <w:r>
        <w:rPr>
          <w:rFonts w:ascii="Times New Roman" w:cs="Times New Roman" w:eastAsia="Times New Roman" w:hAnsi="Times New Roman"/>
          <w:sz w:val="18"/>
          <w:szCs w:val="18"/>
          <w:color w:val="auto"/>
        </w:rPr>
        <w:t>. Except as set forth in Section 17.3.1 (Right to Continue Non-Out-Licensed Program),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promptly wind down any Development activities (including any Clinical Trials), Manufacturing activities or Commercialization activities that are currently in progress in accordance with Applicable Law. Except as otherwise set forth in this Section 17.3 (Effects of Termination), each Party will be solely responsible for its internal costs associated with such wind down activities, and the Parties will share any Out-of-Pocket Costs associated with such wind down activities.</w:t>
      </w:r>
    </w:p>
    <w:p>
      <w:pPr>
        <w:spacing w:after="0" w:line="85" w:lineRule="exact"/>
        <w:rPr>
          <w:sz w:val="20"/>
          <w:szCs w:val="20"/>
          <w:color w:val="auto"/>
        </w:rPr>
      </w:pPr>
    </w:p>
    <w:p>
      <w:pPr>
        <w:ind w:left="1960" w:right="100" w:hanging="985"/>
        <w:spacing w:after="0" w:line="270" w:lineRule="auto"/>
        <w:tabs>
          <w:tab w:leader="none" w:pos="1940" w:val="left"/>
        </w:tabs>
        <w:rPr>
          <w:sz w:val="20"/>
          <w:szCs w:val="20"/>
          <w:color w:val="auto"/>
        </w:rPr>
      </w:pPr>
      <w:r>
        <w:rPr>
          <w:rFonts w:ascii="Times New Roman" w:cs="Times New Roman" w:eastAsia="Times New Roman" w:hAnsi="Times New Roman"/>
          <w:sz w:val="18"/>
          <w:szCs w:val="18"/>
          <w:color w:val="auto"/>
        </w:rPr>
        <w:t>17.3.5</w:t>
      </w:r>
      <w:r>
        <w:rPr>
          <w:sz w:val="20"/>
          <w:szCs w:val="20"/>
          <w:color w:val="auto"/>
        </w:rPr>
        <w:tab/>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Upon termination of this Agreement for any reason, the Receiving Party will destroy all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electronic, or other materials containing Confidential Information of the Disclosing Party provided to it by the Disclosing Party in connection with the Licensed Products under this Agreement, including all copies thereof, within [***] of such termination and provide certification of such destruction to the Disclosing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the Receiving Party may retain one copy in its archives solely for the purpose of monitoring its ongoing confidentiality obligations hereunder, and</w:t>
      </w:r>
    </w:p>
    <w:p>
      <w:pPr>
        <w:spacing w:after="0" w:line="3" w:lineRule="exact"/>
        <w:rPr>
          <w:sz w:val="20"/>
          <w:szCs w:val="20"/>
          <w:color w:val="auto"/>
        </w:rPr>
      </w:pPr>
    </w:p>
    <w:p>
      <w:pPr>
        <w:ind w:left="1960" w:firstLine="7"/>
        <w:spacing w:after="0" w:line="253" w:lineRule="auto"/>
        <w:tabs>
          <w:tab w:leader="none" w:pos="221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will not be obligated to destroy such materials containing Confidential Information of the Disclosing Party that are necessary for the Receiving Party to exercise any other license or right of the Receiving Party that survives such termination of this Agreement or for which the Agreement is not terminated; provided that the Receiving Party’s use of such Confidential Information of the Disclosing Party will continue to be subject to the requirements and restrictions set forth in Article 14 (Confidentiality).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17.4</w:t>
            </w:r>
          </w:p>
        </w:tc>
        <w:tc>
          <w:tcPr>
            <w:tcW w:w="103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Surviving Provisions</w:t>
            </w:r>
            <w:r>
              <w:rPr>
                <w:rFonts w:ascii="Times New Roman" w:cs="Times New Roman" w:eastAsia="Times New Roman" w:hAnsi="Times New Roman"/>
                <w:sz w:val="18"/>
                <w:szCs w:val="18"/>
                <w:color w:val="auto"/>
              </w:rPr>
              <w:t>. Subject to the other terms and conditions regarding the termination and survival of obligations under this</w:t>
            </w:r>
          </w:p>
        </w:tc>
      </w:tr>
      <w:tr>
        <w:trPr>
          <w:trHeight w:val="216"/>
        </w:trPr>
        <w:tc>
          <w:tcPr>
            <w:tcW w:w="64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Agreement in the event of expiration or termination of this Agreement, upon expiration or termination of this Agreement, all provisions of</w:t>
            </w:r>
          </w:p>
        </w:tc>
      </w:tr>
      <w:tr>
        <w:trPr>
          <w:trHeight w:val="234"/>
        </w:trPr>
        <w:tc>
          <w:tcPr>
            <w:tcW w:w="640" w:type="dxa"/>
            <w:vAlign w:val="bottom"/>
          </w:tcPr>
          <w:p>
            <w:pPr>
              <w:spacing w:after="0"/>
              <w:rPr>
                <w:sz w:val="20"/>
                <w:szCs w:val="20"/>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this Agreement will cease to have any effect, except that the following provisions will survive any such expiration or termination for any</w:t>
            </w:r>
          </w:p>
        </w:tc>
      </w:tr>
    </w:tbl>
    <w:p>
      <w:pPr>
        <w:ind w:left="980" w:right="160"/>
        <w:spacing w:after="0" w:line="255" w:lineRule="auto"/>
        <w:rPr>
          <w:sz w:val="20"/>
          <w:szCs w:val="20"/>
          <w:color w:val="auto"/>
        </w:rPr>
      </w:pPr>
      <w:r>
        <w:rPr>
          <w:rFonts w:ascii="Times New Roman" w:cs="Times New Roman" w:eastAsia="Times New Roman" w:hAnsi="Times New Roman"/>
          <w:sz w:val="18"/>
          <w:szCs w:val="18"/>
          <w:color w:val="auto"/>
        </w:rPr>
        <w:t>reason for the period of time specified therein, or if not specified, then they will survive indefinitely: Article 1 (Definitions) (solely to the extent such definitions are used in other surviving provisions), Section 3.5 (Research Materials) (except that the first sentence of Section 3.5 will not survive, and subject to Section 17.3.1 (Right to Continue Non-Out-Licensed Program)),</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66" w:right="439" w:bottom="1440" w:gutter="0" w:footer="0" w:header="0"/>
        </w:sectPr>
      </w:pPr>
    </w:p>
    <w:bookmarkStart w:id="474" w:name="page475"/>
    <w:bookmarkEnd w:id="474"/>
    <w:p>
      <w:pPr>
        <w:ind w:left="9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4.4.1 (Sublicensing During Collaboration) (solely the last sentence), Section 4.4.4 (Responsibility for Sublicensees) (solely the last sentence), Section 4.5.2 (Subcontracting Requirements) (solely the first sentence), Section 4.5.3 (Responsibility for Subcontractors) (solely the last sentence), Section 4.6 [***] Unblocking License), Section 4.9 (No Implied Licenses; Retained Rights) (solely the first, second and third sentence), Section 12.1 (Collaboration Profit and Loss Sharing) (solely with respect to any Collaboration Profits and Collaboration Losses accrued prior to the effective date of such expiration or termination of the Agreement), Section 12.2 (Opt-Out Out-Licensing Sharing Report) (solely with respect to Out-Licensing Net Proceeds and royalties on Net Sales accrued prior to the effective date of such expiration or termination of the Agreement), Section 12.3 (Continuing Party Cost Reimbursement), Section 12.4 (Other Payments) through and including Section 12.9 (Taxes) (solely with respect to payments accrued prior to the effective date of such expiration or termination of the Agreement), Section 13.1 (Inventions), Section 13.2 (Patent Prosecution) (solely with respect to Joint Collaboration Patent Rights), Section 14.1 (Confidential Information), Section 14.2 (No Use of Name), Section 15.5 (Warranty Disclaimer), Sections 16.1 (Indemnification of Terray by Odyssey) through and including Section 16.3 (Conditions to Indemnification), Section 16.5 (Limitation on Consequential Damages), Section 17.1 (Term) (last sentence), Section 17.2.8 (Full Force and Effect During Notice Period), Section 17.3 (Effects of Termination), Section 17.4 (Surviving Provisions) and Article 18 (Miscellaneous). Termination of this Agreement will not relieve either Party of any liability that accrued hereunder prior to the effective date of such termination (including any rights or financial compensation that have accrued to the benefit of a Party prior to such expiration or termination) nor preclude either Party from pursuing all rights and remedies it may have hereunder or at law or in equity with respect to any breach of this Agreement. The remedies provided in this Article 17 (Term and Termination) are not exclusive of any other remedies a Party may have in law or equity.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b w:val="1"/>
          <w:bCs w:val="1"/>
          <w:color w:val="auto"/>
        </w:rPr>
        <w:t>Dispute Resolution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960" w:right="100" w:hanging="985"/>
        <w:spacing w:after="0" w:line="262" w:lineRule="auto"/>
        <w:tabs>
          <w:tab w:leader="none" w:pos="194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Times New Roman" w:cs="Times New Roman" w:eastAsia="Times New Roman" w:hAnsi="Times New Roman"/>
          <w:sz w:val="18"/>
          <w:szCs w:val="18"/>
          <w:b w:val="1"/>
          <w:bCs w:val="1"/>
          <w:color w:val="auto"/>
        </w:rPr>
        <w:t>Escalation</w:t>
      </w:r>
      <w:r>
        <w:rPr>
          <w:rFonts w:ascii="Times New Roman" w:cs="Times New Roman" w:eastAsia="Times New Roman" w:hAnsi="Times New Roman"/>
          <w:sz w:val="18"/>
          <w:szCs w:val="18"/>
          <w:color w:val="auto"/>
        </w:rPr>
        <w:t>. In the event of any dispute, claim, controversy, or cause of action asserted by a Party against the other Party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including any alleged breach of this Agreement or claim for indemnification pursuant to Article 16 (Indemnification; Limited Liability; Insurance), such Party may, by written notice to the other Party, refer such matter to the Parties’ respective officers designated below for attempted resolution (each, an “</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p>
      <w:pPr>
        <w:spacing w:after="0" w:line="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For Odyssey: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(or other senior executive designated by Odyssey for such purpose)</w:t>
      </w:r>
    </w:p>
    <w:p>
      <w:pPr>
        <w:spacing w:after="0" w:line="117" w:lineRule="exact"/>
        <w:rPr>
          <w:sz w:val="20"/>
          <w:szCs w:val="20"/>
          <w:color w:val="auto"/>
        </w:rPr>
      </w:pPr>
    </w:p>
    <w:p>
      <w:pPr>
        <w:sectPr>
          <w:pgSz w:w="11900" w:h="16838" w:orient="portrait"/>
          <w:cols w:equalWidth="0" w:num="2">
            <w:col w:w="3060" w:space="720"/>
            <w:col w:w="7220"/>
          </w:cols>
          <w:pgMar w:left="440" w:top="270" w:right="45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7"/>
          <w:szCs w:val="17"/>
          <w:color w:val="auto"/>
        </w:rPr>
        <w:t>For Terray: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 (or other senior executive designated by Terray for such purpose)</w:t>
      </w:r>
    </w:p>
    <w:p>
      <w:pPr>
        <w:spacing w:after="0" w:line="138" w:lineRule="exact"/>
        <w:rPr>
          <w:sz w:val="20"/>
          <w:szCs w:val="20"/>
          <w:color w:val="auto"/>
        </w:rPr>
      </w:pPr>
    </w:p>
    <w:p>
      <w:pPr>
        <w:sectPr>
          <w:pgSz w:w="11900" w:h="16838" w:orient="portrait"/>
          <w:cols w:equalWidth="0" w:num="2">
            <w:col w:w="3060" w:space="720"/>
            <w:col w:w="7220"/>
          </w:cols>
          <w:pgMar w:left="440" w:top="270" w:right="459" w:bottom="1440" w:gutter="0" w:footer="0" w:header="0"/>
          <w:type w:val="continuous"/>
        </w:sectPr>
      </w:pPr>
    </w:p>
    <w:p>
      <w:pPr>
        <w:ind w:left="1960" w:right="80" w:hanging="985"/>
        <w:spacing w:after="0" w:line="259" w:lineRule="auto"/>
        <w:tabs>
          <w:tab w:leader="none" w:pos="19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With the exception of legal actions, proceedings, or claims described in Section 18.1.3 (Patent and Trademark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Disputes) below, or except as set forth in Section 18.5 (Injunctive Relief), for any Claim that was subject to and not resolved under Section 18.1.1 (Resolution by Executive Officers), and a Party desires to pursue resolution of the Claim, then such Claim may only be submitted by either Party for resolution by arbitration in accordance with the procedures set forth in </w:t>
      </w:r>
      <w:r>
        <w:rPr>
          <w:rFonts w:ascii="Times New Roman" w:cs="Times New Roman" w:eastAsia="Times New Roman" w:hAnsi="Times New Roman"/>
          <w:sz w:val="18"/>
          <w:szCs w:val="18"/>
          <w:b w:val="1"/>
          <w:bCs w:val="1"/>
          <w:color w:val="auto"/>
        </w:rPr>
        <w:t xml:space="preserve">Schedule 18.1.2 </w:t>
      </w:r>
      <w:r>
        <w:rPr>
          <w:rFonts w:ascii="Times New Roman" w:cs="Times New Roman" w:eastAsia="Times New Roman" w:hAnsi="Times New Roman"/>
          <w:sz w:val="18"/>
          <w:szCs w:val="18"/>
          <w:color w:val="auto"/>
        </w:rPr>
        <w: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type w:val="continuous"/>
        </w:sectPr>
      </w:pPr>
    </w:p>
    <w:bookmarkStart w:id="475" w:name="page476"/>
    <w:bookmarkEnd w:id="475"/>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18.1.3</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Patent and Trademark Disputes</w:t>
            </w:r>
            <w:r>
              <w:rPr>
                <w:rFonts w:ascii="Times New Roman" w:cs="Times New Roman" w:eastAsia="Times New Roman" w:hAnsi="Times New Roman"/>
                <w:sz w:val="18"/>
                <w:szCs w:val="18"/>
                <w:color w:val="auto"/>
              </w:rPr>
              <w:t>. Notwithstanding any provision to the contrary set forth in this Agreement, any and all</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issues regarding the scope, construction, validity, and enforceability of any Patent Right or Trademark relating to a Licensed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will be determined in a court or other tribunal, as the case may be, of competent jurisdiction under the applicable</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patent or trademark laws of the country in which such Patent Rights or Trademarks were granted or arose.</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18.2</w:t>
            </w: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Expedited Dispute Resolution</w:t>
            </w:r>
            <w:r>
              <w:rPr>
                <w:rFonts w:ascii="Times New Roman" w:cs="Times New Roman" w:eastAsia="Times New Roman" w:hAnsi="Times New Roman"/>
                <w:sz w:val="18"/>
                <w:szCs w:val="18"/>
                <w:color w:val="auto"/>
              </w:rPr>
              <w:t>. If (a) the Parties, following escalation through the JSC and the Executive Officers, cannot reach</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 on any matters set forth in Section 5.5.2(a) (Expedited Dispute Resolution) within the timeframes set forth therein, (b) the</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Parties cannot reach agreement with respect to [***] within the timeframes set forth therein, or (c) the Parties cannot reach agreement on</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within the timeframes set forth therein, then in each case ((a) – (c)), either Party may refer such matter to be determined by an</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independent Third Party expert agreed upon by the Parties, which expert will be engaged within [***] following such referral (and subject</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 any other express requirements with respect to such expert set forth within this Agreement), who, unless otherwise agreed in writing by</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Parties, must not be a current or former employee, contractor, agent, or consultant of either Party or its Affiliates. The Parties will</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promptly engage such expert and each Party will provide (i) such Party’s proposal with respect to such dispute, and (ii) any relevant</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materials to be considered by the expert when making a decision, in each case ((i) and (ii)), within [***] of determining such Third Party</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expert. The Parties will instruct such expert to deliver its written decision to the Parties (including a detailed report as to such expert’s</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rationale for such decision) within [***] after receipt of such relevant materials from the Parties. The Parties will require the decision of</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such expert to be bound by the parameters of the proposals provided by the Parties and will be no worse for a Party than the other Party’s</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proposal that is submitted to such expert, as applicable. The decision of such expert will be binding on the Parties. The Parties will share</w:t>
            </w:r>
          </w:p>
        </w:tc>
      </w:tr>
      <w:tr>
        <w:trPr>
          <w:trHeight w:val="234"/>
        </w:trPr>
        <w:tc>
          <w:tcPr>
            <w:tcW w:w="6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out-of-pocket costs incurred in connection with the engagement of such expert equally.</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18.3</w:t>
            </w: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Baseball Arbitration. </w:t>
            </w:r>
            <w:r>
              <w:rPr>
                <w:rFonts w:ascii="Times New Roman" w:cs="Times New Roman" w:eastAsia="Times New Roman" w:hAnsi="Times New Roman"/>
                <w:sz w:val="18"/>
                <w:szCs w:val="18"/>
                <w:color w:val="auto"/>
              </w:rPr>
              <w:t>If (a) the Parties, following escalation through the JSC and the Executive Officers, cannot reach agreement</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regarding the Out-Licensing Criteria as set forth in Section 5.5.2(b) (Baseball Arbitration Matters), (b) the Parties fail to agree to [***], or</w:t>
            </w:r>
          </w:p>
        </w:tc>
      </w:tr>
      <w:tr>
        <w:trPr>
          <w:trHeight w:val="212"/>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 the Parties, following escalation through the JSC and the Executive Officers, cannot reach agreement regarding: [***], as applicable</w:t>
            </w:r>
          </w:p>
        </w:tc>
      </w:tr>
      <w:tr>
        <w:trPr>
          <w:trHeight w:val="220"/>
        </w:trPr>
        <w:tc>
          <w:tcPr>
            <w:tcW w:w="640" w:type="dxa"/>
            <w:vAlign w:val="bottom"/>
          </w:tcPr>
          <w:p>
            <w:pPr>
              <w:spacing w:after="0"/>
              <w:rPr>
                <w:sz w:val="19"/>
                <w:szCs w:val="19"/>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(each of (a), (b) and (c), a “</w:t>
            </w:r>
            <w:r>
              <w:rPr>
                <w:rFonts w:ascii="Times New Roman" w:cs="Times New Roman" w:eastAsia="Times New Roman" w:hAnsi="Times New Roman"/>
                <w:sz w:val="18"/>
                <w:szCs w:val="18"/>
                <w:b w:val="1"/>
                <w:bCs w:val="1"/>
                <w:color w:val="auto"/>
              </w:rPr>
              <w:t>Baseball Arbitration Matter</w:t>
            </w:r>
            <w:r>
              <w:rPr>
                <w:rFonts w:ascii="Times New Roman" w:cs="Times New Roman" w:eastAsia="Times New Roman" w:hAnsi="Times New Roman"/>
                <w:sz w:val="18"/>
                <w:szCs w:val="18"/>
                <w:color w:val="auto"/>
              </w:rPr>
              <w:t>”), then either Party may refer such matter to be determined through binding</w:t>
            </w:r>
          </w:p>
        </w:tc>
      </w:tr>
      <w:tr>
        <w:trPr>
          <w:trHeight w:val="234"/>
        </w:trPr>
        <w:tc>
          <w:tcPr>
            <w:tcW w:w="6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“baseball” arbitration as follows:</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18.3.1</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Proposals</w:t>
            </w:r>
            <w:r>
              <w:rPr>
                <w:rFonts w:ascii="Times New Roman" w:cs="Times New Roman" w:eastAsia="Times New Roman" w:hAnsi="Times New Roman"/>
                <w:sz w:val="18"/>
                <w:szCs w:val="18"/>
                <w:color w:val="auto"/>
                <w:w w:val="99"/>
              </w:rPr>
              <w:t>. Within [***] following the date a Party refers a Baseball Arbitration Matter to be resolved in accordance with this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18.3 (Baseball Arbitration), each Party will prepare (a) (i) for matters under Section 18.3(a) (Baseball Arbitration),</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proposed Out-Licensing Criteria, which proposal will include all terms that the Parties have already agreed to, (ii) for matters</w:t>
            </w:r>
          </w:p>
        </w:tc>
      </w:tr>
    </w:tbl>
    <w:p>
      <w:pPr>
        <w:ind w:left="1960"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Section 18.3(b) (Baseball Arbitration), a proposed draft of the Out-Licensing Agreement, which draft will be consistent with the Out-Licensing Criteria and will include all terms that the Parties have already agreed to, (iii) for matters under Section 18.3(c) (Baseball Arbitration), a</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65" w:right="43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proposal for whether the amounts set forth in the Research Budget, Development Budget or Commercialization Budget, as</w:t>
            </w:r>
          </w:p>
        </w:tc>
      </w:tr>
      <w:tr>
        <w:trPr>
          <w:trHeight w:val="212"/>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applicable, should be increased and if so, the amount by which it should be increased, and (b) any documentary evidence it</w:t>
            </w:r>
          </w:p>
        </w:tc>
      </w:tr>
      <w:tr>
        <w:trPr>
          <w:trHeight w:val="220"/>
        </w:trPr>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wishes to provide in support thereof (collectively, a “</w:t>
            </w:r>
            <w:r>
              <w:rPr>
                <w:rFonts w:ascii="Times New Roman" w:cs="Times New Roman" w:eastAsia="Times New Roman" w:hAnsi="Times New Roman"/>
                <w:sz w:val="18"/>
                <w:szCs w:val="18"/>
                <w:b w:val="1"/>
                <w:bCs w:val="1"/>
                <w:color w:val="auto"/>
                <w:w w:val="99"/>
              </w:rPr>
              <w:t>Proposal</w:t>
            </w:r>
            <w:r>
              <w:rPr>
                <w:rFonts w:ascii="Times New Roman" w:cs="Times New Roman" w:eastAsia="Times New Roman" w:hAnsi="Times New Roman"/>
                <w:sz w:val="18"/>
                <w:szCs w:val="18"/>
                <w:color w:val="auto"/>
                <w:w w:val="99"/>
              </w:rPr>
              <w:t>”), and will submit its Proposal to the other Party. Within [***]</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following the last Party’s submission of its Proposal to the other Party, the Parties will meet and determine whether they</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 to either Party’s Proposal, or a modified version thereof.</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18.3.2</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Arbitration Notice</w:t>
            </w:r>
            <w:r>
              <w:rPr>
                <w:rFonts w:ascii="Times New Roman" w:cs="Times New Roman" w:eastAsia="Times New Roman" w:hAnsi="Times New Roman"/>
                <w:sz w:val="18"/>
                <w:szCs w:val="18"/>
                <w:color w:val="auto"/>
              </w:rPr>
              <w:t>. If the Parties are unable to agree on the selection of a Proposal within the [***] set forth in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18.3.1 (Proposals), then either Party may submit to the other Party written notice of its election to resolve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Baseball Arbitration Matter through binding arbitration and an Expert will be appointed in accordance with the provisions of</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18.3.3 (Designation of Expert).</w:t>
            </w:r>
          </w:p>
        </w:tc>
      </w:tr>
      <w:tr>
        <w:trPr>
          <w:trHeight w:val="315"/>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18.3.3</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Designation of Expert</w:t>
            </w:r>
            <w:r>
              <w:rPr>
                <w:rFonts w:ascii="Times New Roman" w:cs="Times New Roman" w:eastAsia="Times New Roman" w:hAnsi="Times New Roman"/>
                <w:sz w:val="18"/>
                <w:szCs w:val="18"/>
                <w:color w:val="auto"/>
              </w:rPr>
              <w:t>. For each Baseball Arbitration Matter, the Parties will appoint one agreed upon expert with relevant</w:t>
            </w:r>
          </w:p>
        </w:tc>
      </w:tr>
      <w:tr>
        <w:trPr>
          <w:trHeight w:val="220"/>
        </w:trPr>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experience and expertise (an “</w:t>
            </w:r>
            <w:r>
              <w:rPr>
                <w:rFonts w:ascii="Times New Roman" w:cs="Times New Roman" w:eastAsia="Times New Roman" w:hAnsi="Times New Roman"/>
                <w:sz w:val="18"/>
                <w:szCs w:val="18"/>
                <w:b w:val="1"/>
                <w:bCs w:val="1"/>
                <w:color w:val="auto"/>
              </w:rPr>
              <w:t>Expert</w:t>
            </w:r>
            <w:r>
              <w:rPr>
                <w:rFonts w:ascii="Times New Roman" w:cs="Times New Roman" w:eastAsia="Times New Roman" w:hAnsi="Times New Roman"/>
                <w:sz w:val="18"/>
                <w:szCs w:val="18"/>
                <w:color w:val="auto"/>
              </w:rPr>
              <w:t>”). If the Parties are unable to agree upon such Expert within [***] then each Party will</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select an expert and the Parties’ two selected experts will, within [***], jointly select a third expert who will be the appointed</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Expert.</w:t>
            </w:r>
          </w:p>
        </w:tc>
      </w:tr>
      <w:tr>
        <w:trPr>
          <w:trHeight w:val="319"/>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18.3.4</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Selection of Proposal</w:t>
            </w:r>
            <w:r>
              <w:rPr>
                <w:rFonts w:ascii="Times New Roman" w:cs="Times New Roman" w:eastAsia="Times New Roman" w:hAnsi="Times New Roman"/>
                <w:sz w:val="18"/>
                <w:szCs w:val="18"/>
                <w:color w:val="auto"/>
              </w:rPr>
              <w:t>. Within [***] following the appointment of such Expert(s), each Party will submit its Proposal to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Expert. For clarity, the Proposal submitted to the Expert by each Party must be identical to the Proposal previously submitted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the other Party in accordance with Section 18.3.1 (Proposals). The Expert will be instructed to select one of the Parties’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Proposals within [***] following the receipt thereof and to select the Proposal that they determine to contain the most fair,</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balanced, and customary terms (in addition to being consistent with the terms of this Agreement and any prior agreements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between the Parties on terms). The Expert will be required to agree to comply with such [***] time limit before accepting</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 The authority of the Expert will be limited to selecting only one or the other of the Proposals submitted by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Parties. The selection by the Expert of one Party’s Proposal will be binding and conclusive upon both Parties and (i) for</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matters under Section 18.3(a) (Baseball Arbitration), the proposed Out-Licensing Criteria in such Proposal will become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Out-Licensing Criteria, (ii) for matters under Section 18.3(b) (Baseball Arbitration), the Parties must enter the Out-Licensing</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under the terms in such Proposal, and (iii) for matters under Section 18.3(c) (Baseball Arbitration), the proposed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increase in the amount set forth in the Research Budget, Development Budget or Commercialization Budget, as applicable, in</w:t>
            </w:r>
          </w:p>
        </w:tc>
      </w:tr>
      <w:tr>
        <w:trPr>
          <w:trHeight w:val="234"/>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such Proposal will become the amended Research Budget, Development Budget or Commercialization Budget, as applicable.</w:t>
            </w:r>
          </w:p>
        </w:tc>
      </w:tr>
      <w:tr>
        <w:trPr>
          <w:trHeight w:val="338"/>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18.3.5</w:t>
            </w:r>
          </w:p>
        </w:tc>
        <w:tc>
          <w:tcPr>
            <w:tcW w:w="9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Responsibility for Costs of Arbitration</w:t>
            </w:r>
            <w:r>
              <w:rPr>
                <w:rFonts w:ascii="Times New Roman" w:cs="Times New Roman" w:eastAsia="Times New Roman" w:hAnsi="Times New Roman"/>
                <w:sz w:val="18"/>
                <w:szCs w:val="18"/>
                <w:color w:val="auto"/>
              </w:rPr>
              <w:t>. [***].</w:t>
            </w:r>
          </w:p>
        </w:tc>
      </w:tr>
      <w:tr>
        <w:trPr>
          <w:trHeight w:val="441"/>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18.4</w:t>
            </w: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Designation of Affiliates</w:t>
            </w:r>
            <w:r>
              <w:rPr>
                <w:rFonts w:ascii="Times New Roman" w:cs="Times New Roman" w:eastAsia="Times New Roman" w:hAnsi="Times New Roman"/>
                <w:sz w:val="18"/>
                <w:szCs w:val="18"/>
                <w:color w:val="auto"/>
              </w:rPr>
              <w:t>. Each Party may discharge any obligations and exercise any rights under this Agreement through delegation of</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its obligations or rights to any of its Affiliates. Each Party hereby guarantees the performance by its Affiliates of such Party’s obligations</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under this Agreement, and will cause its Affiliates to comply with the provisions of this Agreement in connection with such performance.</w:t>
            </w:r>
          </w:p>
        </w:tc>
      </w:tr>
      <w:tr>
        <w:trPr>
          <w:trHeight w:val="216"/>
        </w:trPr>
        <w:tc>
          <w:tcPr>
            <w:tcW w:w="6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Any breach by a Party’s Affiliate of any of such Party’s obligations under this Agreement will be a breach by such Party, and the other</w:t>
            </w:r>
          </w:p>
        </w:tc>
      </w:tr>
      <w:tr>
        <w:trPr>
          <w:trHeight w:val="234"/>
        </w:trPr>
        <w:tc>
          <w:tcPr>
            <w:tcW w:w="6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Party may proceed directly against such Party without any obligation to first proceed against such Party’s Affiliate.</w:t>
            </w:r>
          </w:p>
        </w:tc>
      </w:tr>
      <w:tr>
        <w:trPr>
          <w:trHeight w:val="365"/>
        </w:trPr>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-76-</w:t>
            </w:r>
          </w:p>
        </w:tc>
      </w:tr>
    </w:tbl>
    <w:p>
      <w:pPr>
        <w:ind w:left="3660"/>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77" w:name="page478"/>
    <w:bookmarkEnd w:id="47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18.5</w:t>
      </w:r>
      <w:r>
        <w:rPr>
          <w:sz w:val="20"/>
          <w:szCs w:val="20"/>
          <w:color w:val="auto"/>
        </w:rPr>
        <w:tab/>
      </w:r>
      <w:r>
        <w:rPr>
          <w:rFonts w:ascii="Times New Roman" w:cs="Times New Roman" w:eastAsia="Times New Roman" w:hAnsi="Times New Roman"/>
          <w:sz w:val="17"/>
          <w:szCs w:val="17"/>
          <w:b w:val="1"/>
          <w:bCs w:val="1"/>
          <w:color w:val="auto"/>
        </w:rPr>
        <w:t>Injunctive Relief</w:t>
      </w:r>
      <w:r>
        <w:rPr>
          <w:rFonts w:ascii="Times New Roman" w:cs="Times New Roman" w:eastAsia="Times New Roman" w:hAnsi="Times New Roman"/>
          <w:sz w:val="17"/>
          <w:szCs w:val="17"/>
          <w:color w:val="auto"/>
        </w:rPr>
        <w:t>. Notwithstanding any provision to the contrary set forth in this Agreement, the Parties each stipulate and agree that</w:t>
      </w:r>
    </w:p>
    <w:p>
      <w:pPr>
        <w:spacing w:after="0" w:line="31" w:lineRule="exact"/>
        <w:rPr>
          <w:sz w:val="20"/>
          <w:szCs w:val="20"/>
          <w:color w:val="auto"/>
        </w:rPr>
      </w:pPr>
    </w:p>
    <w:p>
      <w:pPr>
        <w:ind w:left="980" w:firstLine="1"/>
        <w:spacing w:after="0" w:line="251" w:lineRule="auto"/>
        <w:tabs>
          <w:tab w:leader="none" w:pos="122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Party’s Confidential Information may include highly sensitive trade secret information, (b) a violation of the licenses granted to a Party under Section 11.2.5 (License Grant to Continuing Party) or Section 17.3.1(a) (License Grant to Ongoing Party) or a breach of Article 14 (Confidentiality) by a Party with respect to such information may cause irrevocable harm for which monetary damages may not provide a sufficient remedy, and (c) in such case of a breach, the non-breaching Party will be entitled to seek equitable relief (including temporary or permanent restraining orders, specific performance or other injunctive relief) from any court of competent jurisdiction. In addition, and notwithstanding any provision to the contrary set forth in this Agreement, in the event of any other actual or threatened breach hereunder, the aggrieved Party may seek equitable relief (including temporary or permanent restraining orders, specific performance or other injunctive relief) from any court of competent jurisdiction without first submitting to the dispute resolution procedures set forth in Section 18.1 (Dispute Resolution).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18.6</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Governing Law</w:t>
            </w:r>
            <w:r>
              <w:rPr>
                <w:rFonts w:ascii="Times New Roman" w:cs="Times New Roman" w:eastAsia="Times New Roman" w:hAnsi="Times New Roman"/>
                <w:sz w:val="18"/>
                <w:szCs w:val="18"/>
                <w:color w:val="auto"/>
                <w:w w:val="99"/>
              </w:rPr>
              <w:t>. This Agreement will be governed by and construed in accordance with the laws of the State of New York without taking</w:t>
            </w:r>
          </w:p>
        </w:tc>
      </w:tr>
      <w:tr>
        <w:trPr>
          <w:trHeight w:val="234"/>
        </w:trPr>
        <w:tc>
          <w:tcPr>
            <w:tcW w:w="640" w:type="dxa"/>
            <w:vAlign w:val="bottom"/>
          </w:tcPr>
          <w:p>
            <w:pPr>
              <w:spacing w:after="0"/>
              <w:rPr>
                <w:sz w:val="20"/>
                <w:szCs w:val="20"/>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into consideration any choice of law principles that would lead to the application of the laws of another jurisdiction.</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18.7</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Cumulative Remedies</w:t>
            </w:r>
            <w:r>
              <w:rPr>
                <w:rFonts w:ascii="Times New Roman" w:cs="Times New Roman" w:eastAsia="Times New Roman" w:hAnsi="Times New Roman"/>
                <w:sz w:val="18"/>
                <w:szCs w:val="18"/>
                <w:color w:val="auto"/>
              </w:rPr>
              <w:t>. The rights and remedies of the Parties under this Agreement are cumulative and not exclusive and, accordingly,</w:t>
            </w:r>
          </w:p>
        </w:tc>
      </w:tr>
      <w:tr>
        <w:trPr>
          <w:trHeight w:val="234"/>
        </w:trPr>
        <w:tc>
          <w:tcPr>
            <w:tcW w:w="640" w:type="dxa"/>
            <w:vAlign w:val="bottom"/>
          </w:tcPr>
          <w:p>
            <w:pPr>
              <w:spacing w:after="0"/>
              <w:rPr>
                <w:sz w:val="20"/>
                <w:szCs w:val="20"/>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are in addition to and not in lieu of any other rights and remedies of the Parties at law or in equity.</w:t>
            </w:r>
          </w:p>
        </w:tc>
      </w:tr>
      <w:tr>
        <w:trPr>
          <w:trHeight w:val="31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5"/>
              </w:rPr>
              <w:t>18.8</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must be in writing and</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will be deemed given and effective if: (a) delivered by hand or by overnight courier with tracking capabilities; (b) mailed postage prepaid</w:t>
            </w:r>
          </w:p>
        </w:tc>
      </w:tr>
      <w:tr>
        <w:trPr>
          <w:trHeight w:val="216"/>
        </w:trPr>
        <w:tc>
          <w:tcPr>
            <w:tcW w:w="640" w:type="dxa"/>
            <w:vAlign w:val="bottom"/>
          </w:tcPr>
          <w:p>
            <w:pPr>
              <w:spacing w:after="0"/>
              <w:rPr>
                <w:sz w:val="18"/>
                <w:szCs w:val="18"/>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by first class, registered, or certified mail; or (c) delivered by electronic mail followed by delivery via either of the methods set forth in</w:t>
            </w:r>
          </w:p>
        </w:tc>
      </w:tr>
      <w:tr>
        <w:trPr>
          <w:trHeight w:val="234"/>
        </w:trPr>
        <w:tc>
          <w:tcPr>
            <w:tcW w:w="640" w:type="dxa"/>
            <w:vAlign w:val="bottom"/>
          </w:tcPr>
          <w:p>
            <w:pPr>
              <w:spacing w:after="0"/>
              <w:rPr>
                <w:sz w:val="20"/>
                <w:szCs w:val="20"/>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clauses (a) and (b) of this Section 18.8 (Notices), in each case, addressed as set forth below unless changed by notice so given:</w:t>
            </w:r>
          </w:p>
        </w:tc>
      </w:tr>
      <w:tr>
        <w:trPr>
          <w:trHeight w:val="459"/>
        </w:trPr>
        <w:tc>
          <w:tcPr>
            <w:tcW w:w="640" w:type="dxa"/>
            <w:vAlign w:val="bottom"/>
          </w:tcPr>
          <w:p>
            <w:pPr>
              <w:spacing w:after="0"/>
              <w:rPr>
                <w:sz w:val="24"/>
                <w:szCs w:val="24"/>
                <w:color w:val="auto"/>
              </w:rPr>
            </w:pPr>
          </w:p>
        </w:tc>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If to Odyssey</w:t>
            </w:r>
            <w:r>
              <w:rPr>
                <w:rFonts w:ascii="Times New Roman" w:cs="Times New Roman" w:eastAsia="Times New Roman" w:hAnsi="Times New Roman"/>
                <w:sz w:val="18"/>
                <w:szCs w:val="18"/>
                <w:color w:val="auto"/>
              </w:rPr>
              <w:t>:</w:t>
            </w:r>
          </w:p>
        </w:tc>
        <w:tc>
          <w:tcPr>
            <w:tcW w:w="8020" w:type="dxa"/>
            <w:vAlign w:val="bottom"/>
          </w:tcPr>
          <w:p>
            <w:pPr>
              <w:jc w:val="right"/>
              <w:ind w:right="66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40" w:type="dxa"/>
            <w:vAlign w:val="bottom"/>
          </w:tcPr>
          <w:p>
            <w:pPr>
              <w:spacing w:after="0"/>
              <w:rPr>
                <w:sz w:val="24"/>
                <w:szCs w:val="24"/>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Copy to (which copy will not constitute notice):</w:t>
            </w:r>
          </w:p>
        </w:tc>
      </w:tr>
    </w:tbl>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40"/>
          </w:cols>
          <w:pgMar w:left="440" w:top="265" w:right="519" w:bottom="1440" w:gutter="0" w:footer="0" w:header="0"/>
        </w:sectPr>
      </w:pPr>
    </w:p>
    <w:bookmarkStart w:id="478" w:name="page479"/>
    <w:bookmarkEnd w:id="478"/>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If to Terray:</w:t>
            </w:r>
          </w:p>
        </w:tc>
        <w:tc>
          <w:tcPr>
            <w:tcW w:w="8140" w:type="dxa"/>
            <w:vAlign w:val="bottom"/>
          </w:tcPr>
          <w:p>
            <w:pPr>
              <w:jc w:val="right"/>
              <w:ind w:right="67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00" w:type="dxa"/>
            <w:vAlign w:val="bottom"/>
          </w:tcPr>
          <w:p>
            <w:pPr>
              <w:spacing w:after="0"/>
              <w:rPr>
                <w:sz w:val="24"/>
                <w:szCs w:val="24"/>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Copy to (which copy will not constitute notice):</w:t>
            </w:r>
          </w:p>
        </w:tc>
      </w:tr>
      <w:tr>
        <w:trPr>
          <w:trHeight w:val="459"/>
        </w:trPr>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140" w:type="dxa"/>
            <w:vAlign w:val="bottom"/>
          </w:tcPr>
          <w:p>
            <w:pPr>
              <w:jc w:val="right"/>
              <w:ind w:right="673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700" w:type="dxa"/>
            <w:vAlign w:val="bottom"/>
          </w:tcPr>
          <w:p>
            <w:pPr>
              <w:spacing w:after="0"/>
              <w:rPr>
                <w:sz w:val="24"/>
                <w:szCs w:val="24"/>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All notices will be deemed effective: (a) if by courier, on the Business Day of delivery as evidenced by the courier’s receipt (or if delivered</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or sent on a non-Business Day, then on the next Business Day); or (b) if sent by registered or certified airmail, on the Business Day of</w:t>
            </w:r>
          </w:p>
        </w:tc>
      </w:tr>
      <w:tr>
        <w:trPr>
          <w:trHeight w:val="234"/>
        </w:trPr>
        <w:tc>
          <w:tcPr>
            <w:tcW w:w="700" w:type="dxa"/>
            <w:vAlign w:val="bottom"/>
          </w:tcPr>
          <w:p>
            <w:pPr>
              <w:spacing w:after="0"/>
              <w:rPr>
                <w:sz w:val="20"/>
                <w:szCs w:val="20"/>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receipt as evidenced on the return receipt.</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18.9</w:t>
            </w: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Amendment; Waiver</w:t>
            </w:r>
            <w:r>
              <w:rPr>
                <w:rFonts w:ascii="Times New Roman" w:cs="Times New Roman" w:eastAsia="Times New Roman" w:hAnsi="Times New Roman"/>
                <w:sz w:val="18"/>
                <w:szCs w:val="18"/>
                <w:color w:val="auto"/>
              </w:rPr>
              <w:t>. This Agreement may be amended, modified, superseded, or cancelled only by a written agreement between the</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Parties, and any of the terms of this Agreement may be waived only by a written instrument executed by each Party or, in the case of</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waiver, by the Party or Parties waiving compliance. The delay or failure of either Party at any time or times to require performance of any</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provisions will in no manner affect the rights at a later time to enforce the same. No waiver by either Party of any condition or of the</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breach of any term contained in this Agreement, whether by conduct, or otherwise, in any one or more instances, will be deemed to be, or</w:t>
            </w:r>
          </w:p>
        </w:tc>
      </w:tr>
      <w:tr>
        <w:trPr>
          <w:trHeight w:val="234"/>
        </w:trPr>
        <w:tc>
          <w:tcPr>
            <w:tcW w:w="700" w:type="dxa"/>
            <w:vAlign w:val="bottom"/>
          </w:tcPr>
          <w:p>
            <w:pPr>
              <w:spacing w:after="0"/>
              <w:rPr>
                <w:sz w:val="20"/>
                <w:szCs w:val="20"/>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considered as, a further or continuing waiver of any such condition or of the breach of such term or any other term of this Agreement.</w:t>
            </w: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18.10</w:t>
            </w: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Assignment and Successors</w:t>
            </w:r>
            <w:r>
              <w:rPr>
                <w:rFonts w:ascii="Times New Roman" w:cs="Times New Roman" w:eastAsia="Times New Roman" w:hAnsi="Times New Roman"/>
                <w:sz w:val="18"/>
                <w:szCs w:val="18"/>
                <w:color w:val="auto"/>
              </w:rPr>
              <w:t>. Neither Party may assign or transfer this Agreement, or any rights or obligations hereunder, without the</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Party’s prior written consent unless such assignment is to (a) a Third Party successor or purchaser of all or substantially all of the</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assets or businesses to which this Agreement relates whether pursuant to a sale of assets, merger, or other transaction, in which case the</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assigning Party will provide prior written notice to the other Party and need not obtain the other Party’s consent, or (b) an Affiliate of such</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Party, in which case the assigning Party will provide prior written notice to the other Party and need not obtain the other Party’s consent;</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provided that, the assigning Party, if surviving, remains fully liable for the performance of its obligations hereunder by such assignee. An</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assignment to an Affiliate will terminate, and all rights so assigned will revert to the assigning Party, if and when such Affiliate ceases to</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be an Affiliate of the assigning Party, unless the other Party provides its prior written consent for such assignment not to terminate. For</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clarity, any assignment in violation of this Section 18.10 (Assignment and Successors) will be null, void, and of no legal effect. This</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Agreement will be binding upon and inure to the benefit of the Parties and their respective legal representatives, successors and permitted</w:t>
            </w:r>
          </w:p>
        </w:tc>
      </w:tr>
      <w:tr>
        <w:trPr>
          <w:trHeight w:val="234"/>
        </w:trPr>
        <w:tc>
          <w:tcPr>
            <w:tcW w:w="700" w:type="dxa"/>
            <w:vAlign w:val="bottom"/>
          </w:tcPr>
          <w:p>
            <w:pPr>
              <w:spacing w:after="0"/>
              <w:rPr>
                <w:sz w:val="20"/>
                <w:szCs w:val="20"/>
                <w:color w:val="auto"/>
              </w:rPr>
            </w:pPr>
          </w:p>
        </w:tc>
        <w:tc>
          <w:tcPr>
            <w:tcW w:w="2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assigns.</w:t>
            </w:r>
          </w:p>
        </w:tc>
        <w:tc>
          <w:tcPr>
            <w:tcW w:w="8140" w:type="dxa"/>
            <w:vAlign w:val="bottom"/>
          </w:tcPr>
          <w:p>
            <w:pPr>
              <w:spacing w:after="0"/>
              <w:rPr>
                <w:sz w:val="20"/>
                <w:szCs w:val="20"/>
                <w:color w:val="auto"/>
              </w:rPr>
            </w:pP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18.11</w:t>
            </w: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Independent Contractors</w:t>
            </w:r>
            <w:r>
              <w:rPr>
                <w:rFonts w:ascii="Times New Roman" w:cs="Times New Roman" w:eastAsia="Times New Roman" w:hAnsi="Times New Roman"/>
                <w:sz w:val="18"/>
                <w:szCs w:val="18"/>
                <w:color w:val="auto"/>
              </w:rPr>
              <w:t>. It is expressly agreed that Terray and Odyssey will be independent contractors and that the relationship</w:t>
            </w:r>
          </w:p>
        </w:tc>
      </w:tr>
      <w:tr>
        <w:trPr>
          <w:trHeight w:val="216"/>
        </w:trPr>
        <w:tc>
          <w:tcPr>
            <w:tcW w:w="700" w:type="dxa"/>
            <w:vAlign w:val="bottom"/>
          </w:tcPr>
          <w:p>
            <w:pPr>
              <w:spacing w:after="0"/>
              <w:rPr>
                <w:sz w:val="18"/>
                <w:szCs w:val="18"/>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between the two Parties will not constitute a partnership, joint venture or agency. Neither Terray nor Odyssey will have the authority to</w:t>
            </w:r>
          </w:p>
        </w:tc>
      </w:tr>
      <w:tr>
        <w:trPr>
          <w:trHeight w:val="234"/>
        </w:trPr>
        <w:tc>
          <w:tcPr>
            <w:tcW w:w="700" w:type="dxa"/>
            <w:vAlign w:val="bottom"/>
          </w:tcPr>
          <w:p>
            <w:pPr>
              <w:spacing w:after="0"/>
              <w:rPr>
                <w:sz w:val="20"/>
                <w:szCs w:val="20"/>
                <w:color w:val="auto"/>
              </w:rPr>
            </w:pP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make any statements, representations or commitments of any kind, or to take any action that is binding on the other Party</w:t>
            </w:r>
          </w:p>
        </w:tc>
      </w:tr>
      <w:tr>
        <w:trPr>
          <w:trHeight w:val="365"/>
        </w:trPr>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14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-78-</w:t>
            </w:r>
          </w:p>
        </w:tc>
      </w:tr>
    </w:tbl>
    <w:p>
      <w:pPr>
        <w:jc w:val="right"/>
        <w:ind w:right="5250"/>
        <w:spacing w:after="0"/>
        <w:rPr>
          <w:sz w:val="20"/>
          <w:szCs w:val="20"/>
          <w:color w:val="auto"/>
        </w:rPr>
        <w:sectPr>
          <w:pgSz w:w="11900" w:h="16838" w:orient="portrait"/>
          <w:cols w:equalWidth="0" w:num="1">
            <w:col w:w="11000"/>
          </w:cols>
          <w:pgMar w:left="440" w:top="265"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79" w:name="page480"/>
    <w:bookmarkEnd w:id="479"/>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without the prior written consent of the other Party. Notwithstanding the foregoing, Terray and Odyssey will cooperate in good faith to</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determine if any portion of the transactions contemplated by this Agreement constitutes a partnership for U.S. federal income tax purposes</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to report consistently therewith to the extent required by Applicable Law.</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18.12</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Third Party Beneficiary</w:t>
            </w:r>
            <w:r>
              <w:rPr>
                <w:rFonts w:ascii="Times New Roman" w:cs="Times New Roman" w:eastAsia="Times New Roman" w:hAnsi="Times New Roman"/>
                <w:sz w:val="18"/>
                <w:szCs w:val="18"/>
                <w:color w:val="auto"/>
              </w:rPr>
              <w:t>. Except as provided in Article 16 (Indemnification; Limited Liability; Insurance), none of the provisions of this</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 will be for the benefit of or enforceable by any Third Party, including any creditor of any party hereto. Except as provided in</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Article 16 (Indemnification; Limited Liability; Insurance), no Third Party will obtain any right under any provision of this Agreement or</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will by reason of any such provision make any claim in respect of any debt, liability or obligation (or otherwise) against any party hereto.</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18.13</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will be held liable to the other Party nor be deemed to have defaulted under or breached this Agreement for</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failure or delay in achieving any objective, satisfying any condition, or performing any obligation under this Agreement to the extent that</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such failure or delay is caused by or results from acts or events beyond the reasonable control of such Party, including, acts of God,</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embargoes, war, acts of war (whether war be declared or not), terrorism, insurrections, riots, civil commotions, strikes, lockouts, or other</w:t>
            </w:r>
          </w:p>
        </w:tc>
      </w:tr>
      <w:tr>
        <w:trPr>
          <w:trHeight w:val="212"/>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labor disturbances, government actions, unavailability of supplies, materials or transportation, fire, earthquakes, floods, epidemics,</w:t>
            </w:r>
          </w:p>
        </w:tc>
      </w:tr>
      <w:tr>
        <w:trPr>
          <w:trHeight w:val="220"/>
        </w:trPr>
        <w:tc>
          <w:tcPr>
            <w:tcW w:w="700" w:type="dxa"/>
            <w:vAlign w:val="bottom"/>
          </w:tcPr>
          <w:p>
            <w:pPr>
              <w:spacing w:after="0"/>
              <w:rPr>
                <w:sz w:val="19"/>
                <w:szCs w:val="19"/>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pandemics, the spread of infectious diseases, and quarantines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Notwithstanding the foregoing, a Party will not be</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excused from making payments owed hereunder due to any such Force Majeure circumstances affecting such Party. The affected Party</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will notify the other Party in writing of any Force Majeure circumstances as soon as reasonably practical, and will provide a good faith</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estimate of the period for which its failure or delay in performance under the Agreement is expected to continue based on currently</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available information.</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18.14</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The Parties acknowledge and agree that: (a) each Party and its counsel reviewed and negotiated the terms and provisions</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this Agreement and have contributed to its revision; (b) the rule of construction to the effect that any ambiguities are resolved against</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drafting Party will not be employed in the interpretation of this Agreement; and (c) the terms and provisions of this Agreement will be</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construed fairly as to each Party and not in a favor of or against either Party, regardless of which Party was generally responsible for the</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preparation of this Agreement. In addition, except as otherwise explicitly specified to the contrary, (i) references to a section, schedule, or</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exhibit means a section of, or schedule, or exhibit to this Agreement, unless another agreement is specified, (ii) the word “including” (in its</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various forms) means “including without limitation,” (iii) the words “shall” and “will” have the same meaning, (iv) references to a</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particular statute or regulation include all rules and regulations thereunder and any predecessor or successor statute, rules or regulations, in</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each case as amended or otherwise modified from time-to-time, (v) words in the singular will be held to include the plural and vice versa,</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words of one gender will be held to include the other gender as the context requires, (vi) references to a particular Person include such</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Person’s successors and assigns to the extent not prohibited by this Agreement, (vii) references to “days” will mean calendar days, unless</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otherwise specified, (viii) the word “or” will not be exclusive, unless the context otherwise requires, (ix) the titles and headings contained</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this Agreement are for reference purposes only and will not affect in any way the meaning or interpretation of this Agreement, (x) the</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terms “hereof,” “hereby,” “hereto,” and derivative or similar words refer to this entire Agreement, including any schedules or exhibits</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hereto, (xi) neither Party or its Affiliates or (sub)licensees shall be deemed acting “on behalf of” or “under the authority of” the other Party,</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(xii) unless otherwise specified, “$” is in reference to United States Dollars.</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18.15</w:t>
            </w: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This Agreement, together with all exhibits and schedules attached hereto, sets forth the entire agreement with respect to the</w:t>
            </w:r>
          </w:p>
        </w:tc>
      </w:tr>
      <w:tr>
        <w:trPr>
          <w:trHeight w:val="216"/>
        </w:trPr>
        <w:tc>
          <w:tcPr>
            <w:tcW w:w="70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subject matter hereof and thereof and supersedes all other agreements and understandings between the Parties with respect to such subject</w:t>
            </w:r>
          </w:p>
        </w:tc>
      </w:tr>
      <w:tr>
        <w:trPr>
          <w:trHeight w:val="234"/>
        </w:trPr>
        <w:tc>
          <w:tcPr>
            <w:tcW w:w="700" w:type="dxa"/>
            <w:vAlign w:val="bottom"/>
          </w:tcPr>
          <w:p>
            <w:pPr>
              <w:spacing w:after="0"/>
              <w:rPr>
                <w:sz w:val="20"/>
                <w:szCs w:val="20"/>
                <w:color w:val="auto"/>
              </w:rPr>
            </w:pPr>
          </w:p>
        </w:tc>
        <w:tc>
          <w:tcPr>
            <w:tcW w:w="10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matter, including the CDA.</w:t>
            </w:r>
          </w:p>
        </w:tc>
      </w:tr>
      <w:tr>
        <w:trPr>
          <w:trHeight w:val="365"/>
        </w:trPr>
        <w:tc>
          <w:tcPr>
            <w:tcW w:w="700" w:type="dxa"/>
            <w:vAlign w:val="bottom"/>
          </w:tcPr>
          <w:p>
            <w:pPr>
              <w:spacing w:after="0"/>
              <w:rPr>
                <w:sz w:val="24"/>
                <w:szCs w:val="24"/>
                <w:color w:val="auto"/>
              </w:rPr>
            </w:pPr>
          </w:p>
        </w:tc>
        <w:tc>
          <w:tcPr>
            <w:tcW w:w="1030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-79-</w:t>
            </w:r>
          </w:p>
        </w:tc>
      </w:tr>
    </w:tbl>
    <w:p>
      <w:pPr>
        <w:ind w:left="4660"/>
        <w:spacing w:after="0"/>
        <w:rPr>
          <w:sz w:val="20"/>
          <w:szCs w:val="20"/>
          <w:color w:val="auto"/>
        </w:rPr>
        <w:sectPr>
          <w:pgSz w:w="11900" w:h="16838" w:orient="portrait"/>
          <w:cols w:equalWidth="0" w:num="1">
            <w:col w:w="11000"/>
          </w:cols>
          <w:pgMar w:left="440" w:top="269"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80" w:name="page481"/>
    <w:bookmarkEnd w:id="480"/>
    <w:tbl>
      <w:tblPr>
        <w:tblLayout w:type="fixed"/>
        <w:tblInd w:w="0" w:type="dxa"/>
        <w:tblCellMar>
          <w:top w:w="0" w:type="dxa"/>
          <w:left w:w="0" w:type="dxa"/>
          <w:bottom w:w="0" w:type="dxa"/>
          <w:right w:w="0" w:type="dxa"/>
        </w:tblCellMar>
      </w:tblPr>
      <w:tr>
        <w:trPr>
          <w:trHeight w:val="220"/>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18.16</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Each Party hereby agrees that it does not intend to violate any public policy, statutory or common laws, rules, regulations,</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treaty, or decision of any government agency or executive body thereof of any country or community or association of countries. Should</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one or more provisions of this Agreement be or become invalid, the Parties will substitute, by mutual consent, valid provisions for such</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invalid provisions, which valid provisions in their economic effect are sufficiently similar to the invalid provisions such that it can be</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reasonably assumed that the Parties would have entered into this Agreement with such valid provisions. In case such valid provisions</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cannot be agreed upon, the invalidity of one or several provisions of this Agreement will not affect the validity of this Agreement as a</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whole, unless the invalid provisions are of such essential importance to this Agreement such that it is to be reasonably assumed that the</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Parties would not have entered into this Agreement without the invalid provisions. The amounts owing under this Agreement are</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attributable independently but concurrently to the Patent Rights and Know-How rights licensed or otherwise granted by each Party to the</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Party, as well as the grant of other rights and undertakings of each of the Parties. However, if it is determined in a legal proceeding</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respect to this Agreement that amounts to be paid with respect to Licensed Products not Covered by a Patent Right licensed to the</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Party must be subject to a reduction to be valid and enforceable, then such amounts shall be reduced by the minimum amount</w:t>
            </w:r>
          </w:p>
        </w:tc>
      </w:tr>
      <w:tr>
        <w:trPr>
          <w:trHeight w:val="234"/>
        </w:trPr>
        <w:tc>
          <w:tcPr>
            <w:tcW w:w="70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necessary to make such payment obligations valid and enforceable.</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18.17</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Each of Odyssey and Terray agrees to duly execute and deliver, or cause to be duly executed and delivered, such</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instruments and do and cause to be done such further acts and things, including, the filing of such additional assignments,</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agreements, documents, and instruments, as the other Party may at any time and from time-to-time reasonably request in connection with</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this Agreement or to carry out more effectively the provisions and purposes of, or to better assure and confirm unto such other Party its</w:t>
            </w:r>
          </w:p>
        </w:tc>
      </w:tr>
      <w:tr>
        <w:trPr>
          <w:trHeight w:val="234"/>
        </w:trPr>
        <w:tc>
          <w:tcPr>
            <w:tcW w:w="70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rights and remedies under, this Agreement.</w:t>
            </w:r>
          </w:p>
        </w:tc>
      </w:tr>
      <w:tr>
        <w:trPr>
          <w:trHeight w:val="319"/>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18.18</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all of which taken together will be regarded as one and the same</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line="216" w:lineRule="exact"/>
              <w:rPr>
                <w:sz w:val="20"/>
                <w:szCs w:val="20"/>
                <w:color w:val="auto"/>
              </w:rPr>
            </w:pPr>
            <w:r>
              <w:rPr>
                <w:rFonts w:ascii="Times New Roman" w:cs="Times New Roman" w:eastAsia="Times New Roman" w:hAnsi="Times New Roman"/>
                <w:sz w:val="17"/>
                <w:szCs w:val="17"/>
                <w:color w:val="auto"/>
              </w:rPr>
              <w:t>instrument. Each Party may execute this Agreement in Adobe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Portable Document Format (PDF) sent by electronic mail. PDF signatures</w:t>
            </w:r>
          </w:p>
        </w:tc>
      </w:tr>
      <w:tr>
        <w:trPr>
          <w:trHeight w:val="216"/>
        </w:trPr>
        <w:tc>
          <w:tcPr>
            <w:tcW w:w="7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 any electronic signature complying with the U.S. Federal ESIGN Act of 2000 of authorized signatories of the Parties will be deemed to</w:t>
            </w:r>
          </w:p>
        </w:tc>
      </w:tr>
      <w:tr>
        <w:trPr>
          <w:trHeight w:val="234"/>
        </w:trPr>
        <w:tc>
          <w:tcPr>
            <w:tcW w:w="70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 original signatures, will be valid and binding upon the Parties, and, upon delivery, will constitute due execution of this Agreement.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40"/>
          </w:cols>
          <w:pgMar w:left="440" w:top="265" w:right="519" w:bottom="1440" w:gutter="0" w:footer="0" w:header="0"/>
        </w:sectPr>
      </w:pPr>
    </w:p>
    <w:bookmarkStart w:id="481" w:name="page482"/>
    <w:bookmarkEnd w:id="481"/>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as of the Effective Date by their respective duly authorized representatives.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TERRAY THERAPEUTICS,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ODYSSEY THERAPEUTICS,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Berlin</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D. Glick</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Berlin</w:t>
            </w:r>
          </w:p>
        </w:tc>
        <w:tc>
          <w:tcPr>
            <w:tcW w:w="13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Gary D. Glick</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6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-81-</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82" w:name="page483"/>
    <w:bookmarkEnd w:id="482"/>
    <w:p>
      <w:pPr>
        <w:jc w:val="cente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both (i) not material and (ii) of the type that the Registrant treats as private or confidential. Such omitted information is indicated by brackets (“[***]”) in this exhibit.***</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182880</wp:posOffset>
            </wp:positionV>
            <wp:extent cx="6995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225425</wp:posOffset>
            </wp:positionV>
            <wp:extent cx="6995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RAHKO LIMITED,</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ROBERT IAN HOROBIN AND MIRIAM CHA, AS SELLERS’ REPRESENTATIVES</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DATED AS OF OCTOBER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173990</wp:posOffset>
            </wp:positionV>
            <wp:extent cx="699516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217170</wp:posOffset>
            </wp:positionV>
            <wp:extent cx="69951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560" w:top="117" w:right="43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00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ABLE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ONTENTS</w:t>
            </w:r>
          </w:p>
        </w:tc>
        <w:tc>
          <w:tcPr>
            <w:tcW w:w="340" w:type="dxa"/>
            <w:vAlign w:val="bottom"/>
          </w:tcPr>
          <w:p>
            <w:pPr>
              <w:spacing w:after="0"/>
              <w:rPr>
                <w:sz w:val="20"/>
                <w:szCs w:val="20"/>
                <w:color w:val="auto"/>
              </w:rPr>
            </w:pPr>
          </w:p>
        </w:tc>
      </w:tr>
      <w:tr>
        <w:trPr>
          <w:trHeight w:val="391"/>
        </w:trPr>
        <w:tc>
          <w:tcPr>
            <w:tcW w:w="16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28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INTERPRETATION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and Sale of the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and Sale of the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Partial Sale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Consideration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 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ARTICLE 4 Closing</w:t>
            </w:r>
          </w:p>
        </w:tc>
        <w:tc>
          <w:tcPr>
            <w:tcW w:w="90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Actions in Connection with the Closing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Power Pending Registration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Share Options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Consideration Shares and Share Certificate Procedures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Sellers’ Representative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Statement Adjustment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Closing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REPRESENTATIONS AND WARRANTIES OF THE COMPANY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and Standing; No Subsidiaries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and Authority; Binding Agreement; Insolvency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Changes or Events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Undisclosed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9" w:right="49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Plans; Employee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5.19.</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Compliance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5.20.</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Books and Records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5.21.</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5.22.</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REPRESENTATIONS AND WARRANTIES OF BUYER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 and Authority; Binding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Non-contravention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REPRESENTATIONS AND WARRANTIES OF THE SELLERS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 and Authority; Binding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Noncontravention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Shares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Laws; Restrictions on Transfer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Company’s Indebtedness and Transaction 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of Buyer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Limits on 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Loss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Treatment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 Limitations on Damages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Right of Contribution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9" w:right="499" w:bottom="1440" w:gutter="0" w:footer="0" w:header="0"/>
        </w:sectPr>
      </w:pPr>
    </w:p>
    <w:bookmarkStart w:id="485" w:name="page486"/>
    <w:bookmarkEnd w:id="485"/>
    <w:tbl>
      <w:tblPr>
        <w:tblLayout w:type="fixed"/>
        <w:tblInd w:w="0" w:type="dxa"/>
        <w:tblCellMar>
          <w:top w:w="0" w:type="dxa"/>
          <w:left w:w="0" w:type="dxa"/>
          <w:bottom w:w="0" w:type="dxa"/>
          <w:right w:w="0" w:type="dxa"/>
        </w:tblCellMar>
      </w:tblP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9.8.</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Circular Recovery</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9.9.</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Up</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MISCELLANEOUS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Consents and Approvals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Enforcement</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and Waiver</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 Letter</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CHEDULES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 </w:t>
      </w:r>
      <w:r>
        <w:rPr>
          <w:rFonts w:ascii="Times New Roman" w:cs="Times New Roman" w:eastAsia="Times New Roman" w:hAnsi="Times New Roman"/>
          <w:sz w:val="18"/>
          <w:szCs w:val="18"/>
          <w:color w:val="auto"/>
        </w:rPr>
        <w:t>I:     E</w:t>
      </w:r>
      <w:r>
        <w:rPr>
          <w:rFonts w:ascii="Times New Roman" w:cs="Times New Roman" w:eastAsia="Times New Roman" w:hAnsi="Times New Roman"/>
          <w:sz w:val="14"/>
          <w:szCs w:val="14"/>
          <w:color w:val="auto"/>
        </w:rPr>
        <w:t>STIMATED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LOSING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XHIBITS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 </w:t>
      </w:r>
      <w:r>
        <w:rPr>
          <w:rFonts w:ascii="Times New Roman" w:cs="Times New Roman" w:eastAsia="Times New Roman" w:hAnsi="Times New Roman"/>
          <w:sz w:val="18"/>
          <w:szCs w:val="18"/>
          <w:color w:val="auto"/>
        </w:rPr>
        <w:t>A:       F</w:t>
      </w:r>
      <w:r>
        <w:rPr>
          <w:rFonts w:ascii="Times New Roman" w:cs="Times New Roman" w:eastAsia="Times New Roman" w:hAnsi="Times New Roman"/>
          <w:sz w:val="14"/>
          <w:szCs w:val="14"/>
          <w:color w:val="auto"/>
        </w:rPr>
        <w:t>ORM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NSTRUMENT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 </w:t>
      </w:r>
      <w:r>
        <w:rPr>
          <w:rFonts w:ascii="Times New Roman" w:cs="Times New Roman" w:eastAsia="Times New Roman" w:hAnsi="Times New Roman"/>
          <w:sz w:val="18"/>
          <w:szCs w:val="18"/>
          <w:color w:val="auto"/>
        </w:rPr>
        <w:t>B:       F</w:t>
      </w:r>
      <w:r>
        <w:rPr>
          <w:rFonts w:ascii="Times New Roman" w:cs="Times New Roman" w:eastAsia="Times New Roman" w:hAnsi="Times New Roman"/>
          <w:sz w:val="14"/>
          <w:szCs w:val="14"/>
          <w:color w:val="auto"/>
        </w:rPr>
        <w:t>ORM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ROMISSORY</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9" w:right="499" w:bottom="1440" w:gutter="0" w:footer="0" w:header="0"/>
        </w:sectPr>
      </w:pPr>
    </w:p>
    <w:bookmarkStart w:id="486" w:name="page487"/>
    <w:bookmarkEnd w:id="48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PURCHASE AGREEMENT</w:t>
      </w:r>
    </w:p>
    <w:p>
      <w:pPr>
        <w:spacing w:after="0" w:line="225"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t>This Share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xml:space="preserve">”), dated as of October 6, 2021, is made by and among </w:t>
      </w:r>
      <w:r>
        <w:rPr>
          <w:rFonts w:ascii="Times New Roman" w:cs="Times New Roman" w:eastAsia="Times New Roman" w:hAnsi="Times New Roman"/>
          <w:sz w:val="18"/>
          <w:szCs w:val="18"/>
          <w:b w:val="1"/>
          <w:bCs w:val="1"/>
          <w:color w:val="auto"/>
        </w:rPr>
        <w:t>ODYSSEY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i w:val="1"/>
          <w:iCs w:val="1"/>
          <w:color w:val="auto"/>
        </w:rPr>
        <w:t>Buyer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RAHKO LIMITED</w:t>
      </w:r>
      <w:r>
        <w:rPr>
          <w:rFonts w:ascii="Times New Roman" w:cs="Times New Roman" w:eastAsia="Times New Roman" w:hAnsi="Times New Roman"/>
          <w:sz w:val="18"/>
          <w:szCs w:val="18"/>
          <w:color w:val="auto"/>
        </w:rPr>
        <w:t>, a private limited company incorporated in England &amp; Wales (registered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11609778)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each of the shareholders listed in Part 1 and Part 2 of Schedule I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ROBERT IAN HOROBIN</w:t>
      </w:r>
      <w:r>
        <w:rPr>
          <w:rFonts w:ascii="Times New Roman" w:cs="Times New Roman" w:eastAsia="Times New Roman" w:hAnsi="Times New Roman"/>
          <w:sz w:val="18"/>
          <w:szCs w:val="18"/>
          <w:color w:val="auto"/>
        </w:rPr>
        <w:t xml:space="preserve"> of [***] and </w:t>
      </w:r>
      <w:r>
        <w:rPr>
          <w:rFonts w:ascii="Times New Roman" w:cs="Times New Roman" w:eastAsia="Times New Roman" w:hAnsi="Times New Roman"/>
          <w:sz w:val="18"/>
          <w:szCs w:val="18"/>
          <w:b w:val="1"/>
          <w:bCs w:val="1"/>
          <w:color w:val="auto"/>
        </w:rPr>
        <w:t>MIRIAM CHA</w:t>
      </w:r>
      <w:r>
        <w:rPr>
          <w:rFonts w:ascii="Times New Roman" w:cs="Times New Roman" w:eastAsia="Times New Roman" w:hAnsi="Times New Roman"/>
          <w:sz w:val="18"/>
          <w:szCs w:val="18"/>
          <w:color w:val="auto"/>
        </w:rPr>
        <w:t xml:space="preserve"> of [***], solely in their capacity as the Sellers’ Representatives (as defined below).</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WHEREAS, each Seller owns the shares in the capital of the Company, set forth in his, her or its Majority Sellers Consideration Letter or Minority Seller’s Consideration Letter (as the case may be), which collectively represents 78.8281% of the entire issued share capital of the Company (the “</w:t>
      </w:r>
      <w:r>
        <w:rPr>
          <w:rFonts w:ascii="Times New Roman" w:cs="Times New Roman" w:eastAsia="Times New Roman" w:hAnsi="Times New Roman"/>
          <w:sz w:val="18"/>
          <w:szCs w:val="18"/>
          <w:i w:val="1"/>
          <w:iCs w:val="1"/>
          <w:color w:val="auto"/>
        </w:rPr>
        <w:t>Sale 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WHEREAS, upon the terms and subject to the conditions set forth herein, each Seller, severally and not jointly, wishes to sell, and Buyer wishes to purchase from each Seller, severally and not jointly, all of each Seller’s right, title and interest in the Sale Shares owned by each of them.</w:t>
      </w:r>
    </w:p>
    <w:p>
      <w:pPr>
        <w:spacing w:after="0" w:line="14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herein, the Parties agree as follows: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DEFINITIONS; INTERPRETATION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terms shall have the following meanings:</w:t>
      </w:r>
    </w:p>
    <w:p>
      <w:pPr>
        <w:spacing w:after="0" w:line="115"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means any claim, action, or suit (whether in contract or tort or otherwise), litigation (whether at law or in equity, whether civil or criminal), assessment, arbitration, hearing, charge, complaint, or proceeding to, from, by or before any Governmental Entity.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Actual Net Cash</w:t>
      </w:r>
      <w:r>
        <w:rPr>
          <w:rFonts w:ascii="Times New Roman" w:cs="Times New Roman" w:eastAsia="Times New Roman" w:hAnsi="Times New Roman"/>
          <w:sz w:val="18"/>
          <w:szCs w:val="18"/>
          <w:color w:val="auto"/>
        </w:rPr>
        <w:t>” means the actual Cash less Indebtedness as of the Effective Time as set out in the Final Closing Statement.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Actual Net Cash Excess</w:t>
      </w:r>
      <w:r>
        <w:rPr>
          <w:rFonts w:ascii="Times New Roman" w:cs="Times New Roman" w:eastAsia="Times New Roman" w:hAnsi="Times New Roman"/>
          <w:sz w:val="18"/>
          <w:szCs w:val="18"/>
          <w:color w:val="auto"/>
        </w:rPr>
        <w:t>” the amount (if any) by which the Actual Net Cash exceeds the Target Net Cash”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Actual Net Cash Shortfall</w:t>
      </w:r>
      <w:r>
        <w:rPr>
          <w:rFonts w:ascii="Times New Roman" w:cs="Times New Roman" w:eastAsia="Times New Roman" w:hAnsi="Times New Roman"/>
          <w:sz w:val="18"/>
          <w:szCs w:val="18"/>
          <w:color w:val="auto"/>
        </w:rPr>
        <w:t>” the amount (if any) by which the Actual Net Cash is less than the Target Net Cash.</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xml:space="preserve">” means, with respect to a Person, another Person that directly, or indirectly through one or more intermediaries, controls, or is controlled by, or is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“control” means, with respect to a Person, the possession, directly or indirectly, of the power to direct or cause the direction of the management or policies of such Person, whether through the ownership of voting securities, by Contract, by board of director membership or representation, or otherwise.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5" w:right="499" w:bottom="1440" w:gutter="0" w:footer="0" w:header="0"/>
        </w:sectPr>
      </w:pPr>
    </w:p>
    <w:bookmarkStart w:id="487" w:name="page488"/>
    <w:bookmarkEnd w:id="4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other day on which commercial banks located in New York City, United States or London, United Kingdom are authorized or obligated by applicable Laws to close.</w:t>
      </w:r>
    </w:p>
    <w:p>
      <w:pPr>
        <w:spacing w:after="0" w:line="158" w:lineRule="exact"/>
        <w:rPr>
          <w:sz w:val="20"/>
          <w:szCs w:val="20"/>
          <w:color w:val="auto"/>
        </w:rPr>
      </w:pPr>
    </w:p>
    <w:p>
      <w:pPr>
        <w:jc w:val="both"/>
        <w:ind w:right="1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Data</w:t>
      </w:r>
      <w:r>
        <w:rPr>
          <w:rFonts w:ascii="Times New Roman" w:cs="Times New Roman" w:eastAsia="Times New Roman" w:hAnsi="Times New Roman"/>
          <w:sz w:val="18"/>
          <w:szCs w:val="18"/>
          <w:color w:val="auto"/>
        </w:rPr>
        <w:t>” means all data or information, in any format, Processed in the conduct of the Company’s business or necessary for the conduct of the Company’s business, including all financial data related to the business, and all Personal Data that are Processed in or necessary for the conduct of the business.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Common Stock</w:t>
      </w:r>
      <w:r>
        <w:rPr>
          <w:rFonts w:ascii="Times New Roman" w:cs="Times New Roman" w:eastAsia="Times New Roman" w:hAnsi="Times New Roman"/>
          <w:sz w:val="18"/>
          <w:szCs w:val="18"/>
          <w:color w:val="auto"/>
        </w:rPr>
        <w:t>” means the common stock, par value US$0.0001 per share, of Buyer.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Group</w:t>
      </w:r>
      <w:r>
        <w:rPr>
          <w:rFonts w:ascii="Times New Roman" w:cs="Times New Roman" w:eastAsia="Times New Roman" w:hAnsi="Times New Roman"/>
          <w:sz w:val="18"/>
          <w:szCs w:val="18"/>
          <w:color w:val="auto"/>
        </w:rPr>
        <w:t>” means Buyer and all of the Buyer Group Companies</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Group Company</w:t>
      </w:r>
      <w:r>
        <w:rPr>
          <w:rFonts w:ascii="Times New Roman" w:cs="Times New Roman" w:eastAsia="Times New Roman" w:hAnsi="Times New Roman"/>
          <w:sz w:val="18"/>
          <w:szCs w:val="18"/>
          <w:color w:val="auto"/>
        </w:rPr>
        <w:t>” means the Buyer and any holding companies of the Buyer (if any), and all direct and indirect subsidiaries of the Buyer and of any holding companies of the Buyer (if applicable) from time to time.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Indemnified Party</w:t>
      </w:r>
      <w:r>
        <w:rPr>
          <w:rFonts w:ascii="Times New Roman" w:cs="Times New Roman" w:eastAsia="Times New Roman" w:hAnsi="Times New Roman"/>
          <w:sz w:val="18"/>
          <w:szCs w:val="18"/>
          <w:color w:val="auto"/>
        </w:rPr>
        <w:t>” is defined in Section 9.2.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A Preferred Stock</w:t>
      </w:r>
      <w:r>
        <w:rPr>
          <w:rFonts w:ascii="Times New Roman" w:cs="Times New Roman" w:eastAsia="Times New Roman" w:hAnsi="Times New Roman"/>
          <w:sz w:val="18"/>
          <w:szCs w:val="18"/>
          <w:color w:val="auto"/>
        </w:rPr>
        <w:t>” means the Series A Preferred Stock, par value US$0.0001 per share, of Buyer.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 2006</w:t>
      </w:r>
      <w:r>
        <w:rPr>
          <w:rFonts w:ascii="Times New Roman" w:cs="Times New Roman" w:eastAsia="Times New Roman" w:hAnsi="Times New Roman"/>
          <w:sz w:val="18"/>
          <w:szCs w:val="18"/>
          <w:color w:val="auto"/>
        </w:rPr>
        <w:t>” means the Companies Act 2006.</w:t>
      </w:r>
    </w:p>
    <w:p>
      <w:pPr>
        <w:spacing w:after="0" w:line="225"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capital stock or share capital of, other voting securities of, other equity interest in, or right to receive profits, losses or distributions of, any Person.</w:t>
      </w:r>
    </w:p>
    <w:p>
      <w:pPr>
        <w:spacing w:after="0" w:line="158" w:lineRule="exact"/>
        <w:rPr>
          <w:sz w:val="20"/>
          <w:szCs w:val="20"/>
          <w:color w:val="auto"/>
        </w:rPr>
      </w:pPr>
    </w:p>
    <w:p>
      <w:pPr>
        <w:ind w:right="3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means, in relation to any Person, the aggregate of all of unrestricted cash and all checks, money orders, marketable securities, short-term instruments and other cash equivalents, funds in demand deposits or similar accounts held by such Person, in each case, determined in accordance with GAAP, including all deposits and cash in transit, net of outstanding checks.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is defined in Section 8.9(a).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is defined in Section 4.1.</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7" w:right="559" w:bottom="1440" w:gutter="0" w:footer="0" w:header="0"/>
        </w:sectPr>
      </w:pPr>
    </w:p>
    <w:bookmarkStart w:id="488" w:name="page489"/>
    <w:bookmarkEnd w:id="488"/>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Closing Statement</w:t>
      </w:r>
      <w:r>
        <w:rPr>
          <w:rFonts w:ascii="Times New Roman" w:cs="Times New Roman" w:eastAsia="Times New Roman" w:hAnsi="Times New Roman"/>
          <w:sz w:val="18"/>
          <w:szCs w:val="18"/>
          <w:color w:val="auto"/>
        </w:rPr>
        <w:t>” means a statement showing the Actual Net Cash and the Net Current Asset Value as of the Effective Time as agreed or determined in accordance with Section 4.8, including the following information:</w:t>
      </w:r>
    </w:p>
    <w:p>
      <w:pPr>
        <w:spacing w:after="0" w:line="52" w:lineRule="exact"/>
        <w:rPr>
          <w:sz w:val="20"/>
          <w:szCs w:val="20"/>
          <w:color w:val="auto"/>
        </w:rPr>
      </w:pPr>
    </w:p>
    <w:p>
      <w:pPr>
        <w:ind w:left="440" w:right="60" w:firstLine="948"/>
        <w:spacing w:after="0" w:line="282" w:lineRule="auto"/>
        <w:tabs>
          <w:tab w:leader="none" w:pos="160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Person from whom the accounts receivable included in the Net Current Asset Value is payable and the expected time of delivery of such receivable;</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instructions for the purposes of discharging the Indebtedness (if any); and</w:t>
      </w:r>
    </w:p>
    <w:p>
      <w:pPr>
        <w:spacing w:after="0" w:line="117" w:lineRule="exact"/>
        <w:rPr>
          <w:rFonts w:ascii="Times New Roman" w:cs="Times New Roman" w:eastAsia="Times New Roman" w:hAnsi="Times New Roman"/>
          <w:sz w:val="18"/>
          <w:szCs w:val="18"/>
          <w:color w:val="auto"/>
        </w:rPr>
      </w:pPr>
    </w:p>
    <w:p>
      <w:pPr>
        <w:ind w:left="980" w:right="980" w:firstLine="408"/>
        <w:spacing w:after="0" w:line="282" w:lineRule="auto"/>
        <w:tabs>
          <w:tab w:leader="none" w:pos="169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Transaction Expenses, in each case, together with reasonably detailed supporting calculations and documentation for such estimates.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any successor or substitute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Capital Stock</w:t>
      </w:r>
      <w:r>
        <w:rPr>
          <w:rFonts w:ascii="Times New Roman" w:cs="Times New Roman" w:eastAsia="Times New Roman" w:hAnsi="Times New Roman"/>
          <w:sz w:val="18"/>
          <w:szCs w:val="18"/>
          <w:color w:val="auto"/>
        </w:rPr>
        <w:t>” means the Capital Stock of the Company.</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Intellectual Property</w:t>
      </w:r>
      <w:r>
        <w:rPr>
          <w:rFonts w:ascii="Times New Roman" w:cs="Times New Roman" w:eastAsia="Times New Roman" w:hAnsi="Times New Roman"/>
          <w:sz w:val="18"/>
          <w:szCs w:val="18"/>
          <w:color w:val="auto"/>
        </w:rPr>
        <w:t>” means any and all Intellectual Property that is owned or licensed by the Company and/or used or held for use in connection with the conduct of the business of the Company as currently conducted.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Ordinary Shares</w:t>
      </w:r>
      <w:r>
        <w:rPr>
          <w:rFonts w:ascii="Times New Roman" w:cs="Times New Roman" w:eastAsia="Times New Roman" w:hAnsi="Times New Roman"/>
          <w:sz w:val="18"/>
          <w:szCs w:val="18"/>
          <w:color w:val="auto"/>
        </w:rPr>
        <w:t>” means the ordinary shares of £0.001 each in the capital of the Company.</w:t>
      </w:r>
    </w:p>
    <w:p>
      <w:pPr>
        <w:spacing w:after="0" w:line="225" w:lineRule="exact"/>
        <w:rPr>
          <w:sz w:val="20"/>
          <w:szCs w:val="20"/>
          <w:color w:val="auto"/>
        </w:rPr>
      </w:pPr>
    </w:p>
    <w:p>
      <w:pPr>
        <w:ind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Company’s knowledge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to the knowledge of the Company</w:t>
      </w:r>
      <w:r>
        <w:rPr>
          <w:rFonts w:ascii="Times New Roman" w:cs="Times New Roman" w:eastAsia="Times New Roman" w:hAnsi="Times New Roman"/>
          <w:sz w:val="17"/>
          <w:szCs w:val="17"/>
          <w:color w:val="auto"/>
        </w:rPr>
        <w:t>” or variations thereof means the actual knowledge of any of the Sellers, together with the knowledge such persons would have, in each case, after making reasonable inquiries regarding the relevant subject matters in question.</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Personnel</w:t>
      </w:r>
      <w:r>
        <w:rPr>
          <w:rFonts w:ascii="Times New Roman" w:cs="Times New Roman" w:eastAsia="Times New Roman" w:hAnsi="Times New Roman"/>
          <w:sz w:val="18"/>
          <w:szCs w:val="18"/>
          <w:color w:val="auto"/>
        </w:rPr>
        <w:t>” means any former or current director, officer, employee, agent or consultant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Plan</w:t>
      </w:r>
      <w:r>
        <w:rPr>
          <w:rFonts w:ascii="Times New Roman" w:cs="Times New Roman" w:eastAsia="Times New Roman" w:hAnsi="Times New Roman"/>
          <w:sz w:val="18"/>
          <w:szCs w:val="18"/>
          <w:color w:val="auto"/>
        </w:rPr>
        <w:t>” is defined in Section 5.17(a).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Share Option</w:t>
      </w:r>
      <w:r>
        <w:rPr>
          <w:rFonts w:ascii="Times New Roman" w:cs="Times New Roman" w:eastAsia="Times New Roman" w:hAnsi="Times New Roman"/>
          <w:sz w:val="18"/>
          <w:szCs w:val="18"/>
          <w:color w:val="auto"/>
        </w:rPr>
        <w:t>” means an option to purchase or acquire shares of Company Ordinary Shares.</w:t>
      </w:r>
    </w:p>
    <w:p>
      <w:pPr>
        <w:spacing w:after="0" w:line="225"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Share Plan</w:t>
      </w:r>
      <w:r>
        <w:rPr>
          <w:rFonts w:ascii="Times New Roman" w:cs="Times New Roman" w:eastAsia="Times New Roman" w:hAnsi="Times New Roman"/>
          <w:sz w:val="18"/>
          <w:szCs w:val="18"/>
          <w:color w:val="auto"/>
        </w:rPr>
        <w:t>” means any current or former share option plan or other share or equity-related plan of the Company, including, but not limited to, the Rahko Limited 2019 Share Option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Confidential Company Information</w:t>
      </w:r>
      <w:r>
        <w:rPr>
          <w:rFonts w:ascii="Times New Roman" w:cs="Times New Roman" w:eastAsia="Times New Roman" w:hAnsi="Times New Roman"/>
          <w:sz w:val="18"/>
          <w:szCs w:val="18"/>
          <w:color w:val="auto"/>
        </w:rPr>
        <w:t>” is defined in Section 5.12(g).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Confidentiality Agreements</w:t>
      </w:r>
      <w:r>
        <w:rPr>
          <w:rFonts w:ascii="Times New Roman" w:cs="Times New Roman" w:eastAsia="Times New Roman" w:hAnsi="Times New Roman"/>
          <w:sz w:val="18"/>
          <w:szCs w:val="18"/>
          <w:color w:val="auto"/>
        </w:rPr>
        <w:t>” is defined in Section 5.12(g).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7" w:right="479" w:bottom="1440" w:gutter="0" w:footer="0" w:header="0"/>
        </w:sectPr>
      </w:pPr>
    </w:p>
    <w:bookmarkStart w:id="489" w:name="page490"/>
    <w:bookmarkEnd w:id="489"/>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Consideration Schedule</w:t>
      </w:r>
      <w:r>
        <w:rPr>
          <w:rFonts w:ascii="Times New Roman" w:cs="Times New Roman" w:eastAsia="Times New Roman" w:hAnsi="Times New Roman"/>
          <w:sz w:val="18"/>
          <w:szCs w:val="18"/>
          <w:color w:val="auto"/>
        </w:rPr>
        <w:t>” means Schedule 1 of the Majority Sellers Consideration Letter and Schedule 1 of each of the Minority Sellers Consideration Letters, collectively.</w:t>
      </w:r>
    </w:p>
    <w:p>
      <w:pPr>
        <w:spacing w:after="0" w:line="158"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Consideration Shares</w:t>
      </w:r>
      <w:r>
        <w:rPr>
          <w:rFonts w:ascii="Times New Roman" w:cs="Times New Roman" w:eastAsia="Times New Roman" w:hAnsi="Times New Roman"/>
          <w:sz w:val="18"/>
          <w:szCs w:val="18"/>
          <w:color w:val="auto"/>
        </w:rPr>
        <w:t>” means, together, the 3,432,254 shares of Buyer Common Stock, which, based on the Per Share Value, are valued at an aggregate of US$14,902,505, to be delivered as partial consideration for the Sale Shares.</w:t>
      </w:r>
    </w:p>
    <w:p>
      <w:pPr>
        <w:spacing w:after="0" w:line="158"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Articles of Association of the relevant company or, if such Person is a limited company or another form of entity, the Certificate of Incorporation of a Person and analogous constitutive documents.</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loan or credit agreement, bond, debenture, note, mortgage, indenture, guarantee, security agreement, lease or other contract, commitment, agreement, instrument, license, or legally binding arrangement or understanding, whether written or oral.</w:t>
      </w:r>
    </w:p>
    <w:p>
      <w:pPr>
        <w:spacing w:after="0" w:line="158"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means SARS-CoV-2 or COVID-19, and any evolutions or mutations thereof or related or associated epidemics, pandemic or disease outbreaks.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D&amp;O Indemnified Parties</w:t>
      </w:r>
      <w:r>
        <w:rPr>
          <w:rFonts w:ascii="Times New Roman" w:cs="Times New Roman" w:eastAsia="Times New Roman" w:hAnsi="Times New Roman"/>
          <w:sz w:val="18"/>
          <w:szCs w:val="18"/>
          <w:color w:val="auto"/>
        </w:rPr>
        <w:t>” is defined in Section 8.3(a).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w:t>
      </w:r>
      <w:r>
        <w:rPr>
          <w:rFonts w:ascii="Times New Roman" w:cs="Times New Roman" w:eastAsia="Times New Roman" w:hAnsi="Times New Roman"/>
          <w:sz w:val="18"/>
          <w:szCs w:val="18"/>
          <w:color w:val="auto"/>
        </w:rPr>
        <w:t>” has the meaning given in Section 3.2.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 Amount</w:t>
      </w:r>
      <w:r>
        <w:rPr>
          <w:rFonts w:ascii="Times New Roman" w:cs="Times New Roman" w:eastAsia="Times New Roman" w:hAnsi="Times New Roman"/>
          <w:sz w:val="18"/>
          <w:szCs w:val="18"/>
          <w:color w:val="auto"/>
        </w:rPr>
        <w:t>” means US$22,926,930.</w:t>
      </w:r>
    </w:p>
    <w:p>
      <w:pPr>
        <w:spacing w:after="0" w:line="225"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 Event</w:t>
      </w:r>
      <w:r>
        <w:rPr>
          <w:rFonts w:ascii="Times New Roman" w:cs="Times New Roman" w:eastAsia="Times New Roman" w:hAnsi="Times New Roman"/>
          <w:sz w:val="18"/>
          <w:szCs w:val="18"/>
          <w:color w:val="auto"/>
        </w:rPr>
        <w:t>” means an event that upon the occurrence of which, a Deferred Consideration Payment becomes due to the Sellers pursuant to Section 3.2.</w:t>
      </w:r>
    </w:p>
    <w:p>
      <w:pPr>
        <w:spacing w:after="0" w:line="158"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 Period</w:t>
      </w:r>
      <w:r>
        <w:rPr>
          <w:rFonts w:ascii="Times New Roman" w:cs="Times New Roman" w:eastAsia="Times New Roman" w:hAnsi="Times New Roman"/>
          <w:sz w:val="18"/>
          <w:szCs w:val="18"/>
          <w:color w:val="auto"/>
        </w:rPr>
        <w:t>” means the period from Closing up to the date on which the Deferred Consideration Payments are made in full subject to the terms and conditions set out in Section 3.2.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Letter</w:t>
      </w:r>
      <w:r>
        <w:rPr>
          <w:rFonts w:ascii="Times New Roman" w:cs="Times New Roman" w:eastAsia="Times New Roman" w:hAnsi="Times New Roman"/>
          <w:sz w:val="18"/>
          <w:szCs w:val="18"/>
          <w:color w:val="auto"/>
        </w:rPr>
        <w:t>” is defined in the preface to ARTICLE 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EMI Option</w:t>
      </w:r>
      <w:r>
        <w:rPr>
          <w:rFonts w:ascii="Times New Roman" w:cs="Times New Roman" w:eastAsia="Times New Roman" w:hAnsi="Times New Roman"/>
          <w:sz w:val="18"/>
          <w:szCs w:val="18"/>
          <w:color w:val="auto"/>
        </w:rPr>
        <w:t>” means an option granted under Schedule 5 (enterprise management incentives) to ITEPA 2003 held by employees of the Company to acquire any shares in the capital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Estimated Closing Statement</w:t>
      </w:r>
      <w:r>
        <w:rPr>
          <w:rFonts w:ascii="Times New Roman" w:cs="Times New Roman" w:eastAsia="Times New Roman" w:hAnsi="Times New Roman"/>
          <w:sz w:val="18"/>
          <w:szCs w:val="18"/>
          <w:color w:val="auto"/>
        </w:rPr>
        <w:t xml:space="preserve">” means the draft Closing Statement delivered to Buyer prior to the date hereof and attached as </w:t>
      </w:r>
      <w:r>
        <w:rPr>
          <w:rFonts w:ascii="Times New Roman" w:cs="Times New Roman" w:eastAsia="Times New Roman" w:hAnsi="Times New Roman"/>
          <w:sz w:val="18"/>
          <w:szCs w:val="18"/>
          <w:u w:val="single" w:color="auto"/>
          <w:color w:val="auto"/>
        </w:rPr>
        <w:t>Schedule 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right="6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Estimated Net Current Asset Consideration</w:t>
      </w:r>
      <w:r>
        <w:rPr>
          <w:rFonts w:ascii="Times New Roman" w:cs="Times New Roman" w:eastAsia="Times New Roman" w:hAnsi="Times New Roman"/>
          <w:sz w:val="18"/>
          <w:szCs w:val="18"/>
          <w:color w:val="auto"/>
        </w:rPr>
        <w:t>” means the estimated Net Current Asset Consideration, calculated as set forth on the Estimated Closing Statement, payable to the Sellers on Closing.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U.S. Exchange Act of 1934, as amended.</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7" w:right="519" w:bottom="1440" w:gutter="0" w:footer="0" w:header="0"/>
        </w:sectPr>
      </w:pPr>
    </w:p>
    <w:bookmarkStart w:id="490" w:name="page491"/>
    <w:bookmarkEnd w:id="490"/>
    <w:p>
      <w:pPr>
        <w:ind w:left="4" w:right="5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Exchange Rate</w:t>
      </w:r>
      <w:r>
        <w:rPr>
          <w:rFonts w:ascii="Times New Roman" w:cs="Times New Roman" w:eastAsia="Times New Roman" w:hAnsi="Times New Roman"/>
          <w:sz w:val="18"/>
          <w:szCs w:val="18"/>
          <w:color w:val="auto"/>
        </w:rPr>
        <w:t>” means the daily spot exchange rate of US Dollars against GB Sterling on October, 4 2021 as listed on the Bank of England website (www.bankofengland.co.uk/boeapps/database/Rates.asp?Travel=NIxAZx&amp;into=GBP).</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Exit Event</w:t>
      </w:r>
      <w:r>
        <w:rPr>
          <w:rFonts w:ascii="Times New Roman" w:cs="Times New Roman" w:eastAsia="Times New Roman" w:hAnsi="Times New Roman"/>
          <w:sz w:val="18"/>
          <w:szCs w:val="18"/>
          <w:color w:val="auto"/>
        </w:rPr>
        <w:t>” means (i) a transaction or series of related transactions in which any person (within the meaning of Section 13(d)(3) or 14(d)</w:t>
      </w:r>
    </w:p>
    <w:p>
      <w:pPr>
        <w:spacing w:after="0" w:line="29" w:lineRule="exact"/>
        <w:rPr>
          <w:sz w:val="20"/>
          <w:szCs w:val="20"/>
          <w:color w:val="auto"/>
        </w:rPr>
      </w:pPr>
    </w:p>
    <w:p>
      <w:pPr>
        <w:ind w:left="4" w:hanging="4"/>
        <w:spacing w:after="0" w:line="251" w:lineRule="auto"/>
        <w:tabs>
          <w:tab w:leader="none" w:pos="25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including any persons acting in concert with each other), other than any person who immediately prior to the consummation of such transaction or transactions owns more than a majority of the Buyer’s outstanding voting securities, acquires more than 50% of the combined voting power of then outstanding voting securities of the Buyer, except that any change in the ownership of the voting stock of Buyer as a result of the IPO will not be considered an Exit Event, (ii) a consolidation or merger of the Buyer with or into another entity, unless the stockholders of the Buyer immediately prior to the consummation of such consolidation or merger own, directly or indirectly, a majority of the combined voting power of the outstanding voting securities of the corporation or other entity resulting from such consolidation or merger, or (iii) the sale or other disposition of all or substantially all of the assets of the Buyer, provided that if there is any reorganization of the Buyer Group, the references in this definition to the “Buyer” shall be deemed to be a reference to the ultimate parent entity of the Buyer Group.</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Closing Statement</w:t>
      </w:r>
      <w:r>
        <w:rPr>
          <w:rFonts w:ascii="Times New Roman" w:cs="Times New Roman" w:eastAsia="Times New Roman" w:hAnsi="Times New Roman"/>
          <w:sz w:val="18"/>
          <w:szCs w:val="18"/>
          <w:color w:val="auto"/>
        </w:rPr>
        <w:t>” is defined in Section 4.8(c).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is defined in Section 5.6.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w:t>
      </w:r>
      <w:r>
        <w:rPr>
          <w:rFonts w:ascii="Times New Roman" w:cs="Times New Roman" w:eastAsia="Times New Roman" w:hAnsi="Times New Roman"/>
          <w:sz w:val="18"/>
          <w:szCs w:val="18"/>
          <w:color w:val="auto"/>
        </w:rPr>
        <w:t>” means Edward Grant, Robert Ian Horobin, Miriam Cha and Leonard Wossnig.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 Solicitors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 Solicitors Account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Fundamental Representations</w:t>
      </w:r>
      <w:r>
        <w:rPr>
          <w:rFonts w:ascii="Times New Roman" w:cs="Times New Roman" w:eastAsia="Times New Roman" w:hAnsi="Times New Roman"/>
          <w:sz w:val="18"/>
          <w:szCs w:val="18"/>
          <w:color w:val="auto"/>
        </w:rPr>
        <w:t>” means the representations and warranties of (A) the Company contained in Section 5.1 (Organization and Standing; No Subsidiaries), Section 5.2 (Power and Authority; Binding Agreement; Insolvency), Section 5.3 (Capitalization), Section 5.12 (Intellectual Property) and Section 5.22 (Brokers); and (B) each Seller contained in Section 7.1 (Power and Authority; Binding Agreement; Bankruptcy) and Section 7.3 (Sale Shares).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United Kingdom generally accepted accounting principles, consistently applied.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Gratuity</w:t>
      </w:r>
      <w:r>
        <w:rPr>
          <w:rFonts w:ascii="Times New Roman" w:cs="Times New Roman" w:eastAsia="Times New Roman" w:hAnsi="Times New Roman"/>
          <w:sz w:val="18"/>
          <w:szCs w:val="18"/>
          <w:color w:val="auto"/>
        </w:rPr>
        <w:t>” has the meaning given in Section 5.13.</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Entity</w:t>
      </w:r>
      <w:r>
        <w:rPr>
          <w:rFonts w:ascii="Times New Roman" w:cs="Times New Roman" w:eastAsia="Times New Roman" w:hAnsi="Times New Roman"/>
          <w:sz w:val="18"/>
          <w:szCs w:val="18"/>
          <w:color w:val="auto"/>
        </w:rPr>
        <w:t>” means any instrumentality, subdivision, court, administrative agency, department, body, bureau, division, board, committee, panel, commission, official or other authority of any country, state, province, prefect, municipality, locality or other government or political subdivision thereof, whether domestic or foreign, or any supranational or multinational organization or authority, or any quasi-governmental, private body or arbitral body exercising any executive, legislative, judicial, quasi-judicial, regulatory, taxing, importing, administrative or other governmental or quasi-governmental authority.</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7" w:right="479" w:bottom="1440" w:gutter="0" w:footer="0" w:header="0"/>
        </w:sectPr>
      </w:pPr>
    </w:p>
    <w:bookmarkStart w:id="491" w:name="page492"/>
    <w:bookmarkEnd w:id="49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IHTA 1984</w:t>
      </w:r>
      <w:r>
        <w:rPr>
          <w:rFonts w:ascii="Times New Roman" w:cs="Times New Roman" w:eastAsia="Times New Roman" w:hAnsi="Times New Roman"/>
          <w:sz w:val="18"/>
          <w:szCs w:val="18"/>
          <w:color w:val="auto"/>
        </w:rPr>
        <w:t>” is defined in Section 5.15(r).</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any Person means without duplication, (i) all indebtedness of such Person for borrowed money, (ii) any obligations under capitalized leases with respect to which such Person is liable, (iii) all obligations of such Person evidenced by bonds, notes, debentures or similar instruments, (iv) all reimbursement obligations of such Person under outstanding letters of credit, (v) obligations for the deferred purchase price of goods or services and (vi) any guarantees by such Person of any of the foregoing.</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means any Person against whom a claim for indemnification is being asserted under any provision of ARTICLE 9.</w:t>
      </w:r>
    </w:p>
    <w:p>
      <w:pPr>
        <w:spacing w:after="0" w:line="225" w:lineRule="exact"/>
        <w:rPr>
          <w:sz w:val="20"/>
          <w:szCs w:val="20"/>
          <w:color w:val="auto"/>
        </w:rPr>
      </w:pPr>
    </w:p>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Independent Accounting Firm</w:t>
      </w:r>
      <w:r>
        <w:rPr>
          <w:rFonts w:ascii="Times New Roman" w:cs="Times New Roman" w:eastAsia="Times New Roman" w:hAnsi="Times New Roman"/>
          <w:sz w:val="17"/>
          <w:szCs w:val="17"/>
          <w:color w:val="auto"/>
        </w:rPr>
        <w:t xml:space="preserve"> means a regionally or nationally recognized independent accounting firm mutually selected by the Sellers’ Representatives and Buyer. If the Sellers’ Representatives and Buyer are unable to mutually agree upon an independent accounting firm within ten</w:t>
      </w:r>
    </w:p>
    <w:p>
      <w:pPr>
        <w:spacing w:after="0" w:line="1" w:lineRule="exact"/>
        <w:rPr>
          <w:sz w:val="20"/>
          <w:szCs w:val="20"/>
          <w:color w:val="auto"/>
        </w:rPr>
      </w:pPr>
    </w:p>
    <w:p>
      <w:pPr>
        <w:ind w:left="4" w:right="20" w:hanging="4"/>
        <w:spacing w:after="0" w:line="255" w:lineRule="auto"/>
        <w:tabs>
          <w:tab w:leader="none" w:pos="34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a matter is to be submitted to the Independent Accounting Firm, the Buyer and the Sellers’ Representatives (acting jointly) shall each select a regionally or nationally recognized independent accounting firm and such accounting firms so selected shall mutually appoint the regionally or nationally recognized independent accounting firm to serve as the “Independent Accountant” hereunder.</w:t>
      </w:r>
    </w:p>
    <w:p>
      <w:pPr>
        <w:spacing w:after="0" w:line="184" w:lineRule="exact"/>
        <w:rPr>
          <w:sz w:val="20"/>
          <w:szCs w:val="20"/>
          <w:color w:val="auto"/>
        </w:rPr>
      </w:pPr>
    </w:p>
    <w:p>
      <w:pPr>
        <w:ind w:left="4" w:right="4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Investment Bank</w:t>
      </w:r>
      <w:r>
        <w:rPr>
          <w:rFonts w:ascii="Times New Roman" w:cs="Times New Roman" w:eastAsia="Times New Roman" w:hAnsi="Times New Roman"/>
          <w:sz w:val="18"/>
          <w:szCs w:val="18"/>
          <w:color w:val="auto"/>
        </w:rPr>
        <w:t>” means an investment bank that is independent from the Buyer and each of the Sellers, or such other regionally or nationally recognized investment banking firm, as mutually selected by the Sellers’ Representatives and Buyer. If the Sellers’ Representatives and Buyer are unable to mutually agree upon an independent investment banking firm within ten (10) days after the date a matter is to be submitted to the Independent Investment Bank, the Buyer and the Sellers’ Representatives (acting jointly) shall each select a regionally or nationally recognized independent investment banking firm and such investment banking firms so selected shall mutually appoint the regionally or nationally recognized independent investment banking firm to serve as the “Independent Investment Bank” hereunder.</w:t>
      </w:r>
    </w:p>
    <w:p>
      <w:pPr>
        <w:spacing w:after="0" w:line="182"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Indirect Taxes</w:t>
      </w:r>
      <w:r>
        <w:rPr>
          <w:rFonts w:ascii="Times New Roman" w:cs="Times New Roman" w:eastAsia="Times New Roman" w:hAnsi="Times New Roman"/>
          <w:sz w:val="18"/>
          <w:szCs w:val="18"/>
          <w:color w:val="auto"/>
        </w:rPr>
        <w:t>” means value added, sales, consumption, goods and services taxes or other similar taxes required by applicable Law including, for the avoidance of doubt, any tax imposed in compliance with the Council Directive of 28 November 2006 on the common system of value added tax (Council Directive 2006/112/EC), to be disclosed as a separate item on the relevant invoice.</w:t>
      </w:r>
    </w:p>
    <w:p>
      <w:pPr>
        <w:spacing w:after="0" w:line="17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means (i) all patents, patent applications, patent disclosures, statutory invention registrations, utility models, reissues, continuations, continuations-in-part, divisionals, revisions, extensions (including any supplemental protection certificates), and reexaminations thereof, and all rights therein, including those provided by international treaties and conventions; (ii) all registered and unregistered trademarks, service marks, trade dress, logos, symbols, slogans, trade names, corporate names, assumed fictional business names, and other</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4"/>
          </w:cols>
          <w:pgMar w:left="436" w:top="267" w:right="519" w:bottom="1440" w:gutter="0" w:footer="0" w:header="0"/>
        </w:sectPr>
      </w:pPr>
    </w:p>
    <w:bookmarkStart w:id="492" w:name="page493"/>
    <w:bookmarkEnd w:id="492"/>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indicia of source or origin, together with all translations, adaptations, derivations, and combinations thereof and including all goodwill associated therewith or symbolized thereby, and all applications, registrations, and renewals in connection therewith; (iii) all works of authorship and copyrightable works, all registered and unregistered copyrights in both published and unpublished works, and all applications, together with all translations, adaptations, derivations, and combinations thereof, and all applications, registrations, extensions, restorations, and renewals in connection therewith,</w:t>
      </w:r>
    </w:p>
    <w:p>
      <w:pPr>
        <w:spacing w:after="0" w:line="3" w:lineRule="exact"/>
        <w:rPr>
          <w:sz w:val="20"/>
          <w:szCs w:val="20"/>
          <w:color w:val="auto"/>
        </w:rPr>
      </w:pPr>
    </w:p>
    <w:p>
      <w:pPr>
        <w:ind w:left="4" w:right="60" w:hanging="4"/>
        <w:spacing w:after="0" w:line="251" w:lineRule="auto"/>
        <w:tabs>
          <w:tab w:leader="none" w:pos="30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software, applications or programs (whether in source code, object code or other form), databases management code, firmware, algorithms, operating systems and specifications, utilities, graphical user interfaces, menus, images, icons, forms, methods of processing, software engines, platforms, data formats, internet web sites, web content and links, all versions, updates, corrections, enhancements and modifications thereof, and all related documentation, developer notes, comments and annotations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(v) all mask works and all applications, registrations, and renewals in connection therewith; (vi) moral rights, rights of publicity, industrial designs and industrial property rights; (vii) all inventions and discoveries (whether patentable or unpatentable and whether or not reduced to practice) and all improvements thereto, and all trade secrets, know-how, proprietary information, and confidential information (including ideas, research and development information, schematics, technology, formulas, compositions, processes and techniques, processing methods, logics, technical data, databases and other data compilations and aggregated data, laboratory notebooks, recordations of inventions or proprietary information, designs, drawings, specifications, customer and supplier lists, pricing and cost information, financial and accounting data, and business and marketing data, plans and proposals), and all rights in any jurisdiction to limit the use or disclosure of any of the foregoing; (viii) rights in Internet websites and Internet domain names and world wide web addresses; and (ix) all copies and tangible embodiments thereof (in whatever form or medium); and (x) all rights, benefits, and priorities afforded under applicable Law with respect to any of the foregoing.</w:t>
      </w:r>
    </w:p>
    <w:p>
      <w:pPr>
        <w:spacing w:after="0" w:line="190" w:lineRule="exact"/>
        <w:rPr>
          <w:sz w:val="20"/>
          <w:szCs w:val="20"/>
          <w:color w:val="auto"/>
        </w:rPr>
      </w:pPr>
    </w:p>
    <w:p>
      <w:pPr>
        <w:ind w:left="4" w:right="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Infringe</w:t>
      </w:r>
      <w:r>
        <w:rPr>
          <w:rFonts w:ascii="Times New Roman" w:cs="Times New Roman" w:eastAsia="Times New Roman" w:hAnsi="Times New Roman"/>
          <w:sz w:val="18"/>
          <w:szCs w:val="18"/>
          <w:color w:val="auto"/>
        </w:rPr>
        <w:t>” means infringe, misappropriate, dilute, or otherwise violate, or use in any unauthorized manner, any Intellectual Property (without giving effect to 35 U.S.C. § 271(e)(1) and any other Laws of similar effect in any jurisdiction), and such term includes the conjugated forms of each of the foregoing, as applicable.</w:t>
      </w:r>
    </w:p>
    <w:p>
      <w:pPr>
        <w:spacing w:after="0" w:line="173"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means the Buyer’s first public offering or public listing of its shares (for example, via the acquisition of capital stock in the Buyer by a special purchase acquisition vehicle (SPAC) and a listing of shares in this case includes a listing of shares in the SPAC) pursuant to applicable registration requirements on a Major Securities Exchange, provided that if there is any reorganisation of the Buyer Group, the references in this definition to the “Buyer” shall be deemed to be a reference to the ultimate parent entity of the Buyer Group or the Buyer Group Companies whose shares are listed on the Major Securities Exchange.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Assets</w:t>
      </w:r>
      <w:r>
        <w:rPr>
          <w:rFonts w:ascii="Times New Roman" w:cs="Times New Roman" w:eastAsia="Times New Roman" w:hAnsi="Times New Roman"/>
          <w:sz w:val="18"/>
          <w:szCs w:val="18"/>
          <w:color w:val="auto"/>
        </w:rPr>
        <w:t>” is defined in Section 5.12(i).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ITEPA</w:t>
      </w:r>
      <w:r>
        <w:rPr>
          <w:rFonts w:ascii="Times New Roman" w:cs="Times New Roman" w:eastAsia="Times New Roman" w:hAnsi="Times New Roman"/>
          <w:sz w:val="18"/>
          <w:szCs w:val="18"/>
          <w:color w:val="auto"/>
        </w:rPr>
        <w:t>” means Income Tax (Earnings and Pensions) Act 2003.</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w:t>
      </w:r>
      <w:r>
        <w:rPr>
          <w:rFonts w:ascii="Times New Roman" w:cs="Times New Roman" w:eastAsia="Times New Roman" w:hAnsi="Times New Roman"/>
          <w:sz w:val="18"/>
          <w:szCs w:val="18"/>
          <w:color w:val="auto"/>
        </w:rPr>
        <w:t>” means any writ, judgment, injunction, order, decree, stipulation determination or award entered by or with any Governmental</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Entity.</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9" w:right="479" w:bottom="1440" w:gutter="0" w:footer="0" w:header="0"/>
        </w:sectPr>
      </w:pPr>
    </w:p>
    <w:bookmarkStart w:id="493" w:name="page494"/>
    <w:bookmarkEnd w:id="493"/>
    <w:p>
      <w:pPr>
        <w:ind w:right="22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any federal, state, territorial, foreign, international, multinational or supranational or local law, common law, statute, ordinance, judicial decision, rule, regulation, agency requirement, license, notice, guidance, guideline, treaty, ruling, procedure, or permit, directive or code of any Governmental Entity or decisions having the force of law in any jurisdiction from time to time.</w:t>
      </w:r>
    </w:p>
    <w:p>
      <w:pPr>
        <w:spacing w:after="0" w:line="17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and all damages, debts, liabilities and obligations, Taxes, interest obligations, deficiencies, assessments, fees (including reasonable attorneys’ fees), penalties, and expenses, whether accrued or fixed, absolute or contingent, matured or unmatured or determined or determinable, including those arising under any Law, Action or Judgment and those arising under any contract, agreement, arrangement, commitment or undertaking.</w:t>
      </w:r>
    </w:p>
    <w:p>
      <w:pPr>
        <w:spacing w:after="0" w:line="180"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security interest, mortgage, pledge, lease, adverse claim, levy, charge or other encumbrance or restriction of any kind, whether arising by Contract or by operation of Law.</w:t>
      </w:r>
    </w:p>
    <w:p>
      <w:pPr>
        <w:spacing w:after="0" w:line="158"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Note Instrument</w:t>
      </w:r>
      <w:r>
        <w:rPr>
          <w:rFonts w:ascii="Times New Roman" w:cs="Times New Roman" w:eastAsia="Times New Roman" w:hAnsi="Times New Roman"/>
          <w:sz w:val="18"/>
          <w:szCs w:val="18"/>
          <w:color w:val="auto"/>
        </w:rPr>
        <w:t>” means the Loan Note Instrument among Buyer and the Sellers in the agreed form attached hereto as Exhibit A as may be amended by written agreement between the Buyer and the Sellers’ Representatives.</w:t>
      </w:r>
    </w:p>
    <w:p>
      <w:pPr>
        <w:spacing w:after="0" w:line="158" w:lineRule="exact"/>
        <w:rPr>
          <w:sz w:val="20"/>
          <w:szCs w:val="20"/>
          <w:color w:val="auto"/>
        </w:rPr>
      </w:pPr>
    </w:p>
    <w:p>
      <w:pPr>
        <w:ind w:right="7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fines, Liabilities, losses, costs (including the costs of defense and enforcement of this Agreement), damages, expenses, Taxes or amounts paid in settlement (in each case, including reasonable attorneys’ and experts’ fees and expenses).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Majority Sellers</w:t>
      </w:r>
      <w:r>
        <w:rPr>
          <w:rFonts w:ascii="Times New Roman" w:cs="Times New Roman" w:eastAsia="Times New Roman" w:hAnsi="Times New Roman"/>
          <w:sz w:val="18"/>
          <w:szCs w:val="18"/>
          <w:color w:val="auto"/>
        </w:rPr>
        <w:t>” those Sellers listed in Part 1 of Schedule 1.</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Majority Sellers Consideration Letter</w:t>
      </w:r>
      <w:r>
        <w:rPr>
          <w:rFonts w:ascii="Times New Roman" w:cs="Times New Roman" w:eastAsia="Times New Roman" w:hAnsi="Times New Roman"/>
          <w:sz w:val="18"/>
          <w:szCs w:val="18"/>
          <w:color w:val="auto"/>
        </w:rPr>
        <w:t>” the letter in the agreed form having the same date as this Agreement, addressed to the Buyer from each Majority Seller, setting out at Schedule 1 thereof such Majority Seller’s (i) Sale Shares, (ii) Pro Rata Percentage, (iii) amount of Upfront Cash Consideration, (iv) amount of Consideration Shares, (v) the amount of Estimated Net Current Asset Consideration and (vi) amount of potential Deferred Consideration Payment.</w:t>
      </w:r>
    </w:p>
    <w:p>
      <w:pPr>
        <w:spacing w:after="0" w:line="180" w:lineRule="exact"/>
        <w:rPr>
          <w:sz w:val="20"/>
          <w:szCs w:val="20"/>
          <w:color w:val="auto"/>
        </w:rPr>
      </w:pPr>
    </w:p>
    <w:p>
      <w:pPr>
        <w:ind w:right="3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Securities Exchange</w:t>
      </w:r>
      <w:r>
        <w:rPr>
          <w:rFonts w:ascii="Times New Roman" w:cs="Times New Roman" w:eastAsia="Times New Roman" w:hAnsi="Times New Roman"/>
          <w:sz w:val="18"/>
          <w:szCs w:val="18"/>
          <w:color w:val="auto"/>
        </w:rPr>
        <w:t>” means the New York Stock Exchange, the Nasdaq Global Select Market, the Nasdaq Global Market, the stock exchanges of Toronto, London or any other recognized investment exchange.</w:t>
      </w:r>
    </w:p>
    <w:p>
      <w:pPr>
        <w:spacing w:after="0" w:line="15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Change</w:t>
      </w:r>
      <w:r>
        <w:rPr>
          <w:rFonts w:ascii="Times New Roman" w:cs="Times New Roman" w:eastAsia="Times New Roman" w:hAnsi="Times New Roman"/>
          <w:sz w:val="18"/>
          <w:szCs w:val="18"/>
          <w:color w:val="auto"/>
        </w:rPr>
        <w:t xml:space="preserve">” means any change, effect, event, occurrence, state of facts or development (i) that, individually or in the aggregate, has had or would reasonably be expected to be materially adverse to the business, financial condition, assets, liabilities or results of operations of the Company, taken as a whole, or (ii) that would reasonably be expected to prevent or materially delay the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shall be deemed, either alone or in combination, to constitute or contribute to, and none of the following shall be taken into account for purposes of the foregoing clause (i) in determining whether there has been or will be, a Material Adverse Change: (A) any change, effect, event, occurrence, state of facts or development relating to the economy or financial or capital markets or political conditions in the United States or in any other jurisdiction in which the Company has operations or conducts business to the extent, and only to the extent, the effects do not disproportionately affect the Company as compared to other participants in the industries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7" w:right="459" w:bottom="1440" w:gutter="0" w:footer="0" w:header="0"/>
        </w:sectPr>
      </w:pPr>
    </w:p>
    <w:bookmarkStart w:id="494" w:name="page495"/>
    <w:bookmarkEnd w:id="49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which the Company operates, (B) any change, effect, event, occurrence, state of facts or development relating to conditions affecting the industry in which the Company participates to the extent, and only to the extent, the effects do not disproportionately affect the Company as compared to other participants in the industries in which the Company operates, (C) acts of war, hostilities or terrorism or any escalation or material worsening of any such acts of war, hostilities or terrorism, or the occurrence or escalation of any other disaster, pandemic, calamity or crisis, whether natural or manmade, to the extent, and only to the extent, the effects do not disproportionately affect the Company as compared to other participants in the industries in which the Company operates, (D) epidemics, pandemics, disease outbreaks (including COVID-19), or public health emergencies or any Law, executive order, directive, pronouncement or guideline or interpretation thereof issued by a Governmental Entity, the Centers for Disease Control and Prevention, the World Health Organization or industry group providing for modified business practices or requirements, business closures, “sheltering-in-place” or other restrictions that relate to, or arise out of, an epidemic, pandemic or disease outbreak (including COVID-19) or any change in such Law, directive, pronouncement or guideline or interpretation, to the extent, and only to the extent, the effects do not disproportionately affect the Company as compared to other participants in the industries in which the Company operates, or (E) the failure of the financial or operating performance of the Company to meet any projections, forecasts or budgets for any period (provided that the underlying causes thereof, to the extent not otherwise excluded by this definition, may be deemed to contribute to a “Material Adverse Change”; provided further, that this clause (E) shall not be construed as implying that the Company is making any representation or warranty hereunder with respect to any such projections, forecasts or budgets.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Contract</w:t>
      </w:r>
      <w:r>
        <w:rPr>
          <w:rFonts w:ascii="Times New Roman" w:cs="Times New Roman" w:eastAsia="Times New Roman" w:hAnsi="Times New Roman"/>
          <w:sz w:val="18"/>
          <w:szCs w:val="18"/>
          <w:color w:val="auto"/>
        </w:rPr>
        <w:t>” is defined in Section 5.11(a).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Minority Sellers</w:t>
      </w:r>
      <w:r>
        <w:rPr>
          <w:rFonts w:ascii="Times New Roman" w:cs="Times New Roman" w:eastAsia="Times New Roman" w:hAnsi="Times New Roman"/>
          <w:sz w:val="18"/>
          <w:szCs w:val="18"/>
          <w:color w:val="auto"/>
        </w:rPr>
        <w:t>” those Sellers listed in Part 2 of Schedule 1.</w:t>
      </w:r>
    </w:p>
    <w:p>
      <w:pPr>
        <w:spacing w:after="0" w:line="225"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Minority Sellers Consideration Letters</w:t>
      </w:r>
      <w:r>
        <w:rPr>
          <w:rFonts w:ascii="Times New Roman" w:cs="Times New Roman" w:eastAsia="Times New Roman" w:hAnsi="Times New Roman"/>
          <w:sz w:val="18"/>
          <w:szCs w:val="18"/>
          <w:color w:val="auto"/>
        </w:rPr>
        <w:t>” the letters in the agreed form having the same date as this Agreement, addressed to the Buyer from each Minority Seller, setting out at Schedule 1 thereof such Minority Seller’s (i) Sale Shares, (ii) Pro Rata Percentage, (iii) amount of Upfront Cash Consideration, (iv) amount of Consideration Shares, and (v) amount of potential Deferred Consideration.</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Most Recent Balance Sheet</w:t>
      </w:r>
      <w:r>
        <w:rPr>
          <w:rFonts w:ascii="Times New Roman" w:cs="Times New Roman" w:eastAsia="Times New Roman" w:hAnsi="Times New Roman"/>
          <w:sz w:val="18"/>
          <w:szCs w:val="18"/>
          <w:color w:val="auto"/>
        </w:rPr>
        <w:t>” means the unaudited balance sheet of the Company as of the Most Recent Balance Sheet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Most Recent Balance Sheet Date</w:t>
      </w:r>
      <w:r>
        <w:rPr>
          <w:rFonts w:ascii="Times New Roman" w:cs="Times New Roman" w:eastAsia="Times New Roman" w:hAnsi="Times New Roman"/>
          <w:sz w:val="18"/>
          <w:szCs w:val="18"/>
          <w:color w:val="auto"/>
        </w:rPr>
        <w:t>” is defined in Section 5.6.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Current Asset Consideration</w:t>
      </w:r>
      <w:r>
        <w:rPr>
          <w:rFonts w:ascii="Times New Roman" w:cs="Times New Roman" w:eastAsia="Times New Roman" w:hAnsi="Times New Roman"/>
          <w:sz w:val="18"/>
          <w:szCs w:val="18"/>
          <w:color w:val="auto"/>
        </w:rPr>
        <w:t>” is defined in Section 3.1.</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Current Asset Value</w:t>
      </w:r>
      <w:r>
        <w:rPr>
          <w:rFonts w:ascii="Times New Roman" w:cs="Times New Roman" w:eastAsia="Times New Roman" w:hAnsi="Times New Roman"/>
          <w:sz w:val="18"/>
          <w:szCs w:val="18"/>
          <w:color w:val="auto"/>
        </w:rPr>
        <w:t>” means the aggregate amount of current assets of the Company, including any (i) recoverable VAT in respect of any VAT period ended prior to Closing and (ii) recoverable research and development tax credit attributable to the Company’s 2020 fiscal year, (excluding the Cash and excluding any other deferred Tax asset), less the total liabilities of the Company (excluding Indebtedness and excluding any deferred Tax liability), including all Transaction Expenses, as at the Effective Time as shown in the Final Closing Statement.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9" w:right="459" w:bottom="1440" w:gutter="0" w:footer="0" w:header="0"/>
        </w:sectPr>
      </w:pPr>
    </w:p>
    <w:bookmarkStart w:id="495" w:name="page496"/>
    <w:bookmarkEnd w:id="49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Net Current Asset Value Excess</w:t>
      </w:r>
      <w:r>
        <w:rPr>
          <w:rFonts w:ascii="Times New Roman" w:cs="Times New Roman" w:eastAsia="Times New Roman" w:hAnsi="Times New Roman"/>
          <w:sz w:val="18"/>
          <w:szCs w:val="18"/>
          <w:color w:val="auto"/>
        </w:rPr>
        <w:t>” means the amount (if any) by which the Net Current Asset Value exceeds the Target Net Current Asset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Value.</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Current Asset Value Shortfall</w:t>
      </w:r>
      <w:r>
        <w:rPr>
          <w:rFonts w:ascii="Times New Roman" w:cs="Times New Roman" w:eastAsia="Times New Roman" w:hAnsi="Times New Roman"/>
          <w:sz w:val="18"/>
          <w:szCs w:val="18"/>
          <w:color w:val="auto"/>
        </w:rPr>
        <w:t>” means the amount (if any) by which the Net Current Asset Value is less than the Target Net Current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Asset Value.</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Non-Disclosure Agreement</w:t>
      </w:r>
      <w:r>
        <w:rPr>
          <w:rFonts w:ascii="Times New Roman" w:cs="Times New Roman" w:eastAsia="Times New Roman" w:hAnsi="Times New Roman"/>
          <w:sz w:val="18"/>
          <w:szCs w:val="18"/>
          <w:color w:val="auto"/>
        </w:rPr>
        <w:t>” means that certain Confidentiality Agreement, dated April 16, 2021, by and between Buyer and the</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Non-Qualifying Options</w:t>
      </w:r>
      <w:r>
        <w:rPr>
          <w:rFonts w:ascii="Times New Roman" w:cs="Times New Roman" w:eastAsia="Times New Roman" w:hAnsi="Times New Roman"/>
          <w:sz w:val="18"/>
          <w:szCs w:val="18"/>
          <w:color w:val="auto"/>
        </w:rPr>
        <w:t>” means the options granted by the Company over shares in the capital of the Company that are not EMI Options.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 Holder(s)</w:t>
      </w:r>
      <w:r>
        <w:rPr>
          <w:rFonts w:ascii="Times New Roman" w:cs="Times New Roman" w:eastAsia="Times New Roman" w:hAnsi="Times New Roman"/>
          <w:sz w:val="18"/>
          <w:szCs w:val="18"/>
          <w:color w:val="auto"/>
        </w:rPr>
        <w:t>” means the holder(s) of options under the Rahko Limited 2019 Share Option Plan.</w:t>
      </w:r>
    </w:p>
    <w:p>
      <w:pPr>
        <w:spacing w:after="0" w:line="225" w:lineRule="exact"/>
        <w:rPr>
          <w:sz w:val="20"/>
          <w:szCs w:val="20"/>
          <w:color w:val="auto"/>
        </w:rPr>
      </w:pPr>
    </w:p>
    <w:p>
      <w:pPr>
        <w:ind w:left="4" w:right="3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 Holder’s Side Letter</w:t>
      </w:r>
      <w:r>
        <w:rPr>
          <w:rFonts w:ascii="Times New Roman" w:cs="Times New Roman" w:eastAsia="Times New Roman" w:hAnsi="Times New Roman"/>
          <w:sz w:val="18"/>
          <w:szCs w:val="18"/>
          <w:color w:val="auto"/>
        </w:rPr>
        <w:t>” means the Option Holder’s Side Letter in the agreed form between the Buyer and each of the following Sellers: [***].</w:t>
      </w:r>
    </w:p>
    <w:p>
      <w:pPr>
        <w:spacing w:after="0" w:line="158" w:lineRule="exact"/>
        <w:rPr>
          <w:sz w:val="20"/>
          <w:szCs w:val="20"/>
          <w:color w:val="auto"/>
        </w:rPr>
      </w:pPr>
    </w:p>
    <w:p>
      <w:pPr>
        <w:ind w:left="4" w:right="5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Ordinary Course of Business</w:t>
      </w:r>
      <w:r>
        <w:rPr>
          <w:rFonts w:ascii="Times New Roman" w:cs="Times New Roman" w:eastAsia="Times New Roman" w:hAnsi="Times New Roman"/>
          <w:sz w:val="18"/>
          <w:szCs w:val="18"/>
          <w:color w:val="auto"/>
        </w:rPr>
        <w:t>” means the ordinary course of business of the Company, consistent with past practice, including any conduct, practice or action taken in response to, in connection with, or as a result of, COVID-19 or Pandemic Measures.</w:t>
      </w:r>
    </w:p>
    <w:p>
      <w:pPr>
        <w:spacing w:after="0" w:line="158"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Pandemic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other law, order, executive order, directive, guidelines or recommendations by any Governmental Entity, branch of government or industry group in connection with or in respect to COVID-19 or any other pandemic or epidemic.</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Partial Exit Event</w:t>
      </w:r>
      <w:r>
        <w:rPr>
          <w:rFonts w:ascii="Times New Roman" w:cs="Times New Roman" w:eastAsia="Times New Roman" w:hAnsi="Times New Roman"/>
          <w:sz w:val="18"/>
          <w:szCs w:val="18"/>
          <w:color w:val="auto"/>
        </w:rPr>
        <w:t>” is defined in Section 3.2(b)(i)(C).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means Buyer, the Company, the Sellers and the Sellers’ Representatives.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 Share Value</w:t>
      </w:r>
      <w:r>
        <w:rPr>
          <w:rFonts w:ascii="Times New Roman" w:cs="Times New Roman" w:eastAsia="Times New Roman" w:hAnsi="Times New Roman"/>
          <w:sz w:val="18"/>
          <w:szCs w:val="18"/>
          <w:color w:val="auto"/>
        </w:rPr>
        <w:t>” means US$4.34186.</w:t>
      </w:r>
    </w:p>
    <w:p>
      <w:pPr>
        <w:spacing w:after="0" w:line="225" w:lineRule="exact"/>
        <w:rPr>
          <w:sz w:val="20"/>
          <w:szCs w:val="20"/>
          <w:color w:val="auto"/>
        </w:rPr>
      </w:pPr>
    </w:p>
    <w:p>
      <w:pPr>
        <w:ind w:left="4"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any consent, approval, clearance, variance, exemption, order, authorization, certificate, filing, notice, permit, registration, license, and consents or orders of, or filings with, any Governmental Entity.</w:t>
      </w:r>
    </w:p>
    <w:p>
      <w:pPr>
        <w:spacing w:after="0" w:line="158" w:lineRule="exact"/>
        <w:rPr>
          <w:sz w:val="20"/>
          <w:szCs w:val="20"/>
          <w:color w:val="auto"/>
        </w:rPr>
      </w:pPr>
    </w:p>
    <w:p>
      <w:pPr>
        <w:ind w:left="4" w:right="2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Liens</w:t>
      </w:r>
      <w:r>
        <w:rPr>
          <w:rFonts w:ascii="Times New Roman" w:cs="Times New Roman" w:eastAsia="Times New Roman" w:hAnsi="Times New Roman"/>
          <w:sz w:val="17"/>
          <w:szCs w:val="17"/>
          <w:color w:val="auto"/>
        </w:rPr>
        <w:t>” means the following: (i) statutory Liens for Taxes not yet due or payable or being contested in good faith by appropriate proceedings and for which adequate reserves have been recorded on the face of the balance sheets set forth on Section 5.6 of the Disclosure Letter,</w:t>
      </w:r>
    </w:p>
    <w:p>
      <w:pPr>
        <w:spacing w:after="0" w:line="1" w:lineRule="exact"/>
        <w:rPr>
          <w:sz w:val="20"/>
          <w:szCs w:val="20"/>
          <w:color w:val="auto"/>
        </w:rPr>
      </w:pPr>
    </w:p>
    <w:p>
      <w:pPr>
        <w:ind w:left="4" w:right="20" w:hanging="4"/>
        <w:spacing w:after="0" w:line="255" w:lineRule="auto"/>
        <w:tabs>
          <w:tab w:leader="none" w:pos="26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assessments and other governmental charges or Liens of landlords, carriers, warehousemen, mechanics and repairmen incurred in the Ordinary Course of Business, in each case for sums not yet due and payable or due but not delinquent, and (iii) Liens incurred in the Ordinary Course of Business in connection with workers’ compensation, unemployment insurance and other types of social security.</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7" w:right="479" w:bottom="1440" w:gutter="0" w:footer="0" w:header="0"/>
        </w:sectPr>
      </w:pPr>
    </w:p>
    <w:bookmarkStart w:id="496" w:name="page497"/>
    <w:bookmarkEnd w:id="496"/>
    <w:p>
      <w:pPr>
        <w:ind w:right="400" w:firstLine="991"/>
        <w:spacing w:after="0" w:line="31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 individual, corporation, company, partnership, limited liability company, joint venture, association, trust, business trust, Governmental Entity, unincorporated organization, a division or operating group of any of the foregoing or any other entity or organization.</w:t>
      </w:r>
    </w:p>
    <w:p>
      <w:pPr>
        <w:spacing w:after="0" w:line="135"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Personal Data</w:t>
      </w:r>
      <w:r>
        <w:rPr>
          <w:rFonts w:ascii="Times New Roman" w:cs="Times New Roman" w:eastAsia="Times New Roman" w:hAnsi="Times New Roman"/>
          <w:sz w:val="18"/>
          <w:szCs w:val="18"/>
          <w:color w:val="auto"/>
        </w:rPr>
        <w:t>” means any data or information in any media that is used or reasonably capable of being used to identify an individual, or information that constitutes personal data or personal information under any applicable Law.</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Post-Closing Tax Period</w:t>
      </w:r>
      <w:r>
        <w:rPr>
          <w:rFonts w:ascii="Times New Roman" w:cs="Times New Roman" w:eastAsia="Times New Roman" w:hAnsi="Times New Roman"/>
          <w:sz w:val="18"/>
          <w:szCs w:val="18"/>
          <w:color w:val="auto"/>
        </w:rPr>
        <w:t>” means any Tax Period beginning after the Closing Date and that portion of any Straddle Period beginning after the Closing Date.</w:t>
      </w:r>
    </w:p>
    <w:p>
      <w:pPr>
        <w:spacing w:after="0" w:line="158"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Potential Proceeds</w:t>
      </w:r>
      <w:r>
        <w:rPr>
          <w:rFonts w:ascii="Times New Roman" w:cs="Times New Roman" w:eastAsia="Times New Roman" w:hAnsi="Times New Roman"/>
          <w:sz w:val="18"/>
          <w:szCs w:val="18"/>
          <w:color w:val="auto"/>
        </w:rPr>
        <w:t>” means the aggregate gross proceeds, whether in cash, Relevant Securities or surplus assets, that either (a) will be paid or payable at the consummation of an Exit Event or Partial Exit or (b) that could potentially be paid or payable following the consummation of such Exit Event or Partial Exit, including upon the satisfaction of contingencies, to the stockholders of the Buyer in connection with an Exit Event or Partial Exit as consideration for their shares of capital stock of Buyer (or to the relevant Buyer Group Company (as the case may be) as consideration for the assets of any Buyer Group Company where the sale, transfer or other disposition of the assets constitutes an Exit Event or Partial Exit), which shall include without limitation the following:</w:t>
      </w:r>
    </w:p>
    <w:p>
      <w:pPr>
        <w:spacing w:after="0" w:line="76" w:lineRule="exact"/>
        <w:rPr>
          <w:sz w:val="20"/>
          <w:szCs w:val="20"/>
          <w:color w:val="auto"/>
        </w:rPr>
      </w:pPr>
    </w:p>
    <w:p>
      <w:pPr>
        <w:ind w:left="1200" w:hanging="213"/>
        <w:spacing w:after="0"/>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Securities at the value attributed to them on the completion of the Exit Event; and</w:t>
      </w:r>
    </w:p>
    <w:p>
      <w:pPr>
        <w:spacing w:after="0" w:line="117" w:lineRule="exact"/>
        <w:rPr>
          <w:rFonts w:ascii="Times New Roman" w:cs="Times New Roman" w:eastAsia="Times New Roman" w:hAnsi="Times New Roman"/>
          <w:sz w:val="18"/>
          <w:szCs w:val="18"/>
          <w:color w:val="auto"/>
        </w:rPr>
      </w:pPr>
    </w:p>
    <w:p>
      <w:pPr>
        <w:ind w:left="980" w:right="200" w:firstLine="7"/>
        <w:spacing w:after="0" w:line="282" w:lineRule="auto"/>
        <w:tabs>
          <w:tab w:leader="none" w:pos="124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form of consideration paid or payable to the stockholders of the Buyer (or the relevant Buyer Group Company as the case may be) in connection with the Exit Event at the value attributed to them on the completion of the Exit Event; and</w:t>
      </w:r>
    </w:p>
    <w:p>
      <w:pPr>
        <w:spacing w:after="0" w:line="53" w:lineRule="exact"/>
        <w:rPr>
          <w:rFonts w:ascii="Times New Roman" w:cs="Times New Roman" w:eastAsia="Times New Roman" w:hAnsi="Times New Roman"/>
          <w:sz w:val="18"/>
          <w:szCs w:val="18"/>
          <w:color w:val="auto"/>
        </w:rPr>
      </w:pPr>
    </w:p>
    <w:p>
      <w:pPr>
        <w:jc w:val="both"/>
        <w:ind w:left="980" w:right="80" w:firstLine="7"/>
        <w:spacing w:after="0" w:line="266" w:lineRule="auto"/>
        <w:tabs>
          <w:tab w:leader="none" w:pos="129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risk-adjusted present value of any consideration payable in connection with the Exit Event or Partial Exit to the extent the amount of such consideration is not ascertainable at the time of the consummation of such Exit Event or Partial Exit, including royalty payments; and</w:t>
      </w:r>
    </w:p>
    <w:p>
      <w:pPr>
        <w:spacing w:after="0" w:line="67" w:lineRule="exact"/>
        <w:rPr>
          <w:rFonts w:ascii="Times New Roman" w:cs="Times New Roman" w:eastAsia="Times New Roman" w:hAnsi="Times New Roman"/>
          <w:sz w:val="18"/>
          <w:szCs w:val="18"/>
          <w:color w:val="auto"/>
        </w:rPr>
      </w:pPr>
    </w:p>
    <w:p>
      <w:pPr>
        <w:ind w:left="980" w:right="140" w:firstLine="7"/>
        <w:spacing w:after="0" w:line="282" w:lineRule="auto"/>
        <w:tabs>
          <w:tab w:leader="none" w:pos="12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deferred or contingent consideration, including earn-out payments, which, in each case, shall be included in the calculation of Potential Proceeds on the basis that it is assumed that all such amounts will become payable.</w:t>
      </w:r>
    </w:p>
    <w:p>
      <w:pPr>
        <w:spacing w:after="0" w:line="160"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Tax Period</w:t>
      </w:r>
      <w:r>
        <w:rPr>
          <w:rFonts w:ascii="Times New Roman" w:cs="Times New Roman" w:eastAsia="Times New Roman" w:hAnsi="Times New Roman"/>
          <w:sz w:val="18"/>
          <w:szCs w:val="18"/>
          <w:color w:val="auto"/>
        </w:rPr>
        <w:t>” means any Tax Period ending on or before the Closing Date and that portion of any Straddle Period ending on and including the Closing Date.</w:t>
      </w:r>
    </w:p>
    <w:p>
      <w:pPr>
        <w:spacing w:after="0" w:line="158"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Taxes</w:t>
      </w:r>
      <w:r>
        <w:rPr>
          <w:rFonts w:ascii="Times New Roman" w:cs="Times New Roman" w:eastAsia="Times New Roman" w:hAnsi="Times New Roman"/>
          <w:sz w:val="18"/>
          <w:szCs w:val="18"/>
          <w:color w:val="auto"/>
        </w:rPr>
        <w:t>” means (i) all Taxes of the Company for all taxable periods ending on or before the Closing Date and the portion through the end of the Closing Date for any Straddle Period (determined in accordance with the final sentence of this definition), (ii) all Taxes of any member of an affiliated, consolidated, combined or unitary group of which the Company is or was a member on or prior to the Closing Date including pursuant to Treasury Regulation section 1.1502-6 or any analogous or similar state, local, or foreign law or regulation; and (iii) any and all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7" w:right="459" w:bottom="1440" w:gutter="0" w:footer="0" w:header="0"/>
        </w:sectPr>
      </w:pPr>
    </w:p>
    <w:bookmarkStart w:id="497" w:name="page498"/>
    <w:bookmarkEnd w:id="497"/>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 of any person imposed on the Company for any period as a transferee or successor in respect of a transaction occurring on or before the Closing Date, by law, contract, or otherwise. In case of any Straddle Period, the amount of any Taxes of the Company that shall be allocated to the portion of such Straddle Period through the end of the Closing Date shall (x) in the case of property or similar ad valorem Taxes, equal the amount of such Taxes for the entire Straddle Period multiplied by a fraction, the numerator of which is the number of days in such Straddle Period through and including the Closing Date and the denominator of which is the total number of days in such Straddle Period, and (y) in the case of all other Taxes, be determined based on an interim closing of the books as of the close of business on the Closing Date.</w:t>
      </w:r>
    </w:p>
    <w:p>
      <w:pPr>
        <w:spacing w:after="0" w:line="185" w:lineRule="exact"/>
        <w:rPr>
          <w:sz w:val="20"/>
          <w:szCs w:val="20"/>
          <w:color w:val="auto"/>
        </w:rPr>
      </w:pPr>
    </w:p>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means all applicable Laws governing the receipt, collection, compilation, use, storage, processing, sharing, safeguarding, security, disclosure or transfer of Personal Data, and any implementing directive or related legislation, rule, regulation and binding regulatory guidance, as amended, extended, repealed and replaced, or re-enacted from time-to-time.</w:t>
      </w:r>
    </w:p>
    <w:p>
      <w:pPr>
        <w:spacing w:after="0" w:line="173" w:lineRule="exact"/>
        <w:rPr>
          <w:sz w:val="20"/>
          <w:szCs w:val="20"/>
          <w:color w:val="auto"/>
        </w:rPr>
      </w:pPr>
    </w:p>
    <w:p>
      <w:pPr>
        <w:ind w:right="4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means the actual gross proceeds (whether in cash, Relevant Securities or surplus assets) actually paid or payable to the stockholders of the Buyer in connection with an Exit Event or a Partial Exit as consideration for their shares of capital stock of Buyer, which shall include without limitation the following:</w:t>
      </w:r>
    </w:p>
    <w:p>
      <w:pPr>
        <w:spacing w:after="0" w:line="67" w:lineRule="exact"/>
        <w:rPr>
          <w:sz w:val="20"/>
          <w:szCs w:val="20"/>
          <w:color w:val="auto"/>
        </w:rPr>
      </w:pPr>
    </w:p>
    <w:p>
      <w:pPr>
        <w:ind w:left="1200" w:hanging="213"/>
        <w:spacing w:after="0"/>
        <w:tabs>
          <w:tab w:leader="none" w:pos="12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or other Relevant Securities at the value attributed to them on the completion of the Exit Event or a Partial Exit;</w:t>
      </w:r>
    </w:p>
    <w:p>
      <w:pPr>
        <w:spacing w:after="0" w:line="117" w:lineRule="exact"/>
        <w:rPr>
          <w:rFonts w:ascii="Times New Roman" w:cs="Times New Roman" w:eastAsia="Times New Roman" w:hAnsi="Times New Roman"/>
          <w:sz w:val="18"/>
          <w:szCs w:val="18"/>
          <w:color w:val="auto"/>
        </w:rPr>
      </w:pPr>
    </w:p>
    <w:p>
      <w:pPr>
        <w:ind w:left="980" w:right="40" w:firstLine="7"/>
        <w:spacing w:after="0" w:line="282" w:lineRule="auto"/>
        <w:tabs>
          <w:tab w:leader="none" w:pos="124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non-cash consideration paid or payable to the stockholders of the Buyer in connection with the Exit Event or Partial Exit at the value attributed to them on the completion of the Exit Event or Partial Exit; and</w:t>
      </w:r>
    </w:p>
    <w:p>
      <w:pPr>
        <w:spacing w:after="0" w:line="53" w:lineRule="exact"/>
        <w:rPr>
          <w:rFonts w:ascii="Times New Roman" w:cs="Times New Roman" w:eastAsia="Times New Roman" w:hAnsi="Times New Roman"/>
          <w:sz w:val="18"/>
          <w:szCs w:val="18"/>
          <w:color w:val="auto"/>
        </w:rPr>
      </w:pPr>
    </w:p>
    <w:p>
      <w:pPr>
        <w:jc w:val="both"/>
        <w:ind w:left="980" w:right="20" w:firstLine="7"/>
        <w:spacing w:after="0" w:line="282" w:lineRule="auto"/>
        <w:tabs>
          <w:tab w:leader="none" w:pos="129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risk-adjusted present value of any consideration payable in connection with the Exit Event or Partial Exit to the extent the amount of such consideration is not ascertainable at the time of the consummation of such Exit Event or Partial Exit, including royalty payments.</w:t>
      </w:r>
    </w:p>
    <w:p>
      <w:pPr>
        <w:spacing w:after="0" w:line="16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Rata Percentage</w:t>
      </w:r>
      <w:r>
        <w:rPr>
          <w:rFonts w:ascii="Times New Roman" w:cs="Times New Roman" w:eastAsia="Times New Roman" w:hAnsi="Times New Roman"/>
          <w:sz w:val="18"/>
          <w:szCs w:val="18"/>
          <w:color w:val="auto"/>
        </w:rPr>
        <w:t xml:space="preserve">” means, with respect to each Seller, the percentage amount obtained by dividing (i) the total number of shares of Company Ordinary Shares (including any shares of Company Ordinary Shares issued or issuable upon conversion of the Seed Preferred Shares) held by such Seller and Balderton Capital General Partner VI S.L.P as of immediately prior to the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total number of shares of Company Ordinary Shares (including any shares of Company Ordinary Shares issued or issuable upon conversion of the Seed Preferred Shares) held immediately prior to the Effective Time by all Sellers and Balderton Capital General Partner VI S.L.P, in each case as regards the Sellers, as set out in the Consideration Schedules.</w:t>
      </w:r>
    </w:p>
    <w:p>
      <w:pPr>
        <w:spacing w:after="0" w:line="182" w:lineRule="exact"/>
        <w:rPr>
          <w:sz w:val="20"/>
          <w:szCs w:val="20"/>
          <w:color w:val="auto"/>
        </w:rPr>
      </w:pPr>
    </w:p>
    <w:p>
      <w:pPr>
        <w:ind w:right="5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Processed</w:t>
      </w:r>
      <w:r>
        <w:rPr>
          <w:rFonts w:ascii="Times New Roman" w:cs="Times New Roman" w:eastAsia="Times New Roman" w:hAnsi="Times New Roman"/>
          <w:sz w:val="18"/>
          <w:szCs w:val="18"/>
          <w:color w:val="auto"/>
        </w:rPr>
        <w:t>” means any operation or set of operations that is performed upon data or information, whether or not by automatic means, including, but not limited to, collection, access, acquisition, creation, derivation, recordation, organization, storage, adaptation, alteration, correction, retrieval, maintenance, consultation, use, disclosure, dissemination, transmission, transfer, making available, alignment, combination, blocking, storage, retention, deleting, erasure, or destruction.</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9" w:right="519" w:bottom="1440" w:gutter="0" w:footer="0" w:header="0"/>
        </w:sectPr>
      </w:pPr>
    </w:p>
    <w:bookmarkStart w:id="498" w:name="page499"/>
    <w:bookmarkEnd w:id="498"/>
    <w:p>
      <w:pPr>
        <w:jc w:val="both"/>
        <w:ind w:right="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Promissory Notes</w:t>
      </w:r>
      <w:r>
        <w:rPr>
          <w:rFonts w:ascii="Times New Roman" w:cs="Times New Roman" w:eastAsia="Times New Roman" w:hAnsi="Times New Roman"/>
          <w:sz w:val="18"/>
          <w:szCs w:val="18"/>
          <w:color w:val="auto"/>
        </w:rPr>
        <w:t>” means the promissory notes in the agreed form set out in Exhibit B as may be amended by written agreement between the Buyer and the Sellers’ Representatives and which are issued under the Loan Note Instrument.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 is defined in Section 5.10(a).</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Registered Company IP</w:t>
      </w:r>
      <w:r>
        <w:rPr>
          <w:rFonts w:ascii="Times New Roman" w:cs="Times New Roman" w:eastAsia="Times New Roman" w:hAnsi="Times New Roman"/>
          <w:sz w:val="18"/>
          <w:szCs w:val="18"/>
          <w:color w:val="auto"/>
        </w:rPr>
        <w:t>” means all Company Intellectual Property (other than with respect to Standard Software) owned by the Company that has been or is registered, filed, certified, granted, or issued, or that has been or is subject to an application for registration, filing, certification, grant or issuance, in each case with, by or to any Governmental Entity.</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Released Matters</w:t>
      </w:r>
      <w:r>
        <w:rPr>
          <w:rFonts w:ascii="Times New Roman" w:cs="Times New Roman" w:eastAsia="Times New Roman" w:hAnsi="Times New Roman"/>
          <w:sz w:val="18"/>
          <w:szCs w:val="18"/>
          <w:color w:val="auto"/>
        </w:rPr>
        <w:t>” is defined in Section 8.9(a).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Releasees</w:t>
      </w:r>
      <w:r>
        <w:rPr>
          <w:rFonts w:ascii="Times New Roman" w:cs="Times New Roman" w:eastAsia="Times New Roman" w:hAnsi="Times New Roman"/>
          <w:sz w:val="18"/>
          <w:szCs w:val="18"/>
          <w:color w:val="auto"/>
        </w:rPr>
        <w:t>” is defined in Section 8.9(a).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Releasors</w:t>
      </w:r>
      <w:r>
        <w:rPr>
          <w:rFonts w:ascii="Times New Roman" w:cs="Times New Roman" w:eastAsia="Times New Roman" w:hAnsi="Times New Roman"/>
          <w:sz w:val="18"/>
          <w:szCs w:val="18"/>
          <w:color w:val="auto"/>
        </w:rPr>
        <w:t>” is defined in Section 8.9(a).</w:t>
      </w:r>
    </w:p>
    <w:p>
      <w:pPr>
        <w:spacing w:after="0" w:line="225"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Securities</w:t>
      </w:r>
      <w:r>
        <w:rPr>
          <w:rFonts w:ascii="Times New Roman" w:cs="Times New Roman" w:eastAsia="Times New Roman" w:hAnsi="Times New Roman"/>
          <w:sz w:val="18"/>
          <w:szCs w:val="18"/>
          <w:color w:val="auto"/>
        </w:rPr>
        <w:t>” means, in respect of any undertaking: (A) any share, security or other interest in the capital of such undertaking from time to time; and (B) any other security, option, warrant, agreement or instrument which confers any right to subscribe, exchange for, convert into or otherwise acquire any issue of any share, security or other interest in the capital of such undertaking.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 Losses</w:t>
      </w:r>
      <w:r>
        <w:rPr>
          <w:rFonts w:ascii="Times New Roman" w:cs="Times New Roman" w:eastAsia="Times New Roman" w:hAnsi="Times New Roman"/>
          <w:sz w:val="18"/>
          <w:szCs w:val="18"/>
          <w:color w:val="auto"/>
        </w:rPr>
        <w:t>” is defined in Section 4.6(c).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 Person, such Person’s legal, financial, accounting and other advisors and representatives.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Shares</w:t>
      </w:r>
      <w:r>
        <w:rPr>
          <w:rFonts w:ascii="Times New Roman" w:cs="Times New Roman" w:eastAsia="Times New Roman" w:hAnsi="Times New Roman"/>
          <w:sz w:val="18"/>
          <w:szCs w:val="18"/>
          <w:color w:val="auto"/>
        </w:rPr>
        <w:t>” is defined in the recitals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Seed Preferred Shares</w:t>
      </w:r>
      <w:r>
        <w:rPr>
          <w:rFonts w:ascii="Times New Roman" w:cs="Times New Roman" w:eastAsia="Times New Roman" w:hAnsi="Times New Roman"/>
          <w:sz w:val="18"/>
          <w:szCs w:val="18"/>
          <w:color w:val="auto"/>
        </w:rPr>
        <w:t>” means the seed preferred shares of £0.001 each in the capital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Sellers Consideration Letters</w:t>
      </w:r>
      <w:r>
        <w:rPr>
          <w:rFonts w:ascii="Times New Roman" w:cs="Times New Roman" w:eastAsia="Times New Roman" w:hAnsi="Times New Roman"/>
          <w:sz w:val="18"/>
          <w:szCs w:val="18"/>
          <w:color w:val="auto"/>
        </w:rPr>
        <w:t>” means the Majority Sellers Consideration Letter and each of the Minority Sellers Consideration Letters.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Sellers’ Representatives</w:t>
      </w:r>
      <w:r>
        <w:rPr>
          <w:rFonts w:ascii="Times New Roman" w:cs="Times New Roman" w:eastAsia="Times New Roman" w:hAnsi="Times New Roman"/>
          <w:sz w:val="18"/>
          <w:szCs w:val="18"/>
          <w:color w:val="auto"/>
        </w:rPr>
        <w:t>” is defined in Section 4.6(a).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 Consideration</w:t>
      </w:r>
      <w:r>
        <w:rPr>
          <w:rFonts w:ascii="Times New Roman" w:cs="Times New Roman" w:eastAsia="Times New Roman" w:hAnsi="Times New Roman"/>
          <w:sz w:val="18"/>
          <w:szCs w:val="18"/>
          <w:color w:val="auto"/>
        </w:rPr>
        <w:t>” is defined in Section 3.1.</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7" w:right="479" w:bottom="1440" w:gutter="0" w:footer="0" w:header="0"/>
        </w:sectPr>
      </w:pPr>
    </w:p>
    <w:bookmarkStart w:id="499" w:name="page500"/>
    <w:bookmarkEnd w:id="499"/>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Standard Software</w:t>
      </w:r>
      <w:r>
        <w:rPr>
          <w:rFonts w:ascii="Times New Roman" w:cs="Times New Roman" w:eastAsia="Times New Roman" w:hAnsi="Times New Roman"/>
          <w:sz w:val="18"/>
          <w:szCs w:val="18"/>
          <w:color w:val="auto"/>
        </w:rPr>
        <w:t>” means Software that is generally commercially available and is mass marketed and licensed pursuant to a standard form click-wrap or shrink-wrap agreement that is not subject to any negotiation.</w:t>
      </w:r>
    </w:p>
    <w:p>
      <w:pPr>
        <w:spacing w:after="0" w:line="158" w:lineRule="exact"/>
        <w:rPr>
          <w:sz w:val="20"/>
          <w:szCs w:val="20"/>
          <w:color w:val="auto"/>
        </w:rPr>
      </w:pPr>
    </w:p>
    <w:p>
      <w:pPr>
        <w:ind w:right="2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 Agreements</w:t>
      </w:r>
      <w:r>
        <w:rPr>
          <w:rFonts w:ascii="Times New Roman" w:cs="Times New Roman" w:eastAsia="Times New Roman" w:hAnsi="Times New Roman"/>
          <w:sz w:val="18"/>
          <w:szCs w:val="18"/>
          <w:color w:val="auto"/>
        </w:rPr>
        <w:t>” means that certain (i) Voting Agreement, dated as of August 30, 2021, by and among Buyer and the stockholders of Buyer party thereto and (ii) Right of First Refusal and Co-Sale Agreement, dated as of August 30, 2021, by and among Buyer and the stockholders of Buyer party thereto.</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Straddle Period</w:t>
      </w:r>
      <w:r>
        <w:rPr>
          <w:rFonts w:ascii="Times New Roman" w:cs="Times New Roman" w:eastAsia="Times New Roman" w:hAnsi="Times New Roman"/>
          <w:sz w:val="18"/>
          <w:szCs w:val="18"/>
          <w:color w:val="auto"/>
        </w:rPr>
        <w:t>” means any taxable period that includes but does not end on the Closing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Net Current Asset Value</w:t>
      </w:r>
      <w:r>
        <w:rPr>
          <w:rFonts w:ascii="Times New Roman" w:cs="Times New Roman" w:eastAsia="Times New Roman" w:hAnsi="Times New Roman"/>
          <w:sz w:val="18"/>
          <w:szCs w:val="18"/>
          <w:color w:val="auto"/>
        </w:rPr>
        <w:t>” means the amount of £0.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Net Cash</w:t>
      </w:r>
      <w:r>
        <w:rPr>
          <w:rFonts w:ascii="Times New Roman" w:cs="Times New Roman" w:eastAsia="Times New Roman" w:hAnsi="Times New Roman"/>
          <w:sz w:val="18"/>
          <w:szCs w:val="18"/>
          <w:color w:val="auto"/>
        </w:rPr>
        <w:t>” means the amount of £0.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Valuation Amount</w:t>
      </w:r>
      <w:r>
        <w:rPr>
          <w:rFonts w:ascii="Times New Roman" w:cs="Times New Roman" w:eastAsia="Times New Roman" w:hAnsi="Times New Roman"/>
          <w:sz w:val="18"/>
          <w:szCs w:val="18"/>
          <w:color w:val="auto"/>
        </w:rPr>
        <w:t>” means US$1,500,000,000.</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Taxable</w:t>
      </w:r>
      <w:r>
        <w:rPr>
          <w:rFonts w:ascii="Times New Roman" w:cs="Times New Roman" w:eastAsia="Times New Roman" w:hAnsi="Times New Roman"/>
          <w:sz w:val="18"/>
          <w:szCs w:val="18"/>
          <w:color w:val="auto"/>
        </w:rPr>
        <w:t>”) means (i) any income, corporation, capital gains, alternative or add-on minimum, estimated, gross income, gross receipts, Indirect Taxes, use, ad valorem, franchise, Capital Stock or other equity securities, net worth, profits, license, registration, withholding, employment, unemployment, disability, severance, occupation, social security or national insurance contribution (or similar, including FICA), payroll, workers’ compensation, transfer, financial transaction, conveyance, documentary, stamp, property (real, tangible or intangible), premium, escheat obligation, unclaimed property, environmental, windfall profits, customs duties, or other taxes of any kind or any fees, charges, levies, excises, duties or assessments of any kind in the nature of taxes whatsoever, the clawback or other recovery of any credit, allowance or other amount previously paid or granted by a Taxing Authority, and any credit, allowance or other amount treated as an asset in the Closing Statement on the basis it is recoverable from or payable by a Taxing Authority which is unavailable to be recovered or is not paid or is subsequently required to be repaid to a Taxing Authority, together with any interest, fines, penalties, surcharges, charges or addition thereto, whether disputed or not, (ii) any Liability for the payment of any amount of any type described in clause (i) of this sentence as a result of being or having been a member of an affiliated, consolidated, controlled, fiscal, combined, unitary or aggregate group for any Tax Period, (iii) any Liability for the payment of any amounts of the type described in clause (i) or (ii) of this sentence as a result of being a transferee of or successor to any Person or as a result of any express or implied obligation to assume such Taxes or to indemnify any other Person and (iv) any penalty imposed for the failure to file, properly to file, or timely to file any Tax Return.</w:t>
      </w:r>
    </w:p>
    <w:p>
      <w:pPr>
        <w:spacing w:after="0" w:line="185" w:lineRule="exact"/>
        <w:rPr>
          <w:sz w:val="20"/>
          <w:szCs w:val="20"/>
          <w:color w:val="auto"/>
        </w:rPr>
      </w:pPr>
    </w:p>
    <w:p>
      <w:pPr>
        <w:ind w:right="3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Tax-advantaged Scheme</w:t>
      </w:r>
      <w:r>
        <w:rPr>
          <w:rFonts w:ascii="Times New Roman" w:cs="Times New Roman" w:eastAsia="Times New Roman" w:hAnsi="Times New Roman"/>
          <w:sz w:val="18"/>
          <w:szCs w:val="18"/>
          <w:color w:val="auto"/>
        </w:rPr>
        <w:t>” means a scheme established by the Company which is intended to meet the requirements of any of the following provisions of ITEPA 2003 and has been notified to HMRC as meeting the relevant statutory requirements: (i) Schedule 2 (share incentive plans); (ii) Schedule 3 (SAYE option schemes); or (iii) Schedule 4 (company share option plans).</w:t>
      </w:r>
    </w:p>
    <w:p>
      <w:pPr>
        <w:spacing w:after="0" w:line="173"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Law</w:t>
      </w:r>
      <w:r>
        <w:rPr>
          <w:rFonts w:ascii="Times New Roman" w:cs="Times New Roman" w:eastAsia="Times New Roman" w:hAnsi="Times New Roman"/>
          <w:sz w:val="18"/>
          <w:szCs w:val="18"/>
          <w:color w:val="auto"/>
        </w:rPr>
        <w:t>” means all currently applicable Laws relating to or regulating the assessment, determination, reporting, withholding, collection or imposition of Taxes.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7" w:right="499" w:bottom="1440" w:gutter="0" w:footer="0" w:header="0"/>
        </w:sectPr>
      </w:pPr>
    </w:p>
    <w:bookmarkStart w:id="500" w:name="page501"/>
    <w:bookmarkEnd w:id="50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Tax Period</w:t>
      </w:r>
      <w:r>
        <w:rPr>
          <w:rFonts w:ascii="Times New Roman" w:cs="Times New Roman" w:eastAsia="Times New Roman" w:hAnsi="Times New Roman"/>
          <w:sz w:val="17"/>
          <w:szCs w:val="17"/>
          <w:color w:val="auto"/>
        </w:rPr>
        <w:t>” means any period prescribed by any Taxing Authority for which a Tax Return is required to be filed or a Tax is required to be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w:t>
      </w:r>
    </w:p>
    <w:p>
      <w:pPr>
        <w:spacing w:after="0" w:line="205" w:lineRule="exact"/>
        <w:rPr>
          <w:sz w:val="20"/>
          <w:szCs w:val="20"/>
          <w:color w:val="auto"/>
        </w:rPr>
      </w:pPr>
    </w:p>
    <w:p>
      <w:pPr>
        <w:ind w:right="180" w:firstLine="99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Tax Return</w:t>
      </w:r>
      <w:r>
        <w:rPr>
          <w:rFonts w:ascii="Times New Roman" w:cs="Times New Roman" w:eastAsia="Times New Roman" w:hAnsi="Times New Roman"/>
          <w:sz w:val="17"/>
          <w:szCs w:val="17"/>
          <w:color w:val="auto"/>
        </w:rPr>
        <w:t>” means any report, return, declaration, claim for refund, information return, statement, designation, election, estimated tax filing, notice or certificate filed or required to be filed with any Taxing Authority in connection with the determination, assessment, reporting, withholding, collection, administration or payment of any Taxes, including any schedule or attachment thereto and including any amendments thereof.</w:t>
      </w:r>
    </w:p>
    <w:p>
      <w:pPr>
        <w:spacing w:after="0" w:line="155" w:lineRule="exact"/>
        <w:rPr>
          <w:sz w:val="20"/>
          <w:szCs w:val="20"/>
          <w:color w:val="auto"/>
        </w:rPr>
      </w:pPr>
    </w:p>
    <w:p>
      <w:pPr>
        <w:ind w:right="5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Taxing Authority</w:t>
      </w:r>
      <w:r>
        <w:rPr>
          <w:rFonts w:ascii="Times New Roman" w:cs="Times New Roman" w:eastAsia="Times New Roman" w:hAnsi="Times New Roman"/>
          <w:sz w:val="18"/>
          <w:szCs w:val="18"/>
          <w:color w:val="auto"/>
        </w:rPr>
        <w:t>” means any Governmental Entity having jurisdiction over the assessment, determination, reporting, withholding, collection, administration or imposition of any Taxes.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Third Party Claim</w:t>
      </w:r>
      <w:r>
        <w:rPr>
          <w:rFonts w:ascii="Times New Roman" w:cs="Times New Roman" w:eastAsia="Times New Roman" w:hAnsi="Times New Roman"/>
          <w:sz w:val="18"/>
          <w:szCs w:val="18"/>
          <w:color w:val="auto"/>
        </w:rPr>
        <w:t>” is defined in Section 9.4(c).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TIOPA 2010</w:t>
      </w:r>
      <w:r>
        <w:rPr>
          <w:rFonts w:ascii="Times New Roman" w:cs="Times New Roman" w:eastAsia="Times New Roman" w:hAnsi="Times New Roman"/>
          <w:sz w:val="18"/>
          <w:szCs w:val="18"/>
          <w:color w:val="auto"/>
        </w:rPr>
        <w:t>” is defined in Section 5.15(q).</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xml:space="preserve">” means, without duplication, any and all transaction fees, costs and expenses and any other amounts incurred or otherwise payable by the Company (on behalf of itself, Sellers or any of their respective Affiliates) arising from or incurred in connection with this Agreement and the transactions contemplated hereby (in each case, including any applicable Indirect Tax that is irrecoverable by the Company), including: (i) those of all investment bankers, attorneys, accountants, actuaries, consultants, experts or other professionals, if any, engaged by or on behalf of the Company prior to Closing in connection with this Agreement or the transactions contemplated hereby, (ii) any management change of control, sale or retention bonus, severance, termination, incentive or similar amounts that become payable by the Company as a result of the execution and delivery of this Agreement or the consummation of the transactions contemplated by this Agreement, whether alone or in connection with any other subsequent event or action by the Company, pursuant to agreements entered into by the Company prior to Closing, (iii) the aggregate employer portion of any payroll Taxes required to be paid by the Company arising out of or resulting from any payments required to be made pursuant to the terms of this Agreement, and (iv) any third party consent or other third party fees incurred by the Company in connection with this Agreement or the transactions contemplated hereby, in each case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such fees and expenses and Indirect Taxes are accrued and owing by the Company and have not been paid as of the Closing.</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is defined in Section 8.2(c).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Upfront Cash Consideration</w:t>
      </w:r>
      <w:r>
        <w:rPr>
          <w:rFonts w:ascii="Times New Roman" w:cs="Times New Roman" w:eastAsia="Times New Roman" w:hAnsi="Times New Roman"/>
          <w:sz w:val="18"/>
          <w:szCs w:val="18"/>
          <w:color w:val="auto"/>
        </w:rPr>
        <w:t>” means US$4,414,375 in cash.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has the meaning set forth in Rule 902(k) of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Vesting Agreement</w:t>
      </w:r>
      <w:r>
        <w:rPr>
          <w:rFonts w:ascii="Times New Roman" w:cs="Times New Roman" w:eastAsia="Times New Roman" w:hAnsi="Times New Roman"/>
          <w:sz w:val="18"/>
          <w:szCs w:val="18"/>
          <w:color w:val="auto"/>
        </w:rPr>
        <w:t>” means the Restricted Stock Agreements in the agreed form between the Company and each of the following Sellers: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7" w:right="459" w:bottom="1440" w:gutter="0" w:footer="0" w:header="0"/>
        </w:sectPr>
      </w:pPr>
    </w:p>
    <w:bookmarkStart w:id="501" w:name="page502"/>
    <w:bookmarkEnd w:id="501"/>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titles and headings to Sections herein and to the Exhibits and Schedules hereto are inserted for the convenience of reference only and are not intended to be a part of or to affect the meaning or interpretation of this Agreement. This Agreement shall be construed without regard to any presumption or other rule requiring construction hereof against the party causing this Agreement to be drafted. The words “include”, “includes”, “included”, “including” and “such as” do not limit the preceding words or terms and shall be deemed to be followed by the words “without limitation”. All pronouns and any variations thereof refer to the masculine, feminine or neuter, singular or plural, as the context may require. All terms defined in this Agreement in their singular or plural forms, have correlative meanings when used herein in their plural or singular forms, respectively. All references herein to a Section, Article, Exhibit or Schedule are to a Section, Article, Exhibit or Schedule of or to this Agreement, unless otherwise indicated.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 OF THE SHARES</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the Shares</w:t>
      </w:r>
      <w:r>
        <w:rPr>
          <w:rFonts w:ascii="Times New Roman" w:cs="Times New Roman" w:eastAsia="Times New Roman" w:hAnsi="Times New Roman"/>
          <w:sz w:val="18"/>
          <w:szCs w:val="18"/>
          <w:color w:val="auto"/>
        </w:rPr>
        <w:t>. Upon the terms and subject to the satisfaction or waiver of the conditions set forth in this Agreement, at the Closing, each Seller shall sell, transfer, assign, convey and deliver to Buyer, and Buyer shall purchase and accept from such Seller, the entire legal and beneficial interest in the number and class of Sale Shares owned by such Seller, fully paid up and free and clear from all Liens (other than Permitted Liens) and together with all rights now and in the future attaching to them (including the right to receive dividends or distributions declared, paid or made on or after the Closing).</w:t>
      </w:r>
    </w:p>
    <w:p>
      <w:pPr>
        <w:spacing w:after="0" w:line="18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 Partial Sale</w:t>
      </w:r>
      <w:r>
        <w:rPr>
          <w:rFonts w:ascii="Times New Roman" w:cs="Times New Roman" w:eastAsia="Times New Roman" w:hAnsi="Times New Roman"/>
          <w:sz w:val="18"/>
          <w:szCs w:val="18"/>
          <w:color w:val="auto"/>
        </w:rPr>
        <w:t>. Buyer shall have no obligation to complete the sale and purchase of any Sale Shares pursuant to Section 2.1 unless the sale and purchase of all the Sale Shares is completed simultaneously.</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of the Sellers hereby irrevocably consents to and waives (or, where this waiver would not be sufficient, agrees to procure the waiver of), all rights (including pre-emption rights, rights of first refusal, veto rights and such other rights) which it/he/she/they have had and/or may have (at any time) in relation to the Sale Shares (and that may have as otherwise prohibit, restrict or impair, the transfer of the Sale Shares to Buyer in accordance with this Agreement), and the transfer thereof to Buyer at the Closing, (pursuant to the Constitutive Documents of the Company or otherwise) and hereby consents to the transfer of the Sale Shares to the Buyer and to the allocation of the Share Consideration, Upfront Cash Consideration, Deferred Consideration Payment, if any, and the Net Current Asset Consideration as between the Sellers in accordance with the terms of this Agreement, which shall take precedent over any understanding or arrangement howsoever arising to the contrary.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CONSIDERATION</w:t>
      </w:r>
    </w:p>
    <w:p>
      <w:pPr>
        <w:spacing w:after="0" w:line="207"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consideration for the Sale Shares shall be (a) the issue of Consideration Shares, free and clear of all Liens, (and each Seller shall receive the number and type of Consideration Shares set forth in the Consideration Schedule (the “</w:t>
      </w:r>
      <w:r>
        <w:rPr>
          <w:rFonts w:ascii="Times New Roman" w:cs="Times New Roman" w:eastAsia="Times New Roman" w:hAnsi="Times New Roman"/>
          <w:sz w:val="18"/>
          <w:szCs w:val="18"/>
          <w:i w:val="1"/>
          <w:iCs w:val="1"/>
          <w:color w:val="auto"/>
        </w:rPr>
        <w:t>Share Consideration</w:t>
      </w:r>
      <w:r>
        <w:rPr>
          <w:rFonts w:ascii="Times New Roman" w:cs="Times New Roman" w:eastAsia="Times New Roman" w:hAnsi="Times New Roman"/>
          <w:sz w:val="18"/>
          <w:szCs w:val="18"/>
          <w:color w:val="auto"/>
        </w:rPr>
        <w:t>”)), (b) the payment of the Upfront Cash Consideration (and each Seller shall receive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9" w:right="4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his, her or its Pro Rata Percentage of the Upfront Cash Consideration), (c) solely to the extent that such amounts become payable pursuant to</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3.2, the Deferred Consideration Payment (or portions thereof) contemplated in Section 3.2 (and each Seller shall receive his, her or its Pro Rata Percentage of such Deferred Consideration Payment (or portions thereof)), (d) an additional cash payment equal to the Net Current Asset Value Excess, if any, less the Net Current Asset Value Shortfall, if any, plus the Actual Net Cash Excess, if any, less the Actual Net Cash Shortfall, if any, which amount shall be payable in US Dollars calculated based on the Exchange Rate (the “</w:t>
      </w:r>
      <w:r>
        <w:rPr>
          <w:rFonts w:ascii="Times New Roman" w:cs="Times New Roman" w:eastAsia="Times New Roman" w:hAnsi="Times New Roman"/>
          <w:sz w:val="18"/>
          <w:szCs w:val="18"/>
          <w:i w:val="1"/>
          <w:iCs w:val="1"/>
          <w:color w:val="auto"/>
        </w:rPr>
        <w:t>Net Current Asset Consideration</w:t>
      </w:r>
      <w:r>
        <w:rPr>
          <w:rFonts w:ascii="Times New Roman" w:cs="Times New Roman" w:eastAsia="Times New Roman" w:hAnsi="Times New Roman"/>
          <w:sz w:val="18"/>
          <w:szCs w:val="18"/>
          <w:color w:val="auto"/>
        </w:rPr>
        <w:t>”) (and each Seller shall receive his, her or its Pro Rata Percentage of the Net Current Asset Consideration).</w:t>
      </w:r>
    </w:p>
    <w:p>
      <w:pPr>
        <w:spacing w:after="0" w:line="18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Deferred Consideration Payment</w:t>
      </w:r>
      <w:r>
        <w:rPr>
          <w:rFonts w:ascii="Times New Roman" w:cs="Times New Roman" w:eastAsia="Times New Roman" w:hAnsi="Times New Roman"/>
          <w:sz w:val="18"/>
          <w:szCs w:val="18"/>
          <w:color w:val="auto"/>
        </w:rPr>
        <w:t>. Following the Closing, the Buyer shall pay additional consideration (if any) for the Sale Shares (the “</w:t>
      </w:r>
      <w:r>
        <w:rPr>
          <w:rFonts w:ascii="Times New Roman" w:cs="Times New Roman" w:eastAsia="Times New Roman" w:hAnsi="Times New Roman"/>
          <w:sz w:val="18"/>
          <w:szCs w:val="18"/>
          <w:i w:val="1"/>
          <w:iCs w:val="1"/>
          <w:color w:val="auto"/>
        </w:rPr>
        <w:t>Deferred Consideration Payment</w:t>
      </w:r>
      <w:r>
        <w:rPr>
          <w:rFonts w:ascii="Times New Roman" w:cs="Times New Roman" w:eastAsia="Times New Roman" w:hAnsi="Times New Roman"/>
          <w:sz w:val="18"/>
          <w:szCs w:val="18"/>
          <w:color w:val="auto"/>
        </w:rPr>
        <w:t>”), in accordance with and subject to the terms and conditions set forth in this Section 3.2.</w:t>
      </w:r>
    </w:p>
    <w:p>
      <w:pPr>
        <w:spacing w:after="0" w:line="54" w:lineRule="exact"/>
        <w:rPr>
          <w:sz w:val="20"/>
          <w:szCs w:val="20"/>
          <w:color w:val="auto"/>
        </w:rPr>
      </w:pPr>
    </w:p>
    <w:p>
      <w:pPr>
        <w:ind w:right="260" w:firstLine="987"/>
        <w:spacing w:after="0" w:line="256" w:lineRule="auto"/>
        <w:tabs>
          <w:tab w:leader="none" w:pos="12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Post-IPO Market Capitalization Trigger</w:t>
      </w:r>
      <w:r>
        <w:rPr>
          <w:rFonts w:ascii="Times New Roman" w:cs="Times New Roman" w:eastAsia="Times New Roman" w:hAnsi="Times New Roman"/>
          <w:sz w:val="18"/>
          <w:szCs w:val="18"/>
          <w:color w:val="auto"/>
        </w:rPr>
        <w:t>. Provided that the Buyer has not previously paid any portion of the Deferred Consideration Payment pursuant to Section 3.2(b), following the completion of the IPO, upon the first occurrence of the total market capitalization of Buyer (or the relevant Buyer Group Company) being equal to or in excess of the Target Valuation Amount, based on a 5-day volume-weighted average price of a share of the publicly traded capital stock of Buyer (or the relevant Buyer Group Company) as traded on a Major Securities Exchange, the Buyer shall pay, or cause to be paid to the Sellers, an aggregate amount equal to the Deferred Consideration Payment Amount in accordance with Section 3.2(g) below.</w:t>
      </w:r>
    </w:p>
    <w:p>
      <w:pPr>
        <w:spacing w:after="0" w:line="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Event Trigger</w:t>
      </w:r>
      <w:r>
        <w:rPr>
          <w:rFonts w:ascii="Times New Roman" w:cs="Times New Roman" w:eastAsia="Times New Roman" w:hAnsi="Times New Roman"/>
          <w:sz w:val="18"/>
          <w:szCs w:val="18"/>
          <w:color w:val="auto"/>
        </w:rPr>
        <w:t>. Provided that the Buyer has not previously paid the Deferred Consideration Payment pursuant to Section 3.2(a), the following provisions shall apply:</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0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Exit Event for which the Potential Proceeds are equal to or greater than the Target Valuation Amount, the Buyer shall pay, or shall cause to be paid, to the Sellers, an aggregate amount equal to the Deferred Consideration Payment Amount in accordance with Section 3.2(g) below; provided, that,</w:t>
      </w:r>
    </w:p>
    <w:p>
      <w:pPr>
        <w:spacing w:after="0" w:line="65" w:lineRule="exact"/>
        <w:rPr>
          <w:rFonts w:ascii="Times New Roman" w:cs="Times New Roman" w:eastAsia="Times New Roman" w:hAnsi="Times New Roman"/>
          <w:sz w:val="18"/>
          <w:szCs w:val="18"/>
          <w:color w:val="auto"/>
        </w:rPr>
      </w:pPr>
    </w:p>
    <w:p>
      <w:pPr>
        <w:ind w:left="980" w:right="60" w:firstLine="910"/>
        <w:spacing w:after="0" w:line="256" w:lineRule="auto"/>
        <w:tabs>
          <w:tab w:leader="none" w:pos="2177"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Proceeds in such an Exit Event are payable on an installment basis (collectively, the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Installments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Proceeds Installment</w:t>
      </w:r>
      <w:r>
        <w:rPr>
          <w:rFonts w:ascii="Times New Roman" w:cs="Times New Roman" w:eastAsia="Times New Roman" w:hAnsi="Times New Roman"/>
          <w:sz w:val="18"/>
          <w:szCs w:val="18"/>
          <w:color w:val="auto"/>
        </w:rPr>
        <w:t>”), then until the aggregate Proceeds Installments actually paid to the stockholders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Buyer in connection with the Exit Event are greater than or equal to the Target Valuation Amount, the Buyer shall pay, or shall cause to be paid, to the Sellers within fifteen (15) Business Days following the payment of each Proceeds Installment, an aggregate portion of the Deferred Consideration Payment Amount equal to the product of (A) the Deferred Consideration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quotient of the amount of such Proceeds Installment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Target Valuation Amount, which amount to be allocated among the Sellers according to their respective Pro Rata Percentages, such payment to be made in accordance with Section 3.2(g);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9" w:right="459" w:bottom="1440" w:gutter="0" w:footer="0" w:header="0"/>
        </w:sectPr>
      </w:pPr>
    </w:p>
    <w:bookmarkStart w:id="503" w:name="page504"/>
    <w:bookmarkEnd w:id="503"/>
    <w:p>
      <w:pPr>
        <w:ind w:left="540" w:right="60" w:firstLine="910"/>
        <w:spacing w:after="0" w:line="254" w:lineRule="auto"/>
        <w:tabs>
          <w:tab w:leader="none" w:pos="172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as a result of the first Exit Event to occur following the date hereof, the holders of the Buyer’s outstanding capital stock as of immediately prior to such Exit Event sell, transfer or otherwise dispose of less than 100% of the issued shares of the Buyer’s capital stock (100% of such shares, the “</w:t>
      </w:r>
      <w:r>
        <w:rPr>
          <w:rFonts w:ascii="Times New Roman" w:cs="Times New Roman" w:eastAsia="Times New Roman" w:hAnsi="Times New Roman"/>
          <w:sz w:val="18"/>
          <w:szCs w:val="18"/>
          <w:i w:val="1"/>
          <w:iCs w:val="1"/>
          <w:color w:val="auto"/>
        </w:rPr>
        <w:t>Subject Shares</w:t>
      </w:r>
      <w:r>
        <w:rPr>
          <w:rFonts w:ascii="Times New Roman" w:cs="Times New Roman" w:eastAsia="Times New Roman" w:hAnsi="Times New Roman"/>
          <w:sz w:val="18"/>
          <w:szCs w:val="18"/>
          <w:color w:val="auto"/>
        </w:rPr>
        <w:t xml:space="preserve">”), and the Implied Value (as defined below) resulting from such Exit Event is equal to or greater than the Target Valuation Amount, the Buyer shall pay, or shall cause to be paid, to the Sellers within fifteen (15) Business Days following the consummation of such Exit Event, such payment to be made in accordance with Section 3.2(g), an aggregate portion of the Deferred Consideration Payment Amount equal to the product of (A) the Deferred Consideration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quotient of the amount of such Proceeds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Target Valuation Amount (provided that the aggregate Deferred Consideration Payment Amount payable hereunder shall in no event exceed $22,926,930), which amount to be allocated among the Sellers according to their respective Pro Rata Percentages;</w:t>
      </w:r>
    </w:p>
    <w:p>
      <w:pPr>
        <w:spacing w:after="0" w:line="80" w:lineRule="exact"/>
        <w:rPr>
          <w:rFonts w:ascii="Times New Roman" w:cs="Times New Roman" w:eastAsia="Times New Roman" w:hAnsi="Times New Roman"/>
          <w:sz w:val="18"/>
          <w:szCs w:val="18"/>
          <w:color w:val="auto"/>
        </w:rPr>
      </w:pPr>
    </w:p>
    <w:p>
      <w:pPr>
        <w:ind w:left="540" w:right="20" w:firstLine="910"/>
        <w:spacing w:after="0" w:line="253" w:lineRule="auto"/>
        <w:tabs>
          <w:tab w:leader="none" w:pos="172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3.2(b)(iv), if within the five (5) year period immediately following the consummation of the first Exit Event described in Section 3.2(b)(i)(B) above to occur (the “</w:t>
      </w:r>
      <w:r>
        <w:rPr>
          <w:rFonts w:ascii="Times New Roman" w:cs="Times New Roman" w:eastAsia="Times New Roman" w:hAnsi="Times New Roman"/>
          <w:sz w:val="18"/>
          <w:szCs w:val="18"/>
          <w:i w:val="1"/>
          <w:iCs w:val="1"/>
          <w:color w:val="auto"/>
        </w:rPr>
        <w:t>First Exit Event</w:t>
      </w:r>
      <w:r>
        <w:rPr>
          <w:rFonts w:ascii="Times New Roman" w:cs="Times New Roman" w:eastAsia="Times New Roman" w:hAnsi="Times New Roman"/>
          <w:sz w:val="18"/>
          <w:szCs w:val="18"/>
          <w:color w:val="auto"/>
        </w:rPr>
        <w:t>”), there is a sale, transfer or other disposition (including for the avoidance of doubt an IPO occurring subsequent to a First Exit Event) in one or more transactions of some or all of the Subject Shares that were not sold, transferred or otherwise disposed of under the First Exit Event (the “</w:t>
      </w:r>
      <w:r>
        <w:rPr>
          <w:rFonts w:ascii="Times New Roman" w:cs="Times New Roman" w:eastAsia="Times New Roman" w:hAnsi="Times New Roman"/>
          <w:sz w:val="18"/>
          <w:szCs w:val="18"/>
          <w:i w:val="1"/>
          <w:iCs w:val="1"/>
          <w:color w:val="auto"/>
        </w:rPr>
        <w:t>Remaining Shares</w:t>
      </w:r>
      <w:r>
        <w:rPr>
          <w:rFonts w:ascii="Times New Roman" w:cs="Times New Roman" w:eastAsia="Times New Roman" w:hAnsi="Times New Roman"/>
          <w:sz w:val="18"/>
          <w:szCs w:val="18"/>
          <w:color w:val="auto"/>
        </w:rPr>
        <w:t>”) representing at least 5% of the Subject Shares, and the Implied Value (as defined below) of such transaction is equal to or greater than the Target Valuation Amount (in each case a “</w:t>
      </w:r>
      <w:r>
        <w:rPr>
          <w:rFonts w:ascii="Times New Roman" w:cs="Times New Roman" w:eastAsia="Times New Roman" w:hAnsi="Times New Roman"/>
          <w:sz w:val="18"/>
          <w:szCs w:val="18"/>
          <w:i w:val="1"/>
          <w:iCs w:val="1"/>
          <w:color w:val="auto"/>
        </w:rPr>
        <w:t>Partial Exit</w:t>
      </w:r>
      <w:r>
        <w:rPr>
          <w:rFonts w:ascii="Times New Roman" w:cs="Times New Roman" w:eastAsia="Times New Roman" w:hAnsi="Times New Roman"/>
          <w:sz w:val="18"/>
          <w:szCs w:val="18"/>
          <w:color w:val="auto"/>
        </w:rPr>
        <w:t>”), the Buyer shall in respect of each Partial Exit pay, or shall cause to be paid, to the Sellers within fifteen</w:t>
      </w:r>
    </w:p>
    <w:p>
      <w:pPr>
        <w:spacing w:after="0" w:line="5" w:lineRule="exact"/>
        <w:rPr>
          <w:rFonts w:ascii="Times New Roman" w:cs="Times New Roman" w:eastAsia="Times New Roman" w:hAnsi="Times New Roman"/>
          <w:sz w:val="18"/>
          <w:szCs w:val="18"/>
          <w:color w:val="auto"/>
        </w:rPr>
      </w:pPr>
    </w:p>
    <w:p>
      <w:pPr>
        <w:ind w:left="540" w:firstLine="7"/>
        <w:spacing w:after="0" w:line="252" w:lineRule="auto"/>
        <w:tabs>
          <w:tab w:leader="none" w:pos="8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the Buyer’s receipt of notice of a transfer of stock that constitutes a Partial Exit (including where the stock is listed as part of an IPO occurring subsequent to a First Exit Event), an aggregate portion of the Deferred Consideration Payment Amount equal to the product of (1) the Deferred Consideration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quotient of such Proceeds attributable to the Partial Exit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Target Valuation Amount (provided that the aggregate Deferred Consideration Payment Amounts payable hereunder shall in no event exceed $22,926,930), which amount to be allocated among the Sellers according to their respective Pro Rata Percentages and paid in accordance with Section 3.2(g).</w:t>
      </w:r>
    </w:p>
    <w:p>
      <w:pPr>
        <w:spacing w:after="0" w:line="79" w:lineRule="exact"/>
        <w:rPr>
          <w:rFonts w:ascii="Times New Roman" w:cs="Times New Roman" w:eastAsia="Times New Roman" w:hAnsi="Times New Roman"/>
          <w:sz w:val="18"/>
          <w:szCs w:val="18"/>
          <w:color w:val="auto"/>
        </w:rPr>
      </w:pPr>
    </w:p>
    <w:p>
      <w:pPr>
        <w:ind w:right="140" w:firstLine="948"/>
        <w:spacing w:after="0" w:line="258" w:lineRule="auto"/>
        <w:tabs>
          <w:tab w:leader="none" w:pos="1217"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Implied Value</w:t>
      </w:r>
      <w:r>
        <w:rPr>
          <w:rFonts w:ascii="Times New Roman" w:cs="Times New Roman" w:eastAsia="Times New Roman" w:hAnsi="Times New Roman"/>
          <w:sz w:val="18"/>
          <w:szCs w:val="18"/>
          <w:color w:val="auto"/>
        </w:rPr>
        <w:t>” means, with respect to an Exit Event or Partial Exit, the quotient of (A) the aggregate amount of Potential Proceeds payable in respect of the relevant sale, transfer or other disposition of the Subject Shares or the Remaining Shares (as the case may be), divided by (B) a fraction, the numerator of which is equal to the number of Subject Shares or Remaining Shares (as the case may be) sold, transferred or disposed of in such Exit Event or Partial Exit, and the denominator of which is equal to the aggregate number of shares of the Buyer’s capital stock outstanding immediately prior to such transaction on a fully-diluted basis.</w:t>
      </w:r>
    </w:p>
    <w:p>
      <w:pPr>
        <w:spacing w:after="0" w:line="77" w:lineRule="exact"/>
        <w:rPr>
          <w:rFonts w:ascii="Times New Roman" w:cs="Times New Roman" w:eastAsia="Times New Roman" w:hAnsi="Times New Roman"/>
          <w:sz w:val="18"/>
          <w:szCs w:val="18"/>
          <w:color w:val="auto"/>
        </w:rPr>
      </w:pPr>
    </w:p>
    <w:p>
      <w:pPr>
        <w:ind w:right="140" w:firstLine="948"/>
        <w:spacing w:after="0" w:line="258" w:lineRule="auto"/>
        <w:tabs>
          <w:tab w:leader="none" w:pos="1267"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a number or class of Subject Shares, Remaining Shares or shares of capital stock in this Section 3.2 shall be subject to appropriate adjustment for all stock splits, dividends, combinations, recapitalizations, consolidations and other variations to the capital stock of the Buyer (and for the avoidance of doubt, includes any replacement shares of capital stock in a Buyer Group Company following a reorganisation of the Buyer Group) and such variations shall be notified in writing to the Sellers Representatives within 15 Business Days of the variation</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69" w:right="459" w:bottom="1440" w:gutter="0" w:footer="0" w:header="0"/>
        </w:sectPr>
      </w:pPr>
    </w:p>
    <w:bookmarkStart w:id="504" w:name="page505"/>
    <w:bookmarkEnd w:id="50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For clarity, in no event shall the aggregate amounts payable under this Section 3.2 exceed the Deferred Consideration Payment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w:t>
      </w:r>
    </w:p>
    <w:p>
      <w:pPr>
        <w:spacing w:after="0" w:line="99" w:lineRule="exact"/>
        <w:rPr>
          <w:sz w:val="20"/>
          <w:szCs w:val="20"/>
          <w:color w:val="auto"/>
        </w:rPr>
      </w:pPr>
    </w:p>
    <w:p>
      <w:pPr>
        <w:ind w:left="4" w:right="240" w:firstLine="987"/>
        <w:spacing w:after="0" w:line="261" w:lineRule="auto"/>
        <w:tabs>
          <w:tab w:leader="none" w:pos="125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Section 3.2, at any time following or concurrently with the Buyer’s first payment of any portion of the Deferred Consideration Payment Amount, the Buyer may elect in its sole discretion to pay to the Sellers the remaining unpaid portion of the Deferred Consideration Payment Amount, whether or not due and payable pursuant to the terms hereof, which payment shall be made in accordance with Section 3.2(g)(ii). </w:t>
      </w:r>
    </w:p>
    <w:p>
      <w:pPr>
        <w:spacing w:after="0" w:line="71"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notify the Sellers Representatives in writing of the occurrence of a Deferred Consideration Payment Event as soon as reasonably practicable but no later than 10 Business Days after such occurrence, or with respect to a Partial Exit, no later than 10 Business Days after Buyer’s receipt of notice of the occurrence of a Partial Sale from the holder of Subject Shares that consummated such Partial Sale or from any other Person. The Buyer’s notice to the Sellers Representatives shall be accompanied by a statement setting out in reasonable detail the terms of such Deferred Consideration Payment Event including the timing of payments due to the Sellers in accordance with this Section 3.2 and appropriate supporting evidence to the reasonable satisfaction of the Sellers’ Representatives. The Buyer shall supply to the Sellers’ Representatives any information, documentation or evidence as they may reasonably require at any time during the Deferred Consideration Payment Period in relation to their rights under this Section 3.2 within a reasonable time following Buyer’s receipt of a written request from the Sellers’ Representatives.</w:t>
      </w:r>
    </w:p>
    <w:p>
      <w:pPr>
        <w:spacing w:after="0" w:line="83"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Deferred Consideration Payment Period, there is a reorganization of the Buyer Group Companies such that Buyer is no longer the ultimate parent entity of all of the operating companies of the Buyer Group, Buyer shall cause the new parent entity of the Buyer Group to fully assume and agree to pay and discharge Buyer’s obligations under this Section 3.2 provided that for the avoidance of doubt the Buyer shall not be released from its obligations to pay any Deferred Consideration Payment unless the new parent entity of the Buyer Group has entered into a written agreement assuming the obligations of the Buyer on terms agreed with the Sellers’ Representatives (such consent not to be unreasonably withheld or delayed) and a copy of such fully executed agreement has been provided to the Sellers’ Representatives. </w:t>
      </w:r>
    </w:p>
    <w:p>
      <w:pPr>
        <w:spacing w:after="0" w:line="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and any amounts of the Deferred Consideration Payment due to the Sellers under this Section 3.2 shall be paid within fifteen</w:t>
      </w:r>
    </w:p>
    <w:p>
      <w:pPr>
        <w:spacing w:after="0" w:line="27" w:lineRule="exact"/>
        <w:rPr>
          <w:rFonts w:ascii="Times New Roman" w:cs="Times New Roman" w:eastAsia="Times New Roman" w:hAnsi="Times New Roman"/>
          <w:sz w:val="18"/>
          <w:szCs w:val="18"/>
          <w:color w:val="auto"/>
        </w:rPr>
      </w:pPr>
    </w:p>
    <w:p>
      <w:pPr>
        <w:ind w:left="4" w:right="600" w:hanging="4"/>
        <w:spacing w:after="0" w:line="260" w:lineRule="auto"/>
        <w:tabs>
          <w:tab w:leader="none" w:pos="34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that the Deferred Consideration Payment(s) becomes payable in accordance with this Section 3.2 by the Buyer as follows: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9" w:right="459" w:bottom="1440" w:gutter="0" w:footer="0" w:header="0"/>
        </w:sectPr>
      </w:pPr>
    </w:p>
    <w:bookmarkStart w:id="505" w:name="page506"/>
    <w:bookmarkEnd w:id="505"/>
    <w:p>
      <w:pPr>
        <w:ind w:left="440" w:right="40" w:firstLine="948"/>
        <w:spacing w:after="0" w:line="258" w:lineRule="auto"/>
        <w:tabs>
          <w:tab w:leader="none" w:pos="160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and to the extent the applicable Proceeds are payable other than in cash (“</w:t>
      </w:r>
      <w:r>
        <w:rPr>
          <w:rFonts w:ascii="Times New Roman" w:cs="Times New Roman" w:eastAsia="Times New Roman" w:hAnsi="Times New Roman"/>
          <w:sz w:val="18"/>
          <w:szCs w:val="18"/>
          <w:i w:val="1"/>
          <w:iCs w:val="1"/>
          <w:color w:val="auto"/>
        </w:rPr>
        <w:t>Non-Cash Proceeds</w:t>
      </w:r>
      <w:r>
        <w:rPr>
          <w:rFonts w:ascii="Times New Roman" w:cs="Times New Roman" w:eastAsia="Times New Roman" w:hAnsi="Times New Roman"/>
          <w:sz w:val="18"/>
          <w:szCs w:val="18"/>
          <w:color w:val="auto"/>
        </w:rPr>
        <w:t>”), the amount of the Deferred Consideration Payment payable in respect of such Non-Cash Proceeds shall be satisfied: (A) if so agreed between the Sellers’ Representatives and the Buyer, by transfer to the Sellers of the applicable portion of the Proceeds received as Non-Cash Proceeds to each Seller for their Pro Rata Percentage of the Deferred Consideration Payment or (B) in the absence of such agreement, by the issue of Promissory Notes to each of the Sellers for their Pro Rata Percentage of the Deferred Consideration Payment; and</w:t>
      </w:r>
    </w:p>
    <w:p>
      <w:pPr>
        <w:spacing w:after="0" w:line="77" w:lineRule="exact"/>
        <w:rPr>
          <w:rFonts w:ascii="Times New Roman" w:cs="Times New Roman" w:eastAsia="Times New Roman" w:hAnsi="Times New Roman"/>
          <w:sz w:val="18"/>
          <w:szCs w:val="18"/>
          <w:color w:val="auto"/>
        </w:rPr>
      </w:pPr>
    </w:p>
    <w:p>
      <w:pPr>
        <w:ind w:left="440" w:right="500" w:firstLine="948"/>
        <w:spacing w:after="0" w:line="312" w:lineRule="auto"/>
        <w:tabs>
          <w:tab w:leader="none" w:pos="1657"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receiving a cash payment, each Seller shall be issued with a Promissory Note issued by the Buyer in the principal amount equal to their Pro Rata Percentage of the Deferred Consideration Payment (or portion thereof) payable under this Section 3.2.</w:t>
      </w:r>
    </w:p>
    <w:p>
      <w:pPr>
        <w:spacing w:after="0" w:line="31" w:lineRule="exact"/>
        <w:rPr>
          <w:rFonts w:ascii="Times New Roman" w:cs="Times New Roman" w:eastAsia="Times New Roman" w:hAnsi="Times New Roman"/>
          <w:sz w:val="17"/>
          <w:szCs w:val="17"/>
          <w:color w:val="auto"/>
        </w:rPr>
      </w:pPr>
    </w:p>
    <w:p>
      <w:pPr>
        <w:ind w:firstLine="987"/>
        <w:spacing w:after="0" w:line="252"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arises between the parties under this Section 3.2 in relation to the calculation of Potential Proceeds, Proceeds or Implied Value, the value of any Non-Cash Proceeds, whether or not a Partial Exit has occurred or any adjustments under Section 3.2(b)(iii), then either party may serve notice on the other party (a “</w:t>
      </w:r>
      <w:r>
        <w:rPr>
          <w:rFonts w:ascii="Times New Roman" w:cs="Times New Roman" w:eastAsia="Times New Roman" w:hAnsi="Times New Roman"/>
          <w:sz w:val="18"/>
          <w:szCs w:val="18"/>
          <w:i w:val="1"/>
          <w:iCs w:val="1"/>
          <w:color w:val="auto"/>
        </w:rPr>
        <w:t>Notice of Dispute</w:t>
      </w:r>
      <w:r>
        <w:rPr>
          <w:rFonts w:ascii="Times New Roman" w:cs="Times New Roman" w:eastAsia="Times New Roman" w:hAnsi="Times New Roman"/>
          <w:sz w:val="18"/>
          <w:szCs w:val="18"/>
          <w:color w:val="auto"/>
        </w:rPr>
        <w:t>”). During the first thirty (30) days following the date upon which a Notice of Dispute is served, the Sellers’ Representatives and Buyer shall attempt in good faith to resolve the differences that they may have with respect to the matters set forth in the Notice of Dispute. If at the end of such thirty (30) day period Buyer and the Sellers’ Representatives have not reached agreement on such matters unless the period has been extended in writing by Buyer and the Sellers’ Representatives, the matters that remain in dispute shall be submitted to the Independent Investment Bank for determination. Except for the purpose of engaging the Independent Investment Bank, none of Buyer, Sellers, the Sellers’ Representatives, the Company, or their Affiliates shall make any ex parte contact with the Independent Investment Bank. As promptly as practicable (but in no event more than thirty (30) days) after the retention of the Independent Investment Bank, Buyer and the Sellers’ Representatives shall each prepare and submit a presentation to the Independent Investment Bank regarding their positions on the disputed matters. As soon as practicable thereafter, but in any event within thirty (30) days after the Sellers’ Representatives and Buyer submit in writing (or have had the opportunity to submit in writing but have not submitted) their positions as to the disputed matters, the Independent Investment Bank Firm shall determine the amount of each item in dispute, which shall include an explanation in writing of the Independent Investment Bank’s reasons for the determinations set forth therein. In making their determination, the Independent Investment Bank shall (i) act as an expert and not as an arbitrator and (ii) shall address only those matters in dispute, which such matters shall be determined on the merits of the matters submitted. The decision of the Independent Investment Bank shall be final and binding on Buyer and the Sellers in the absence of manifest error. The costs, fees and expenses of the Independent Investment Bank in connection with the Independent Investment Bank’s review pursuant to this Section, shall be borne equally by Buyer on the one hand and the Sellers on the other hand. The Independent Investment Bank shall conduct its determination in a manner wherein all materials submitted to it are held in confidence and shall not be disclosed to third parties. </w:t>
      </w:r>
    </w:p>
    <w:p>
      <w:pPr>
        <w:spacing w:after="0" w:line="200" w:lineRule="exact"/>
        <w:rPr>
          <w:sz w:val="20"/>
          <w:szCs w:val="20"/>
          <w:color w:val="auto"/>
        </w:rPr>
      </w:pP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CLOSING</w:t>
      </w:r>
    </w:p>
    <w:p>
      <w:pPr>
        <w:spacing w:after="0" w:line="20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shall occur remotely via the electronic exchange of documents and signature pages on the date hereof or at such other place and time as the parties hereto may agree (the date on which the Closing occurs is referred to herein as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and be deemed to be effective as of the execution and delivery of this Agreement by the parties hereto on the Closing Date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7" w:right="459" w:bottom="1440" w:gutter="0" w:footer="0" w:header="0"/>
        </w:sectPr>
      </w:pPr>
    </w:p>
    <w:bookmarkStart w:id="506" w:name="page507"/>
    <w:bookmarkEnd w:id="506"/>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Actions in Connection with the Closing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4" w:hanging="253"/>
        <w:spacing w:after="0"/>
        <w:tabs>
          <w:tab w:leader="none" w:pos="80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Sellers acting jointly shall procure that the Company shall deliver to Buyer at Closing:</w:t>
      </w:r>
    </w:p>
    <w:p>
      <w:pPr>
        <w:spacing w:after="0" w:line="117" w:lineRule="exact"/>
        <w:rPr>
          <w:rFonts w:ascii="Times New Roman" w:cs="Times New Roman" w:eastAsia="Times New Roman" w:hAnsi="Times New Roman"/>
          <w:sz w:val="18"/>
          <w:szCs w:val="18"/>
          <w:color w:val="auto"/>
        </w:rPr>
      </w:pPr>
    </w:p>
    <w:p>
      <w:pPr>
        <w:ind w:left="4" w:firstLine="948"/>
        <w:spacing w:after="0" w:line="268" w:lineRule="auto"/>
        <w:tabs>
          <w:tab w:leader="none" w:pos="1170" w:val="left"/>
        </w:tabs>
        <w:numPr>
          <w:ilvl w:val="2"/>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certified copy of the minutes of the meeting or written resolutions of the board of directors of the Company (A) approving and authorizing the execution and delivery of this Agreement and the consummation of the transactions contemplated hereby, (B) approving and authorizing the transfer of the Sale Shares at Closing to Buyer, (C) approving and authorizing the execution of such documents as are to be entered into by the Company in connection with the transactions contemplated by this Agreement (including, where applicable, those documents identified in this Section 4.2(a)), (D) approving and authorizing (1) registration of Buyer (or its nominee) as the holder of the Sale Shares in the Company’s register of members and statutory books as soon as possible following Closing, subject only to the stock transfer forms transferring the Sale Shares to Buyer being duly stamped, and (2) issuance by the Company to Buyer immediately following Closing and the payment of stamp duty of a share certificate representing the Sale Shares, (E) approving the resignations of each director of the Company with effect from Closing,</w:t>
      </w:r>
    </w:p>
    <w:p>
      <w:pPr>
        <w:ind w:left="4" w:right="380" w:hanging="4"/>
        <w:spacing w:after="0" w:line="260" w:lineRule="auto"/>
        <w:tabs>
          <w:tab w:leader="none" w:pos="26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appointment of each of [***] as directors of the Company with effect at Closing, and (G) approving the making of all other entries into other corporate records of Buyer as may be necessary;</w:t>
      </w:r>
    </w:p>
    <w:p>
      <w:pPr>
        <w:spacing w:after="0" w:line="73"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written resolution of the shareholders of the Company, in agreed form;</w:t>
      </w:r>
    </w:p>
    <w:p>
      <w:pPr>
        <w:spacing w:after="0" w:line="117" w:lineRule="exact"/>
        <w:rPr>
          <w:rFonts w:ascii="Times New Roman" w:cs="Times New Roman" w:eastAsia="Times New Roman" w:hAnsi="Times New Roman"/>
          <w:sz w:val="18"/>
          <w:szCs w:val="18"/>
          <w:color w:val="auto"/>
        </w:rPr>
      </w:pPr>
    </w:p>
    <w:p>
      <w:pPr>
        <w:ind w:left="4" w:right="620" w:firstLine="948"/>
        <w:spacing w:after="0" w:line="282" w:lineRule="auto"/>
        <w:tabs>
          <w:tab w:leader="none" w:pos="127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resignations of [***], being all the directors and officers of the Company, in agreed form and executed as a deed, resigning as directors of the Company;</w:t>
      </w:r>
    </w:p>
    <w:p>
      <w:pPr>
        <w:spacing w:after="0" w:line="53"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Letter;</w:t>
      </w:r>
    </w:p>
    <w:p>
      <w:pPr>
        <w:spacing w:after="0" w:line="117" w:lineRule="exact"/>
        <w:rPr>
          <w:rFonts w:ascii="Times New Roman" w:cs="Times New Roman" w:eastAsia="Times New Roman" w:hAnsi="Times New Roman"/>
          <w:sz w:val="18"/>
          <w:szCs w:val="18"/>
          <w:color w:val="auto"/>
        </w:rPr>
      </w:pPr>
    </w:p>
    <w:p>
      <w:pPr>
        <w:ind w:left="4" w:right="180" w:firstLine="948"/>
        <w:spacing w:after="0" w:line="282" w:lineRule="auto"/>
        <w:tabs>
          <w:tab w:leader="none" w:pos="121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statutory and other books (duly written up to date) of the Company (including all certificates of incorporation, articles of association and other constitutional documents, register of members, and (if applicable) common seal(s));</w:t>
      </w:r>
    </w:p>
    <w:p>
      <w:pPr>
        <w:spacing w:after="0" w:line="53" w:lineRule="exact"/>
        <w:rPr>
          <w:rFonts w:ascii="Times New Roman" w:cs="Times New Roman" w:eastAsia="Times New Roman" w:hAnsi="Times New Roman"/>
          <w:sz w:val="18"/>
          <w:szCs w:val="18"/>
          <w:color w:val="auto"/>
        </w:rPr>
      </w:pPr>
    </w:p>
    <w:p>
      <w:pPr>
        <w:ind w:left="4" w:right="600" w:firstLine="948"/>
        <w:spacing w:after="0" w:line="282" w:lineRule="auto"/>
        <w:tabs>
          <w:tab w:leader="none" w:pos="126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e-mail address, security code and webfiling authentication code used by the Company in making web-filings with the Registrar of Companies;</w:t>
      </w:r>
    </w:p>
    <w:p>
      <w:pPr>
        <w:spacing w:after="0" w:line="53" w:lineRule="exact"/>
        <w:rPr>
          <w:rFonts w:ascii="Times New Roman" w:cs="Times New Roman" w:eastAsia="Times New Roman" w:hAnsi="Times New Roman"/>
          <w:sz w:val="18"/>
          <w:szCs w:val="18"/>
          <w:color w:val="auto"/>
        </w:rPr>
      </w:pPr>
    </w:p>
    <w:p>
      <w:pPr>
        <w:ind w:left="1304" w:hanging="352"/>
        <w:spacing w:after="0"/>
        <w:tabs>
          <w:tab w:leader="none" w:pos="1304"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agreements with the Company, in agreed form, duly executed by each of [***];</w:t>
      </w:r>
    </w:p>
    <w:p>
      <w:pPr>
        <w:spacing w:after="0" w:line="117" w:lineRule="exact"/>
        <w:rPr>
          <w:rFonts w:ascii="Times New Roman" w:cs="Times New Roman" w:eastAsia="Times New Roman" w:hAnsi="Times New Roman"/>
          <w:sz w:val="18"/>
          <w:szCs w:val="18"/>
          <w:color w:val="auto"/>
        </w:rPr>
      </w:pPr>
    </w:p>
    <w:p>
      <w:pPr>
        <w:ind w:left="1364" w:hanging="412"/>
        <w:spacing w:after="0"/>
        <w:tabs>
          <w:tab w:leader="none" w:pos="1364"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Closing Statement;</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69" w:right="459" w:bottom="1440" w:gutter="0" w:footer="0" w:header="0"/>
        </w:sectPr>
      </w:pPr>
    </w:p>
    <w:bookmarkStart w:id="507" w:name="page508"/>
    <w:bookmarkEnd w:id="507"/>
    <w:p>
      <w:pPr>
        <w:ind w:right="140" w:firstLine="948"/>
        <w:spacing w:after="0" w:line="282" w:lineRule="auto"/>
        <w:tabs>
          <w:tab w:leader="none" w:pos="125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agreed form written consent and waiver signed on behalf of Balderton Capital General Partner VI S.L.P acting by its general partner Balderton Capital General Partner VI S.à.r.l;</w:t>
      </w:r>
    </w:p>
    <w:p>
      <w:pPr>
        <w:spacing w:after="0" w:line="53" w:lineRule="exact"/>
        <w:rPr>
          <w:rFonts w:ascii="Times New Roman" w:cs="Times New Roman" w:eastAsia="Times New Roman" w:hAnsi="Times New Roman"/>
          <w:sz w:val="18"/>
          <w:szCs w:val="18"/>
          <w:color w:val="auto"/>
        </w:rPr>
      </w:pPr>
    </w:p>
    <w:p>
      <w:pPr>
        <w:ind w:right="200" w:firstLine="948"/>
        <w:spacing w:after="0" w:line="266" w:lineRule="auto"/>
        <w:tabs>
          <w:tab w:leader="none" w:pos="120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deed of assignment between [***] and the Company that (a) assigns to the Company or the Buyer (as specified by the Buyer) all right title and interest in, and control of, domain names [***] (the “</w:t>
      </w:r>
      <w:r>
        <w:rPr>
          <w:rFonts w:ascii="Times New Roman" w:cs="Times New Roman" w:eastAsia="Times New Roman" w:hAnsi="Times New Roman"/>
          <w:sz w:val="18"/>
          <w:szCs w:val="18"/>
          <w:b w:val="1"/>
          <w:bCs w:val="1"/>
          <w:color w:val="auto"/>
        </w:rPr>
        <w:t>Domain Names</w:t>
      </w:r>
      <w:r>
        <w:rPr>
          <w:rFonts w:ascii="Times New Roman" w:cs="Times New Roman" w:eastAsia="Times New Roman" w:hAnsi="Times New Roman"/>
          <w:sz w:val="18"/>
          <w:szCs w:val="18"/>
          <w:color w:val="auto"/>
        </w:rPr>
        <w:t>”), and (b) contains further assurance provisions to give effect to such assignment of the Domain Names, in a form acceptable to the Buyer;</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share certificate, in agreed form, representing the Sale Shares to be issued by the Company in favour of the Buyer;</w:t>
      </w:r>
    </w:p>
    <w:p>
      <w:pPr>
        <w:spacing w:after="0" w:line="11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counterparts of the Option Holder’s Side Letters duly executed by each of [***]; and</w:t>
      </w:r>
    </w:p>
    <w:p>
      <w:pPr>
        <w:spacing w:after="0" w:line="117" w:lineRule="exact"/>
        <w:rPr>
          <w:rFonts w:ascii="Times New Roman" w:cs="Times New Roman" w:eastAsia="Times New Roman" w:hAnsi="Times New Roman"/>
          <w:sz w:val="18"/>
          <w:szCs w:val="18"/>
          <w:color w:val="auto"/>
        </w:rPr>
      </w:pPr>
    </w:p>
    <w:p>
      <w:pPr>
        <w:ind w:right="380" w:firstLine="948"/>
        <w:spacing w:after="0" w:line="282" w:lineRule="auto"/>
        <w:tabs>
          <w:tab w:leader="none" w:pos="135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of termination between the Company and each of the Sellers in respect of a subscription and shareholders’ agreement dated 20 June 2019 (as amended), in agreed form and duly executed as a deed.</w:t>
      </w:r>
    </w:p>
    <w:p>
      <w:pPr>
        <w:spacing w:after="0" w:line="53"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deliver, or cause to be delivered, to the Sellers:</w:t>
      </w:r>
    </w:p>
    <w:p>
      <w:pPr>
        <w:spacing w:after="0" w:line="117" w:lineRule="exact"/>
        <w:rPr>
          <w:rFonts w:ascii="Times New Roman" w:cs="Times New Roman" w:eastAsia="Times New Roman" w:hAnsi="Times New Roman"/>
          <w:sz w:val="18"/>
          <w:szCs w:val="18"/>
          <w:color w:val="auto"/>
        </w:rPr>
      </w:pPr>
    </w:p>
    <w:p>
      <w:pPr>
        <w:jc w:val="both"/>
        <w:ind w:right="80" w:firstLine="948"/>
        <w:spacing w:after="0" w:line="312" w:lineRule="auto"/>
        <w:tabs>
          <w:tab w:leader="none" w:pos="1167"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Shares (which shall be evidenced by Buyer entering into its electronic stock ledger the name of each Seller and the number and type of Consideration Shares set forth opposite each Seller’s name on Schedule I within fifteen (15) days following the Closing);</w:t>
      </w:r>
    </w:p>
    <w:p>
      <w:pPr>
        <w:spacing w:after="0" w:line="31" w:lineRule="exact"/>
        <w:rPr>
          <w:rFonts w:ascii="Times New Roman" w:cs="Times New Roman" w:eastAsia="Times New Roman" w:hAnsi="Times New Roman"/>
          <w:sz w:val="17"/>
          <w:szCs w:val="17"/>
          <w:color w:val="auto"/>
        </w:rPr>
      </w:pPr>
    </w:p>
    <w:p>
      <w:pPr>
        <w:ind w:left="1220" w:hanging="272"/>
        <w:spacing w:after="0"/>
        <w:tabs>
          <w:tab w:leader="none" w:pos="122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Upfront Cash Consideration;</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Current Asset Consideration;</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counterparts of the Stockholder Agreements and Vesting Agreement;</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counterparts of the Option Holder’s Side Letters duly executed by the Buyer; and</w:t>
      </w:r>
    </w:p>
    <w:p>
      <w:pPr>
        <w:spacing w:after="0" w:line="117" w:lineRule="exact"/>
        <w:rPr>
          <w:rFonts w:ascii="Times New Roman" w:cs="Times New Roman" w:eastAsia="Times New Roman" w:hAnsi="Times New Roman"/>
          <w:sz w:val="18"/>
          <w:szCs w:val="18"/>
          <w:color w:val="auto"/>
        </w:rPr>
      </w:pPr>
    </w:p>
    <w:p>
      <w:pPr>
        <w:ind w:firstLine="948"/>
        <w:spacing w:after="0" w:line="261" w:lineRule="auto"/>
        <w:tabs>
          <w:tab w:leader="none" w:pos="125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Buyer’s board of directors (A) authorizing the execution and delivery of this Agreement and the consummation of the transactions contemplated hereby, (B) approving the issuance of the Consideration Shares to the Sellers, and (C) approving, the entry into the electronic stock ledger of the Buyer the names of the Sellers as the holders of the Consideration Shares and the making of such entries into other corporate records of the Buyer as may be necessary.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69" w:right="459" w:bottom="1440" w:gutter="0" w:footer="0" w:header="0"/>
        </w:sectPr>
      </w:pPr>
    </w:p>
    <w:bookmarkStart w:id="508" w:name="page509"/>
    <w:bookmarkEnd w:id="508"/>
    <w:p>
      <w:pPr>
        <w:ind w:left="1220" w:hanging="253"/>
        <w:spacing w:after="0"/>
        <w:tabs>
          <w:tab w:leader="none" w:pos="12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Closing, each Seller, as applicable, shall deliver, or cause to be delivered, to Buyer each of the following:</w:t>
      </w:r>
    </w:p>
    <w:p>
      <w:pPr>
        <w:spacing w:after="0" w:line="117" w:lineRule="exact"/>
        <w:rPr>
          <w:rFonts w:ascii="Times New Roman" w:cs="Times New Roman" w:eastAsia="Times New Roman" w:hAnsi="Times New Roman"/>
          <w:sz w:val="18"/>
          <w:szCs w:val="18"/>
          <w:color w:val="auto"/>
        </w:rPr>
      </w:pPr>
    </w:p>
    <w:p>
      <w:pPr>
        <w:ind w:left="420" w:right="40" w:firstLine="948"/>
        <w:spacing w:after="0" w:line="261" w:lineRule="auto"/>
        <w:tabs>
          <w:tab w:leader="none" w:pos="158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stock transfer form, in agreed form, transferring its Sale Shares as set forth in the relevant Sellers’ Letters to Buyer (or its nominee) together with the share certificate(s) issued by the Company representing such Sale Shares; provided, that, if such Seller cannot deliver such original share certificate(s) they shall instead deliver to Buyer (or its nominee) an indemnity with respect to such certificate(s) in customary form;</w:t>
      </w:r>
    </w:p>
    <w:p>
      <w:pPr>
        <w:spacing w:after="0" w:line="71" w:lineRule="exact"/>
        <w:rPr>
          <w:rFonts w:ascii="Times New Roman" w:cs="Times New Roman" w:eastAsia="Times New Roman" w:hAnsi="Times New Roman"/>
          <w:sz w:val="18"/>
          <w:szCs w:val="18"/>
          <w:color w:val="auto"/>
        </w:rPr>
      </w:pPr>
    </w:p>
    <w:p>
      <w:pPr>
        <w:ind w:left="420" w:firstLine="948"/>
        <w:spacing w:after="0" w:line="282" w:lineRule="auto"/>
        <w:tabs>
          <w:tab w:leader="none" w:pos="163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 of attorney or otherwise a certificate evidencing authority (each in agreed form) under which this Agreement (and/or any document entered into in connection with the transactions contemplated by this Agreement) has been entered into by any Seller;</w:t>
      </w:r>
    </w:p>
    <w:p>
      <w:pPr>
        <w:spacing w:after="0" w:line="53" w:lineRule="exact"/>
        <w:rPr>
          <w:rFonts w:ascii="Times New Roman" w:cs="Times New Roman" w:eastAsia="Times New Roman" w:hAnsi="Times New Roman"/>
          <w:sz w:val="18"/>
          <w:szCs w:val="18"/>
          <w:color w:val="auto"/>
        </w:rPr>
      </w:pPr>
    </w:p>
    <w:p>
      <w:pPr>
        <w:ind w:left="420" w:right="500" w:firstLine="948"/>
        <w:spacing w:after="0" w:line="282" w:lineRule="auto"/>
        <w:tabs>
          <w:tab w:leader="none" w:pos="168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Form W-9, Form W-8BEN-E, Form W-8BEN or Form W-8IMY, as applicable, in form and substance acceptable to Buyer;</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counterpart of the Stockholder Agreements and Vesting Agreement;</w:t>
      </w:r>
    </w:p>
    <w:p>
      <w:pPr>
        <w:spacing w:after="0" w:line="117"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waivers or consents as the Buyer may require to enable the Buyer to be registered as holders of the Shares;</w:t>
      </w:r>
    </w:p>
    <w:p>
      <w:pPr>
        <w:spacing w:after="0" w:line="117" w:lineRule="exact"/>
        <w:rPr>
          <w:rFonts w:ascii="Times New Roman" w:cs="Times New Roman" w:eastAsia="Times New Roman" w:hAnsi="Times New Roman"/>
          <w:sz w:val="18"/>
          <w:szCs w:val="18"/>
          <w:color w:val="auto"/>
        </w:rPr>
      </w:pPr>
    </w:p>
    <w:p>
      <w:pPr>
        <w:ind w:left="420" w:right="500" w:firstLine="948"/>
        <w:spacing w:after="0" w:line="282" w:lineRule="auto"/>
        <w:tabs>
          <w:tab w:leader="none" w:pos="167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Seller was an Option Holder, on or prior to Closing, signed notice to the Company (in agreed form) exercising such Option Holder’s Company Share Option(s) in accordance with the terms of such Company Share Option(s);</w:t>
      </w:r>
    </w:p>
    <w:p>
      <w:pPr>
        <w:spacing w:after="0" w:line="53" w:lineRule="exact"/>
        <w:rPr>
          <w:rFonts w:ascii="Times New Roman" w:cs="Times New Roman" w:eastAsia="Times New Roman" w:hAnsi="Times New Roman"/>
          <w:sz w:val="18"/>
          <w:szCs w:val="18"/>
          <w:color w:val="auto"/>
        </w:rPr>
      </w:pPr>
    </w:p>
    <w:p>
      <w:pPr>
        <w:jc w:val="both"/>
        <w:ind w:left="420" w:firstLine="948"/>
        <w:spacing w:after="0" w:line="266" w:lineRule="auto"/>
        <w:tabs>
          <w:tab w:leader="none" w:pos="172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Seller was an Option Holder and a director or employee of the Company or Affiliate, a timely and duly executed election in accordance with Section 431 of ITEPA 2003 in respect of the Sale Shares acquired by him/her on exercise of his/her Company Share Option(s); and</w:t>
      </w:r>
    </w:p>
    <w:p>
      <w:pPr>
        <w:spacing w:after="0" w:line="67" w:lineRule="exact"/>
        <w:rPr>
          <w:rFonts w:ascii="Times New Roman" w:cs="Times New Roman" w:eastAsia="Times New Roman" w:hAnsi="Times New Roman"/>
          <w:sz w:val="18"/>
          <w:szCs w:val="18"/>
          <w:color w:val="auto"/>
        </w:rPr>
      </w:pPr>
    </w:p>
    <w:p>
      <w:pPr>
        <w:ind w:left="420" w:right="360" w:firstLine="948"/>
        <w:spacing w:after="0" w:line="282" w:lineRule="auto"/>
        <w:tabs>
          <w:tab w:leader="none" w:pos="177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Seller is a director or employee of the Company or Affiliate, a timely and duly executed election in accordance with Section 431 of ITEPA 2003 in respect of the Consideration Shares acquired or to be acquired by him/her.</w:t>
      </w:r>
    </w:p>
    <w:p>
      <w:pPr>
        <w:spacing w:after="0" w:line="53" w:lineRule="exact"/>
        <w:rPr>
          <w:rFonts w:ascii="Times New Roman" w:cs="Times New Roman" w:eastAsia="Times New Roman" w:hAnsi="Times New Roman"/>
          <w:sz w:val="18"/>
          <w:szCs w:val="18"/>
          <w:color w:val="auto"/>
        </w:rPr>
      </w:pPr>
    </w:p>
    <w:p>
      <w:pPr>
        <w:ind w:left="-20" w:right="120" w:firstLine="987"/>
        <w:spacing w:after="0" w:line="253" w:lineRule="auto"/>
        <w:tabs>
          <w:tab w:leader="none" w:pos="122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the Upfront Cash Consideration and Estimated Net Current Asset Consideration shall be made in United States Dollars by electronic transfer of immediately available funds to the Founders’ Solicitors Account (and the Founders’ Solicitors are irrevocably authorized by the Sellers to receive the same). The payment to the Founders’ Solicitors Account of the Upfront Cash Consideration and Estimated Net Current Asset Consideration will satisfy and discharge the Buyer’s obligations with respect to the payment thereof in their entirety subject to Section 4.8, and the Buyer will have no further obligation, liability or responsibility with respect to the payment and allocation of the Upfront Cash Consideration and Estimated Net Current Asset Consideration to the Sellers. The payment by the Founders’ Solicitors to each Seller of their Pro Rata Percentage of Upfront Cash Consideration and Estimated Net Current Asset Consideration as set out in the Consideration Schedule shall be discharged by the Founders’ Solicitors giving an instruction to their bank to send the relevant Pro Rata Percentage of Upfront Cash Consideration and Estimated Net Current Asset Consideration to the nominated bank account of each Seller, details of which have been notified by the Sellers to the Sellers’ Representatives prior to the date of this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60" w:top="269" w:right="479" w:bottom="1440" w:gutter="0" w:footer="0" w:header="0"/>
        </w:sectPr>
      </w:pPr>
    </w:p>
    <w:bookmarkStart w:id="509" w:name="page510"/>
    <w:bookmarkEnd w:id="509"/>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Voting Power Pending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firstLine="987"/>
        <w:spacing w:after="0" w:line="282" w:lineRule="auto"/>
        <w:tabs>
          <w:tab w:leader="none" w:pos="117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Closing each Seller irrevocably and unconditionally appoints Buyer as its lawful agent and attorney to exercise all rights which the Seller may have in its/his/her capacity as registered holder of its/his/her Sale Shares including (but not limited to) any right to:</w:t>
      </w:r>
    </w:p>
    <w:p>
      <w:pPr>
        <w:spacing w:after="0" w:line="67" w:lineRule="exact"/>
        <w:rPr>
          <w:rFonts w:ascii="Times New Roman" w:cs="Times New Roman" w:eastAsia="Times New Roman" w:hAnsi="Times New Roman"/>
          <w:sz w:val="18"/>
          <w:szCs w:val="18"/>
          <w:color w:val="auto"/>
        </w:rPr>
      </w:pPr>
    </w:p>
    <w:p>
      <w:pPr>
        <w:ind w:left="1900" w:right="600" w:hanging="533"/>
        <w:spacing w:after="0" w:line="282" w:lineRule="auto"/>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attend and vote at, any meeting of the shareholders of the Company (or any class thereof) or at any adjourned meeting of the shareholders of the Company (or any class thereof);</w:t>
      </w:r>
    </w:p>
    <w:p>
      <w:pPr>
        <w:spacing w:after="0" w:line="67" w:lineRule="exact"/>
        <w:rPr>
          <w:rFonts w:ascii="Times New Roman" w:cs="Times New Roman" w:eastAsia="Times New Roman" w:hAnsi="Times New Roman"/>
          <w:sz w:val="18"/>
          <w:szCs w:val="18"/>
          <w:color w:val="auto"/>
        </w:rPr>
      </w:pPr>
    </w:p>
    <w:p>
      <w:pPr>
        <w:ind w:left="1900" w:hanging="533"/>
        <w:spacing w:after="0"/>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any proxy to attend and vote at any meeting of the shareholders of the Company (or any class thereof);</w:t>
      </w:r>
    </w:p>
    <w:p>
      <w:pPr>
        <w:spacing w:after="0" w:line="130" w:lineRule="exact"/>
        <w:rPr>
          <w:rFonts w:ascii="Times New Roman" w:cs="Times New Roman" w:eastAsia="Times New Roman" w:hAnsi="Times New Roman"/>
          <w:sz w:val="18"/>
          <w:szCs w:val="18"/>
          <w:color w:val="auto"/>
        </w:rPr>
      </w:pPr>
    </w:p>
    <w:p>
      <w:pPr>
        <w:ind w:left="1900" w:hanging="533"/>
        <w:spacing w:after="0"/>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meeting of the shareholders of the Company (or any class thereof) being held on short notice;</w:t>
      </w:r>
    </w:p>
    <w:p>
      <w:pPr>
        <w:spacing w:after="0" w:line="130" w:lineRule="exact"/>
        <w:rPr>
          <w:rFonts w:ascii="Times New Roman" w:cs="Times New Roman" w:eastAsia="Times New Roman" w:hAnsi="Times New Roman"/>
          <w:sz w:val="18"/>
          <w:szCs w:val="18"/>
          <w:color w:val="auto"/>
        </w:rPr>
      </w:pPr>
    </w:p>
    <w:p>
      <w:pPr>
        <w:ind w:left="1900" w:hanging="533"/>
        <w:spacing w:after="0"/>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variation of any rights attaching to any class of Sale Share;</w:t>
      </w:r>
    </w:p>
    <w:p>
      <w:pPr>
        <w:spacing w:after="0" w:line="130" w:lineRule="exact"/>
        <w:rPr>
          <w:rFonts w:ascii="Times New Roman" w:cs="Times New Roman" w:eastAsia="Times New Roman" w:hAnsi="Times New Roman"/>
          <w:sz w:val="18"/>
          <w:szCs w:val="18"/>
          <w:color w:val="auto"/>
        </w:rPr>
      </w:pPr>
    </w:p>
    <w:p>
      <w:pPr>
        <w:ind w:left="1900" w:hanging="533"/>
        <w:spacing w:after="0"/>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resolution of the shareholders of the Company (or any class thereof) proposed by way of written resolution;</w:t>
      </w:r>
    </w:p>
    <w:p>
      <w:pPr>
        <w:spacing w:after="0" w:line="130" w:lineRule="exact"/>
        <w:rPr>
          <w:rFonts w:ascii="Times New Roman" w:cs="Times New Roman" w:eastAsia="Times New Roman" w:hAnsi="Times New Roman"/>
          <w:sz w:val="18"/>
          <w:szCs w:val="18"/>
          <w:color w:val="auto"/>
        </w:rPr>
      </w:pPr>
    </w:p>
    <w:p>
      <w:pPr>
        <w:ind w:left="1900" w:right="480" w:hanging="533"/>
        <w:spacing w:after="0" w:line="282" w:lineRule="auto"/>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give directions in respect of, any dividends, moneys, securities, benefits, notices or communications (in whatever form) in respect of the Sale Shares,</w:t>
      </w:r>
    </w:p>
    <w:p>
      <w:pPr>
        <w:spacing w:after="0" w:line="53"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Closing each Seller undertakes:</w:t>
      </w:r>
    </w:p>
    <w:p>
      <w:pPr>
        <w:spacing w:after="0" w:line="130" w:lineRule="exact"/>
        <w:rPr>
          <w:rFonts w:ascii="Times New Roman" w:cs="Times New Roman" w:eastAsia="Times New Roman" w:hAnsi="Times New Roman"/>
          <w:sz w:val="18"/>
          <w:szCs w:val="18"/>
          <w:color w:val="auto"/>
        </w:rPr>
      </w:pPr>
    </w:p>
    <w:p>
      <w:pPr>
        <w:ind w:left="1900" w:hanging="533"/>
        <w:spacing w:after="0"/>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exercise any rights attaching to its/his/her Sale Shares other than on the express written instruction of Buyer;</w:t>
      </w:r>
    </w:p>
    <w:p>
      <w:pPr>
        <w:spacing w:after="0" w:line="130" w:lineRule="exact"/>
        <w:rPr>
          <w:rFonts w:ascii="Times New Roman" w:cs="Times New Roman" w:eastAsia="Times New Roman" w:hAnsi="Times New Roman"/>
          <w:sz w:val="18"/>
          <w:szCs w:val="18"/>
          <w:color w:val="auto"/>
        </w:rPr>
      </w:pPr>
    </w:p>
    <w:p>
      <w:pPr>
        <w:ind w:left="1900" w:right="60" w:hanging="533"/>
        <w:spacing w:after="0" w:line="266" w:lineRule="auto"/>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on trust for Buyer and to notify promptly Buyer of anything received by it/him/her after Closing in his capacity as holder of any Sale Shares, and to act promptly in accordance with Buyer’s instructions to the fullest extent permitted by law in relation to any such thing; and</w:t>
      </w:r>
    </w:p>
    <w:p>
      <w:pPr>
        <w:spacing w:after="0" w:line="81" w:lineRule="exact"/>
        <w:rPr>
          <w:rFonts w:ascii="Times New Roman" w:cs="Times New Roman" w:eastAsia="Times New Roman" w:hAnsi="Times New Roman"/>
          <w:sz w:val="18"/>
          <w:szCs w:val="18"/>
          <w:color w:val="auto"/>
        </w:rPr>
      </w:pPr>
    </w:p>
    <w:p>
      <w:pPr>
        <w:ind w:left="1900" w:right="500" w:hanging="533"/>
        <w:spacing w:after="0" w:line="282" w:lineRule="auto"/>
        <w:tabs>
          <w:tab w:leader="none" w:pos="19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whatever Buyer lawfully does or causes to be done under the authority or purported authority of the power of attorney conferred by Section 4.3(a).</w:t>
      </w:r>
    </w:p>
    <w:p>
      <w:pPr>
        <w:spacing w:after="0" w:line="53" w:lineRule="exact"/>
        <w:rPr>
          <w:rFonts w:ascii="Times New Roman" w:cs="Times New Roman" w:eastAsia="Times New Roman" w:hAnsi="Times New Roman"/>
          <w:sz w:val="18"/>
          <w:szCs w:val="18"/>
          <w:color w:val="auto"/>
        </w:rPr>
      </w:pPr>
    </w:p>
    <w:p>
      <w:pPr>
        <w:ind w:left="-60" w:right="60" w:firstLine="987"/>
        <w:spacing w:after="0" w:line="261" w:lineRule="auto"/>
        <w:tabs>
          <w:tab w:leader="none" w:pos="117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of attorney conferred by Section 4.3(a) are given to secure the proprietary interests of Buyer in the Sale Shares with effect from Closing and are irrevocable unless revoked with the prior written consent of Buyer. Such power of attorney shall terminate (without prejudice to anything done by Buyer before termination) on the date on which Buyer (or its nominee) is entered in the register of members of the Company as the legal holder of the relevant Sale Shares.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500" w:top="269" w:right="499" w:bottom="1440" w:gutter="0" w:footer="0" w:header="0"/>
        </w:sectPr>
      </w:pPr>
    </w:p>
    <w:bookmarkStart w:id="510" w:name="page511"/>
    <w:bookmarkEnd w:id="5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Company Share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87"/>
        <w:spacing w:after="0" w:line="266" w:lineRule="auto"/>
        <w:tabs>
          <w:tab w:leader="none" w:pos="12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permit any Company Share Option that is outstanding and is not exercised at or immediately prior to the Effective Time, whether or not vested, to be exercised following the Effective Time, and no consideration shall be delivered in exchange for any such Company Share Option.</w:t>
      </w:r>
    </w:p>
    <w:p>
      <w:pPr>
        <w:spacing w:after="0" w:line="67"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the Board of Directors of the Company shall adopt such resolutions or take such other actions (including by delivering any required notices) as may be required pursuant to the Company Share Plans to effect the transactions described in this Section 4.4 as of the Effective Time. The Company shall terminate all Company Share Plans as of the Effective Time and ensure that from and after the Effective Time there are no outstanding rights to acquire Company Capital Stock pursuant to the Company Share Plans.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Consideration Shares and Share Certificate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issue to each Seller the aggregate number and type of Consideration Shares comprising the aggregate Share Consideration to which such Seller is entitled pursuant to Section 4.2(b)(i) with respect to its Sale Shares as set out in relevant Sellers Consideration Letters, which aggregate number of Consideration Shares shall be rounded up to the nearest whole share (no fractional shares of Buyer Common Stock shall be issued). All shares of Buyer Common Stock issued to the Sellers hereunder shall be recorded in book entry form in Buyer’s electronic stock ledger. </w:t>
      </w:r>
    </w:p>
    <w:p>
      <w:pPr>
        <w:spacing w:after="0" w:line="7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Buyer shall be permitted to rely, without further inquiry, on the Consideration Schedule in delivering any Consideration Shares to the Sellers under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Sellers’ Representatives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987"/>
        <w:spacing w:after="0" w:line="261"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irrevocably approves the constitution and appointment of, and hereby irrevocably constitutes and appoints Robert Ian Horobin and Miriam Cha as the exclusive, true and lawful agents, representatives and attorneys-in-fact of all Sellers and each of them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with authority, for and on behalf of each Seller to take such actions and exercise such discretions as may be required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this Agreement and any related document or instrument, including but not limited to the following:</w:t>
      </w:r>
    </w:p>
    <w:p>
      <w:pPr>
        <w:spacing w:after="0" w:line="71" w:lineRule="exact"/>
        <w:rPr>
          <w:rFonts w:ascii="Times New Roman" w:cs="Times New Roman" w:eastAsia="Times New Roman" w:hAnsi="Times New Roman"/>
          <w:sz w:val="18"/>
          <w:szCs w:val="18"/>
          <w:color w:val="auto"/>
        </w:rPr>
      </w:pPr>
    </w:p>
    <w:p>
      <w:pPr>
        <w:ind w:left="440" w:right="240" w:firstLine="948"/>
        <w:spacing w:after="0" w:line="282" w:lineRule="auto"/>
        <w:tabs>
          <w:tab w:leader="none" w:pos="160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for the Sellers with regard to all matters pertaining to indemnification under this Agreement, including the power to defend, compromise, or settle any claims and to otherwise prosecute or pursue any litigation claims;</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5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amendments, waivers, ancillary agreements, certificates and documents that the Sellers’ Representatives deem necessary or appropriate in connection with the consummation of the transactions contemplated by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9" w:right="459" w:bottom="1440" w:gutter="0" w:footer="0" w:header="0"/>
        </w:sectPr>
      </w:pPr>
    </w:p>
    <w:bookmarkStart w:id="511" w:name="page512"/>
    <w:bookmarkEnd w:id="511"/>
    <w:p>
      <w:pPr>
        <w:ind w:left="444" w:right="20" w:firstLine="948"/>
        <w:spacing w:after="0" w:line="312" w:lineRule="auto"/>
        <w:tabs>
          <w:tab w:leader="none" w:pos="1711"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 or refrain from doing any further act or deed on behalf of the Sellers that the Sellers’ Representatives deem necessary or appropriate in their discretion relating to the subject matter of this Agreement as fully and completely as the Sellers could do if personally present;</w:t>
      </w:r>
    </w:p>
    <w:p>
      <w:pPr>
        <w:spacing w:after="0" w:line="31" w:lineRule="exact"/>
        <w:rPr>
          <w:rFonts w:ascii="Times New Roman" w:cs="Times New Roman" w:eastAsia="Times New Roman" w:hAnsi="Times New Roman"/>
          <w:sz w:val="17"/>
          <w:szCs w:val="17"/>
          <w:color w:val="auto"/>
        </w:rPr>
      </w:pPr>
    </w:p>
    <w:p>
      <w:pPr>
        <w:ind w:left="1704" w:hanging="312"/>
        <w:spacing w:after="0"/>
        <w:tabs>
          <w:tab w:leader="none" w:pos="170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or receive notices to be given or received by the Sellers under this Agreement; and</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service of process in connection with any claims under this Agreement;</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provided that, the Sellers Representatives shall not have the authority, for or on behalf of any Seller, to take any actions or exercise any discretion with respect to a claim by Buyer against an individual Seller relating to a breach by such Seller of any of its representations or warranties set forth in Article 7 including any indemnification of such breach under Section 9.2 or for any breach by a Seller of the covenants given by such Seller in Section 8.4 or Section 8.5.</w:t>
      </w:r>
    </w:p>
    <w:p>
      <w:pPr>
        <w:spacing w:after="0" w:line="180"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Except as stated above in relation to Article 7, all actions, notices, communications and determinations by or on behalf of the Sellers in connection with this Agreement shall be given or made by the Sellers’ Representatives and all such actions, notices, communications and determinations by the Sellers’ Representatives shall conclusively be deemed to have been authorized by, and shall be binding upon, any of and all Sellers, and no Seller shall have the right to object, dissent, protest or otherwise contest the same.</w:t>
      </w:r>
    </w:p>
    <w:p>
      <w:pPr>
        <w:spacing w:after="0" w:line="72" w:lineRule="exact"/>
        <w:rPr>
          <w:sz w:val="20"/>
          <w:szCs w:val="20"/>
          <w:color w:val="auto"/>
        </w:rPr>
      </w:pPr>
    </w:p>
    <w:p>
      <w:pPr>
        <w:ind w:left="4" w:right="20" w:firstLine="987"/>
        <w:spacing w:after="0" w:line="256" w:lineRule="auto"/>
        <w:tabs>
          <w:tab w:leader="none" w:pos="125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the Sellers’ Representatives resigns, dies or becomes legally incapacitated, a majority of the Sellers, based on their Pro Rata Percentages, promptly shall designate in writing to Buyer a Person to fill the vacancy as the successor Sellers’ Representative. If at any time there shall not be any Person serving as the Sellers’ Representatives and the Sellers fail to designate a successor in accordance with the foregoing provisions within thirty (30) calendar days, then Buyer may have a court of competent jurisdiction appoint a Sellers’ Representative hereunder. A majority of the Sellers, based on their Pro Rata Percentages, may also replace any Person comprising the Sellers’ Representatives from time to time and for any reason upon at least ten days’ prior written notice to Buyer.</w:t>
      </w:r>
    </w:p>
    <w:p>
      <w:pPr>
        <w:spacing w:after="0" w:line="79"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40"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Sellers’ Representatives shall not be paid any fee for services to be rendered hereunder but shall be entitled to reimbursement from the Sellers (severally but not jointly in accordance with their Pro Rata Percentage) of all of its out-of-pocket costs and expenses incurred as the Sellers’ Representatives. In connection with this Agreement and any other Contract, certificate or other document in connection with this Agreement, and in exercising or failing to exercise all or any of the powers conferred on the Sellers’ Representatives under this Agreement, (i) to the extent consistent with the scope if his powers set forth herein, the Sellers’ Representatives shall incur no responsibility or liability whatsoever to any Seller by reason of any error in judgment or other act or omission performed or omitted under this Agreement, or any other Contract, certificate or other document in connection with this Agreement, except for responsibility or liability directly resulting from a Sellers’ Representative’s gross negligence or fraud, and</w:t>
      </w:r>
    </w:p>
    <w:p>
      <w:pPr>
        <w:spacing w:after="0" w:line="2" w:lineRule="exact"/>
        <w:rPr>
          <w:rFonts w:ascii="Times New Roman" w:cs="Times New Roman" w:eastAsia="Times New Roman" w:hAnsi="Times New Roman"/>
          <w:sz w:val="17"/>
          <w:szCs w:val="17"/>
          <w:color w:val="auto"/>
        </w:rPr>
      </w:pPr>
    </w:p>
    <w:p>
      <w:pPr>
        <w:ind w:left="4" w:right="760" w:hanging="4"/>
        <w:spacing w:after="0" w:line="260" w:lineRule="auto"/>
        <w:tabs>
          <w:tab w:leader="none" w:pos="26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Representatives shall be entitled to rely on the advice of counsel, public accountants or other independent experts, in each case experienced in the matter at issue, and any error in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9" w:right="45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 or other act or omission of the Sellers’ Representatives pursuant to such advice shall in no event subject the Sellers’ Representatives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Liability to any Seller. Each Seller shall, severally and not jointly, on a pro rata basis (based on such Seller’s Pro Rata Percentage) indemnify the Sellers’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from and against any and all losses, liabilities, damages, claims, penalties, fines, forfeitures, actions, fees, costs and expenses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fees and expenses of counsel and experts and their staffs and all expense of document location, duplication and shipment)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 Losses</w:t>
      </w:r>
      <w:r>
        <w:rPr>
          <w:rFonts w:ascii="Times New Roman" w:cs="Times New Roman" w:eastAsia="Times New Roman" w:hAnsi="Times New Roman"/>
          <w:sz w:val="18"/>
          <w:szCs w:val="18"/>
          <w:color w:val="auto"/>
        </w:rPr>
        <w:t>”) arising out of or in connection with the Sellers’ Representatives’ execution and performance of this Agreement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agreements ancillary hereto, in each case as such Representative Losses are suffered or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such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are finally adjudicated to have been directly caused by the gross negligence or fraud of a Sellers’ Representative, the Sellers’ Representative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 the Sellers the amount of such indemnified Representative Loss to the extent attributable to such gross negligence or fraud.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anything in this Agreement to the contrary, any restrictions or limitations on liability or indemnification obligations of the Sellers set forth elsewhere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are not intended to be applicable to the indemnities provided to the Sellers’ Representatives under this Section 4.6(c).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indemnities will survive the Closing, the resignation or removal of the Sellers’ Representatives or the termination of this Agreement. 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shall not be obliged to incur any fees, expenses or other liabilities in their capacity as Sellers Representatives under this Section 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Sellers have contributed to such fees, expenses or other liabilities in their Pro Rata Percentage unless the Sellers Representatives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writing.</w:t>
      </w:r>
    </w:p>
    <w:p>
      <w:pPr>
        <w:spacing w:after="0" w:line="99" w:lineRule="exact"/>
        <w:rPr>
          <w:sz w:val="20"/>
          <w:szCs w:val="20"/>
          <w:color w:val="auto"/>
        </w:rPr>
      </w:pPr>
    </w:p>
    <w:p>
      <w:pPr>
        <w:ind w:right="20" w:firstLine="987"/>
        <w:spacing w:after="0" w:line="253" w:lineRule="auto"/>
        <w:tabs>
          <w:tab w:leader="none" w:pos="124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Sellers’ Representatives shall treat confidentially any nonpublic information disclosed to it pursuant to this Agreement and shall not use such nonpublic information other than in the performance of its duties as the Sellers’ Representative. In addition, each of the Sellers’ Representatives shall not disclose any nonpublic information disclosed to it pursuant to this Agreement to anyone except as required by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Sellers’ Representatives may disclose such nonpublic information to legal counsel and other advisors under an obligation of confidentiality and non-use in its capacity as such (for the purpose of advising the Sellers on any information disclosed to such Sellers’ Representative pursuant to this Agreement), (ii) the Sellers’ Representatives (or legal counsel or other advisor to whom information is disclosed pursuant to clause (i) above) may disclose such nonpublic information in any Action or investigation relating to this Agreement or the transactions contemplated hereby (or, in either case, discussion in preparation therefor) any information disclosed to the Sellers’ Representatives pursuant to this Agreement and (iii) the Sellers’ Representatives may disclose to any Seller any information disclosed to the Sellers’ Representatives subject to such Seller agreeing with the Sellers’ Representatives in writing to restrictions on the disclosure and use of such information consistent with the restrictions to which the Sellers’ Representatives is subject.</w:t>
      </w:r>
    </w:p>
    <w:p>
      <w:pPr>
        <w:spacing w:after="0" w:line="83"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entitled to rely on the authority of the Sellers’ Representatives (as evidenced by an instrument in writing signed by the Sellers’ Representatives) as the agent, representative and attorney-in-fact of the Sellers for all purposes under this Agreement and shall have no Liability for any such reliance. No Seller may revoke the authority of the Sellers’ Representatives. Each Seller hereby ratifies and confirms, and hereby agrees to ratify and confirm, any action taken by the Sellers’ Representatives in the exercise of the power-of-attorney granted to the Sellers’ Representatives pursuant to this Section 4.6, which power-of-attorney, being coupled with an interest, is irrevocable and shall survive the death, incapacity or incompetence of such Seller.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9" w:right="459" w:bottom="1440" w:gutter="0" w:footer="0" w:header="0"/>
        </w:sectPr>
      </w:pPr>
    </w:p>
    <w:bookmarkStart w:id="513" w:name="page514"/>
    <w:bookmarkEnd w:id="513"/>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4.7.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Notwithstanding anything herein to the contrary, the Buyer will be entitled to deduct and withhold from any consideration otherwise payable pursuant to this Agreement (including any amounts payable upon repayment of a Promissory Note), such amounts as may be required to be deducted and withheld with respect to the making of such payment under applicable Law. To the extent that amounts are so deducted or withheld, such deducted or withheld amounts shall be remitted by Buyer to the applicable Governmental Entity and will be treated for all purposes of this Agreement as having been paid 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Closing Statement Adjustment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87"/>
        <w:spacing w:after="0" w:line="282" w:lineRule="auto"/>
        <w:tabs>
          <w:tab w:leader="none" w:pos="12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delivered an Estimated Closing Statement to the Buyer on the date of this Agreement. Not later than thirty (30) days after the Closing Date, Buyer shall deliver to the Sellers’ Representatives a draft Closing Statement (“</w:t>
      </w:r>
      <w:r>
        <w:rPr>
          <w:rFonts w:ascii="Times New Roman" w:cs="Times New Roman" w:eastAsia="Times New Roman" w:hAnsi="Times New Roman"/>
          <w:sz w:val="18"/>
          <w:szCs w:val="18"/>
          <w:i w:val="1"/>
          <w:iCs w:val="1"/>
          <w:color w:val="auto"/>
        </w:rPr>
        <w:t>Draft Closing Statement</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Closing Statement shall become final and binding upon Buyer and the Sellers on the date (the “</w:t>
      </w:r>
      <w:r>
        <w:rPr>
          <w:rFonts w:ascii="Times New Roman" w:cs="Times New Roman" w:eastAsia="Times New Roman" w:hAnsi="Times New Roman"/>
          <w:sz w:val="18"/>
          <w:szCs w:val="18"/>
          <w:i w:val="1"/>
          <w:iCs w:val="1"/>
          <w:color w:val="auto"/>
        </w:rPr>
        <w:t>Settlement Date</w:t>
      </w:r>
      <w:r>
        <w:rPr>
          <w:rFonts w:ascii="Times New Roman" w:cs="Times New Roman" w:eastAsia="Times New Roman" w:hAnsi="Times New Roman"/>
          <w:sz w:val="18"/>
          <w:szCs w:val="18"/>
          <w:color w:val="auto"/>
        </w:rPr>
        <w:t>”) that is the earlier of (i) the date that the Sellers’ Representatives deliver written notice to Buyer that they agree to the contents of the Draft Closing Statement and accept the Draft Closing Statement as final; and (ii) the date that is thirty (30) days following receipt of the Draft Closing Statement by the Sellers’ Representatives, in each case, unless the Sellers’ Representatives give written notice of the Sellers’ Representatives’ disagreement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Disagreement</w:t>
      </w:r>
      <w:r>
        <w:rPr>
          <w:rFonts w:ascii="Times New Roman" w:cs="Times New Roman" w:eastAsia="Times New Roman" w:hAnsi="Times New Roman"/>
          <w:sz w:val="18"/>
          <w:szCs w:val="18"/>
          <w:color w:val="auto"/>
        </w:rPr>
        <w:t>”) which shall specify in reasonable detail (A) each matter or item in dispute and (B) each matter or item not in dispute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which the Sellers’ Representatives consider should be made to the Draft Closing Statement to Buyer prior to such date. At all times, the Sellers’ Representatives shall be entitled to have reasonable access to the books and records of the Company and the working papers of Buyer prepared specifically in connection with calculations set forth in the Draft Closing Statement and, upon reasonable prior notice, shall be entitled to discuss such books and records and working papers, and the calculation thereof, with Buyer and those Persons responsible for the preparation thereof.</w:t>
      </w:r>
    </w:p>
    <w:p>
      <w:pPr>
        <w:spacing w:after="0" w:line="82"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Disagreement is tendered in accordance with the terms hereof, then the Draft Closing Statement (as revised in accordance with this Section 4.8(c), if applicable) shall become final and binding on Buyer and the Sellers on, and the Settlement Date shall be, the earlier of: (i) the date upon which the Sellers’ Representatives and Buyer agree in writing with respect to all matters specified in the Notice of Disagreement; and (ii) the date upon which the Draft Closing Statement (as revised in accordance with this Section 4.8(c), if applicable) is issued by the Independent Accounting Firm. During the first thirty (30) days following the date upon which Buyer receives a Notice of Disagreement, the Sellers’ Representatives and Buyer shall attempt in good faith to resolve the differences that they may have with respect to the matters set forth in the Notice of Disagreement. If at the end of such thirty (30) day period Buyer and the Sellers’ Representatives have not reached agreement on such matters unless the period has been extended in writing by Buyer and the Sellers’ Representatives, the matters that remain in dispute shall be submitted to the Independent Accounting Firm for determination. Except for the purpose of engaging the Independent Accounting Firm, none of Buyer, Sellers, the Sellers’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9" w:right="459" w:bottom="1440" w:gutter="0" w:footer="0" w:header="0"/>
        </w:sectPr>
      </w:pPr>
    </w:p>
    <w:bookmarkStart w:id="514" w:name="page515"/>
    <w:bookmarkEnd w:id="514"/>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Representatives, the Company, or their Affiliates shall make any ex parte contact with the Independent Accounting Firm. As promptly as practicable (but in no event more than thirty (30) days) after the retention of the Independent Accounting Firm, Buyer and the Sellers’ Representatives shall each prepare and submit a presentation to the Independent Accounting Firm regarding their positions on the disputed matters. As soon as practicable thereafter, but in any event within thirty (30) days after the Sellers’ Representatives and Buyer submit in writing (or have had the opportunity to submit in writing but have not submitted) their positions as to the disputed matters, the Independent Accounting Firm shall determine the amount of each item in dispute, which shall include an explanation in writing of the Independent Accounting Firm’s reasons for the determinations set forth therein. In making their determination, the Independent Accounting Firm shall act as an expert and not as an arbitrator and shall address only those matters in dispute, which such matters shall be determined on the merits of the matters submitted. The decision of the Independent Accounting Firm shall be final and binding on Buyer and the Sellers except in the case of manifest error. The costs, fees and expenses of the Independent Accounting Firm in connection with the Independent Accounting Firm’s review pursuant to this Section 4.8(c), shall be borne equally by Buyer on the one hand and the Sellers on the other hand. The Closing Statement, as finally determined pursuant to Sections 4.8(a) to (c) shall be the “</w:t>
      </w:r>
      <w:r>
        <w:rPr>
          <w:rFonts w:ascii="Times New Roman" w:cs="Times New Roman" w:eastAsia="Times New Roman" w:hAnsi="Times New Roman"/>
          <w:sz w:val="18"/>
          <w:szCs w:val="18"/>
          <w:i w:val="1"/>
          <w:iCs w:val="1"/>
          <w:color w:val="auto"/>
        </w:rPr>
        <w:t>Final Closing Statement</w:t>
      </w:r>
      <w:r>
        <w:rPr>
          <w:rFonts w:ascii="Times New Roman" w:cs="Times New Roman" w:eastAsia="Times New Roman" w:hAnsi="Times New Roman"/>
          <w:sz w:val="18"/>
          <w:szCs w:val="18"/>
          <w:color w:val="auto"/>
        </w:rPr>
        <w:t>”. The Independent Accounting Firm shall conduct its determination in a manner wherein all materials submitted to it are held in confidence and shall not be disclosed to third parties. The Parties agree that the determination of the Independent Accounting Firm shall be final and binding on the Parties and the Settlement Date shall be the date on which the Final Closing Statement has been finalized by the Independent Accounting Firm.</w:t>
      </w:r>
    </w:p>
    <w:p>
      <w:pPr>
        <w:spacing w:after="0" w:line="197"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Final Closing Statement</w:t>
      </w:r>
      <w:r>
        <w:rPr>
          <w:rFonts w:ascii="Times New Roman" w:cs="Times New Roman" w:eastAsia="Times New Roman" w:hAnsi="Times New Roman"/>
          <w:sz w:val="18"/>
          <w:szCs w:val="18"/>
          <w:color w:val="auto"/>
        </w:rPr>
        <w:t xml:space="preserve">. In the event that the difference of (x) the Net Current Asset Consideration reflected in the Final Closing Statement,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Estimated Net Current Asset Consideration:</w:t>
      </w:r>
    </w:p>
    <w:p>
      <w:pPr>
        <w:spacing w:after="0" w:line="52" w:lineRule="exact"/>
        <w:rPr>
          <w:sz w:val="20"/>
          <w:szCs w:val="20"/>
          <w:color w:val="auto"/>
        </w:rPr>
      </w:pPr>
    </w:p>
    <w:p>
      <w:pPr>
        <w:ind w:right="380" w:firstLine="987"/>
        <w:spacing w:after="0" w:line="267" w:lineRule="auto"/>
        <w:tabs>
          <w:tab w:leader="none" w:pos="123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negative number (the “</w:t>
      </w:r>
      <w:r>
        <w:rPr>
          <w:rFonts w:ascii="Times New Roman" w:cs="Times New Roman" w:eastAsia="Times New Roman" w:hAnsi="Times New Roman"/>
          <w:sz w:val="18"/>
          <w:szCs w:val="18"/>
          <w:i w:val="1"/>
          <w:iCs w:val="1"/>
          <w:color w:val="auto"/>
        </w:rPr>
        <w:t>Shortfall</w:t>
      </w:r>
      <w:r>
        <w:rPr>
          <w:rFonts w:ascii="Times New Roman" w:cs="Times New Roman" w:eastAsia="Times New Roman" w:hAnsi="Times New Roman"/>
          <w:sz w:val="18"/>
          <w:szCs w:val="18"/>
          <w:color w:val="auto"/>
        </w:rPr>
        <w:t>”), at the election of the Buyer, either (i) the Sellers shall pay their Pro Rata Percentage of the amount of the Shortfall to the Buyer or (ii) the Buyer shall be entitled to cancel a number of Consideration Shares held by each Seller equal to such Seller’s Pro Rata Percentage of such Shortfall, divided by the Per Share Value; or</w:t>
      </w:r>
    </w:p>
    <w:p>
      <w:pPr>
        <w:spacing w:after="0" w:line="65" w:lineRule="exact"/>
        <w:rPr>
          <w:rFonts w:ascii="Times New Roman" w:cs="Times New Roman" w:eastAsia="Times New Roman" w:hAnsi="Times New Roman"/>
          <w:sz w:val="18"/>
          <w:szCs w:val="18"/>
          <w:color w:val="auto"/>
        </w:rPr>
      </w:pPr>
    </w:p>
    <w:p>
      <w:pPr>
        <w:ind w:right="260" w:firstLine="987"/>
        <w:spacing w:after="0" w:line="284" w:lineRule="auto"/>
        <w:tabs>
          <w:tab w:leader="none" w:pos="124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positive number (the “</w:t>
      </w:r>
      <w:r>
        <w:rPr>
          <w:rFonts w:ascii="Times New Roman" w:cs="Times New Roman" w:eastAsia="Times New Roman" w:hAnsi="Times New Roman"/>
          <w:sz w:val="18"/>
          <w:szCs w:val="18"/>
          <w:i w:val="1"/>
          <w:iCs w:val="1"/>
          <w:color w:val="auto"/>
        </w:rPr>
        <w:t>Excess</w:t>
      </w:r>
      <w:r>
        <w:rPr>
          <w:rFonts w:ascii="Times New Roman" w:cs="Times New Roman" w:eastAsia="Times New Roman" w:hAnsi="Times New Roman"/>
          <w:sz w:val="18"/>
          <w:szCs w:val="18"/>
          <w:color w:val="auto"/>
        </w:rPr>
        <w:t>”), the Buyer shall pay the Excess to the Founders’ Solicitors for further distribution to each of the Sellers pursuant to their Pro Rata Percentage in accordance with Section 4.2(d),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within 5 Business Days after agreement or determination of the Final Closing Statement in accordance with Section 4.8.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Buyer as of the date hereof, except as disclosed by the Company in the disclosure letter delivered contemporaneously with this Agreement (the “</w:t>
      </w:r>
      <w:r>
        <w:rPr>
          <w:rFonts w:ascii="Times New Roman" w:cs="Times New Roman" w:eastAsia="Times New Roman" w:hAnsi="Times New Roman"/>
          <w:sz w:val="18"/>
          <w:szCs w:val="18"/>
          <w:i w:val="1"/>
          <w:iCs w:val="1"/>
          <w:color w:val="auto"/>
        </w:rPr>
        <w:t>Disclosure Letter</w:t>
      </w:r>
      <w:r>
        <w:rPr>
          <w:rFonts w:ascii="Times New Roman" w:cs="Times New Roman" w:eastAsia="Times New Roman" w:hAnsi="Times New Roman"/>
          <w:sz w:val="18"/>
          <w:szCs w:val="18"/>
          <w:color w:val="auto"/>
        </w:rPr>
        <w:t>”), as follows: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9" w:right="479" w:bottom="1440" w:gutter="0" w:footer="0" w:header="0"/>
        </w:sectPr>
      </w:pPr>
    </w:p>
    <w:bookmarkStart w:id="515" w:name="page516"/>
    <w:bookmarkEnd w:id="5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 </w:t>
      </w:r>
      <w:r>
        <w:rPr>
          <w:rFonts w:ascii="Times New Roman" w:cs="Times New Roman" w:eastAsia="Times New Roman" w:hAnsi="Times New Roman"/>
          <w:sz w:val="18"/>
          <w:szCs w:val="18"/>
          <w:u w:val="single" w:color="auto"/>
          <w:color w:val="auto"/>
        </w:rPr>
        <w:t>Organization and Standing; No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 corporation duly incorporated and validly existing under the Laws of England and Wales; (ii) has all requisite corporate power and authority and possesses all governmental licenses, permits, authorizations and approvals necessary to enable it to use its corporate or other name and to own or lease or otherwise hold and operate its assets and properties and to carry on its business as being conducted as of the date of this Agreement and (iii) is duly qualified, licensed or registered to do business in each jurisdiction in which the nature of its business or the ownership, leasing or operation of its properties makes such qualification, licensing or registration necessary (except where such failure to be so qualified, licensed or registered would not reasonably be expected to result in a Material Adverse Change). The Company has made available to Buyer true, complete and correct copies of its Constitutive Documents, as amended. The Company has made available to Buyer true, complete and correct copies of the stock certificates, statutory books and the minute books of the Company. The Company is not in violation of any of the provisions of its Constitutive Documents.</w:t>
      </w:r>
    </w:p>
    <w:p>
      <w:pPr>
        <w:spacing w:after="0" w:line="80"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does not own any Capital Stock of, or any equity interest of any nature in, any other Person, and (ii) is not a participant in any joint venture, partnership or similar arrangement.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Power and Authority; Binding Agreement; Insolvency</w:t>
      </w:r>
      <w:r>
        <w:rPr>
          <w:rFonts w:ascii="Times New Roman" w:cs="Times New Roman" w:eastAsia="Times New Roman" w:hAnsi="Times New Roman"/>
          <w:sz w:val="18"/>
          <w:szCs w:val="18"/>
          <w:color w:val="auto"/>
        </w:rPr>
        <w:t>. The Company has all requisite corporate power and authority to execute, deliver and perform this Agreement and to consummate the transactions contemplated hereby and to perform its obligations hereunder. The execution and delivery by the Company of this Agreement and the consummation by the Company of the transactions contemplated hereby have been duly authorized by all necessary corporate action on the part of the Company, and no other proceedings on the part of the Company are necessary to authorize this Agreement or to consummate the transactions contemplated hereby. This Agreement has been duly executed and delivered by the Company and, assuming due authorization, execution and delivery by the other parties thereto, constitutes a valid, legal and binding obligation of the Company, enforceable against the Company in accordance with its terms, subject to applicable bankruptcy, insolvency, reorganization, fraudulent transfer, moratorium or similar Laws affecting creditors’ rights generally and general principles of equity. The Company is not insolvent under any Laws applicable to it, nor unable to pay its debts as they fall due, nor has it stopped paying its debts as they fall due, nor has any arrangement (whether by court proceedings or otherwise) been proposed under which its creditors (or any group of them) could receive less than the amounts due to them nor are any proceedings in relation to any compromise or arrangement with creditors, any winding up, bankruptcy or other insolvency proceedings concerning it (or any of its assets or interests) current, pending or threatened.</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6" w:lineRule="auto"/>
        <w:tabs>
          <w:tab w:leader="none" w:pos="12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of the allotted and issued Company Capital Stock as of the date hereof consists of (i)64,244 shares of Company Ordinary Shares and (ii) 17,898 shares of Seed Preferred Shares. The Sale Shares and the Seed Preferred Shares constitute the entire issued and to be issued share capital of the Company, are the whole of the allotted and issued shares of Company Capital Stock and have been duly authorized and validly issued, and are fully paid up and no sum is outstanding in respect of any Sale Share. Save for the Sale Shares and the Seed Preferred Shares, no Relevant Securities exist in respect of the Company (nor is there any agreement or arrangement for the creation, constitution, grant or issuance of any Relevant Securities in respect of the Company (other than the Sale Shares and the Seed Preferred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9" w:right="459" w:bottom="1440" w:gutter="0" w:footer="0" w:header="0"/>
        </w:sectPr>
      </w:pPr>
    </w:p>
    <w:bookmarkStart w:id="516" w:name="page517"/>
    <w:bookmarkEnd w:id="516"/>
    <w:p>
      <w:pPr>
        <w:ind w:left="4" w:firstLine="987"/>
        <w:spacing w:after="0" w:line="254" w:lineRule="auto"/>
        <w:tabs>
          <w:tab w:leader="none" w:pos="125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5.3(b) of the Disclosure Letter sets forth as of the date hereof a complete and accurate list of the holders of Company Capital Stock, showing the number of shares of such Capital Stock, and the class or series of such shares, held by each such shareholder and, with respect to shares other than Company Ordinary Shares, the number of shares of Company Ordinary Shares (if any) into which such shares are convertible. The Company holds no shares of Company Capital Stock in its treasury. All of the allotted and issued shares of Company Capital Stock have been offered, validly issued and sold by the Company in compliance and accordance with, and no transfer (or purported transfer) of any shares of Company Capital Stock has been made at any time in breach of, all applicable securities Laws and the Company’s articles of association. To the Company’s knowledge, the shares of Company Capital Stock owned as of the date hereof by each record holder listed on Section 5.3(b) of the Disclosure Letter are owned free and clear of all Liens except for restrictions on transfer under customary shareholder agreements between the holder thereof and the Company and under applicable securities Laws.</w:t>
      </w:r>
    </w:p>
    <w:p>
      <w:pPr>
        <w:spacing w:after="0" w:line="80"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5.3(c) of the Disclosure Letter sets forth as of the date hereof a complete and accurate list of all holders of outstanding Company Share Options, indicating, with respect to each Company Share Option, the Company Share Plan under which it was granted, the number of shares of Company Ordinary Shares subject to such Company Share Option, the exercise price, the date of grant, and the vesting schedule (including any acceleration provisions with respect thereto). Section 5.3(c) of the Disclosure Letter sets forth, as of the date hereof, a complete and accurate list of all Company Share Plans, indicating for each Company Share Plan the number of shares of Company Ordinary Shares issued thereunder, the number of shares of Company Ordinary Shares subject to outstanding options thereunder and the number of shares of Company Ordinary Shares reserved for future issuance thereunder. Except as set forth on Section 5.3(c) of the Disclosure Letter, there is no allotted or issued Company Share Option that has not been granted under a Company Share Plan. No Company Share Option is exercisable for any class or series of Company Capital Stock other than Company Ordinary Shares. Each Company Share Option (i) was granted in compliance with all applicable Laws and all terms and conditions of the applicable Company Share Plan and (ii) has an exercise price per share of Company Ordinary Share equal to or greater than the fair market value of a share of Company Ordinary Share on the date of such grant.</w:t>
      </w:r>
    </w:p>
    <w:p>
      <w:pPr>
        <w:spacing w:after="0" w:line="83" w:lineRule="exact"/>
        <w:rPr>
          <w:rFonts w:ascii="Times New Roman" w:cs="Times New Roman" w:eastAsia="Times New Roman" w:hAnsi="Times New Roman"/>
          <w:sz w:val="18"/>
          <w:szCs w:val="18"/>
          <w:color w:val="auto"/>
        </w:rPr>
      </w:pPr>
    </w:p>
    <w:p>
      <w:pPr>
        <w:jc w:val="both"/>
        <w:ind w:left="4" w:right="120" w:firstLine="987"/>
        <w:spacing w:after="0" w:line="272" w:lineRule="auto"/>
        <w:tabs>
          <w:tab w:leader="none" w:pos="1250"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this Section 5.3 or in Section 5.3(d) of the Disclosure Letter, (i) there are no allotted or issued options, warrants, rights (including conversion or preemptive rights and rights of first refusal or similar rights) or agreements, orally or in writing, to purchase or acquire from the Company any shares of Company Capital Stock, or any securities convertible into or exchangeable for shares of Company Capital Stock,</w:t>
      </w:r>
    </w:p>
    <w:p>
      <w:pPr>
        <w:spacing w:after="0" w:line="1" w:lineRule="exact"/>
        <w:rPr>
          <w:rFonts w:ascii="Times New Roman" w:cs="Times New Roman" w:eastAsia="Times New Roman" w:hAnsi="Times New Roman"/>
          <w:sz w:val="17"/>
          <w:szCs w:val="17"/>
          <w:color w:val="auto"/>
        </w:rPr>
      </w:pPr>
    </w:p>
    <w:p>
      <w:pPr>
        <w:ind w:left="4" w:right="240" w:hanging="4"/>
        <w:spacing w:after="0" w:line="252" w:lineRule="auto"/>
        <w:tabs>
          <w:tab w:leader="none" w:pos="26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obligation (contingent or otherwise) to purchase, redeem or otherwise acquire any shares of Capital Stock, or other equity or voting interest in, the Company or any other Person or to pay any dividend or to make any other distribution in respect of its Capital Stock, (iii) the Company has not at any time purchased, redeemed or repaid any of the Company Capital Stock or otherwise agreed to reduce any class of its issued share capital or carried out any transaction having the effect of a reduction of capital, and (iv) there are no allotted, issued or authorized stock appreciation rights, phantom stock awards or other rights that are linked in any way to the price of the Company Capital Stock or the value of the Company or any part thereof.</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9" w:right="479" w:bottom="1440" w:gutter="0" w:footer="0" w:header="0"/>
        </w:sectPr>
      </w:pPr>
    </w:p>
    <w:bookmarkStart w:id="517" w:name="page518"/>
    <w:bookmarkEnd w:id="5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the consummation of the transactions contemplated hereunder and the compliance by the Company with the provisions of this Agreement, do not and will not conflict with, or result in any violation or breach of, or default (with or without notice or lapse of time or both) under, or give rise to a right of, or result in, termination, cancellation or acceleration of any obligation or to a loss of a benefit under, or result in the creation of any Lien other than Permitted Liens in or upon any of the properties or assets of the Company, or give rise to any increased, additional, accelerated or guaranteed rights or entitlements under, any provision of (i) the Constitutive Documents of the Company, (ii) any Contract to which the Company is a party or bound by or by which its assets or properties are bound or under which the Company has rights or benefits or (iii) any Law or Judgment applicable to the Company or its assets or properties, other than, in the case of clauses (ii) and (iii) above, any such items that, individually or in the aggregate, would not reasonably be expected to be material to the Company.</w:t>
      </w:r>
    </w:p>
    <w:p>
      <w:pPr>
        <w:spacing w:after="0" w:line="8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qualification, order or authorization of, registration, declaration or filing with, or notice to, any Governmental Entity is necessary or required by or with respect to the Company in connection with the execution and delivery by the Company of this Agreement, the consummation by the Company of the transactions contemplated by this Agreement or the compliance by the Company with the provisions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6" w:lineRule="auto"/>
        <w:tabs>
          <w:tab w:leader="none" w:pos="12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at all times conducted its business and affairs in all material respects in accordance and compliance with all Laws and Judgments of any Governmental Entity applicable to it or to the conduct by the Company of its business, or the ownership or use of any of its assets and properties. To the knowledge of the Company, there is no order, decree or judgment of any Governmental Entity or authority outstanding or pending against the Company (or any person for whose acts the Company is vicariously liable) and the Company has not received a written or oral notice or other communication alleging a possible violation by the Company of any applicable Law or Judgment of any Governmental Entity applicable to its businesses or operations.</w:t>
      </w:r>
    </w:p>
    <w:p>
      <w:pPr>
        <w:spacing w:after="0" w:line="79"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validly holds and has in full force and effect all material Permits necessary for it to own, lease or operate its assets and properties and to carry on its businesses as now conducted, and there has occurred no material violation of, or default (with or without notice or lapse of time or both) under, or event giving to any Governmental Entity any right of termination, amendment or cancellation of, any such Permit. The Company has complied in all material respects with the terms and conditions of all Permits issued to or held by the Company, and such Permits will not be subject to suspension, modification, revocation or nonrenewal as a result of the execution and delivery of this Agreement or the consummation of the transactions contemplated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9" w:right="459" w:bottom="1440" w:gutter="0" w:footer="0" w:header="0"/>
        </w:sectPr>
      </w:pPr>
    </w:p>
    <w:bookmarkStart w:id="518" w:name="page519"/>
    <w:bookmarkEnd w:id="5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Section 5.6 of the Disclosure Letter sets forth the unaudited balance sheet of the Company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December 2020 (such date, the “</w:t>
      </w:r>
      <w:r>
        <w:rPr>
          <w:rFonts w:ascii="Times New Roman" w:cs="Times New Roman" w:eastAsia="Times New Roman" w:hAnsi="Times New Roman"/>
          <w:sz w:val="18"/>
          <w:szCs w:val="18"/>
          <w:i w:val="1"/>
          <w:iCs w:val="1"/>
          <w:color w:val="auto"/>
        </w:rPr>
        <w:t>Most Recent Balance Sheet Date</w:t>
      </w:r>
      <w:r>
        <w:rPr>
          <w:rFonts w:ascii="Times New Roman" w:cs="Times New Roman" w:eastAsia="Times New Roman" w:hAnsi="Times New Roman"/>
          <w:sz w:val="18"/>
          <w:szCs w:val="18"/>
          <w:color w:val="auto"/>
        </w:rPr>
        <w:t>”), together with the related unaudited statements of income, profit and loss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shareholders equity for the fiscal year then ended, together with the footnotes thereto (collectively, the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 have been prepared from the books and records of the Company and are consistent with the books and records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all material respects and (b) present fairly, in all material respects, the financial condition, results of operations, shareholders’ equity and cash flows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of the respective dates thereof and for the periods referred to therein except that the unaudited financial statements do not contain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footnotes and are subject to normal year-end adjustments.</w:t>
      </w:r>
    </w:p>
    <w:p>
      <w:pPr>
        <w:spacing w:after="0" w:line="20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Absence of Changes or Events</w:t>
      </w:r>
      <w:r>
        <w:rPr>
          <w:rFonts w:ascii="Times New Roman" w:cs="Times New Roman" w:eastAsia="Times New Roman" w:hAnsi="Times New Roman"/>
          <w:sz w:val="18"/>
          <w:szCs w:val="18"/>
          <w:color w:val="auto"/>
        </w:rPr>
        <w:t>. Since the Most Recent Balance Sheet Date and through the date hereof, except as set forth in Section 5.7 of the Disclosure Letter, (a) the Company has conducted its businesses only in the Ordinary Course of Business, (b) there has occurred no Material Adverse Change, nor any change, effect, event, occurrence, state of facts or development that, individually or in the aggregate, would reasonably be expected to result in a Material Adverse Change.</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Except (a) as reflected or reserved against in the Most Recent Balance Sheet, (b) otherwise incurred by the Company in the Ordinary Course of Business since the Most Recent Balance Sheet Date or (c) Liabilities incurred in connection with this Agreement and the transactions contemplated by this Agreement, the Company has no Liabilities other than (i) Liabilities under the executory portion of any Contracts of the Company (other than obligations due to breaches or non-performance under such Contracts) and (ii) Liabilities which are not required by GAAP to be reflected on a balance sheet or disclosed in the notes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66" w:lineRule="auto"/>
        <w:tabs>
          <w:tab w:leader="none" w:pos="12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true and lawful owner and has good and valid title to all assets (tangible or intangible) reflected on the Most Recent Balance Sheet or thereafter acquired by the Company, other than those sold or otherwise disposed of for fair value or consumed in the Ordinary Course of Business since the Most Recent Balance Sheet Date, in each case, free and clear of all Liens, other than Permitted Liens.</w:t>
      </w:r>
    </w:p>
    <w:p>
      <w:pPr>
        <w:spacing w:after="0" w:line="67" w:lineRule="exact"/>
        <w:rPr>
          <w:rFonts w:ascii="Times New Roman" w:cs="Times New Roman" w:eastAsia="Times New Roman" w:hAnsi="Times New Roman"/>
          <w:sz w:val="18"/>
          <w:szCs w:val="18"/>
          <w:color w:val="auto"/>
        </w:rPr>
      </w:pPr>
    </w:p>
    <w:p>
      <w:pPr>
        <w:ind w:right="1220" w:firstLine="987"/>
        <w:spacing w:after="0" w:line="282" w:lineRule="auto"/>
        <w:tabs>
          <w:tab w:leader="none" w:pos="124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rights and assets of the Company are sufficient for the Company to conduct the research, development, commercialization and exploitation of the products and product candidates of the Company as currently conducted.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87"/>
        <w:spacing w:after="0" w:line="282" w:lineRule="auto"/>
        <w:tabs>
          <w:tab w:leader="none" w:pos="12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and has never owned, any title to any land, buildings, structures, easements or other rights and interests appurtenant thereto (“</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and has never been party to, any leases of Real Property.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9" w:right="45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980" w:firstLine="987"/>
        <w:spacing w:after="0" w:line="266" w:lineRule="auto"/>
        <w:tabs>
          <w:tab w:leader="none" w:pos="25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5.11(a) of the Disclosure Letter lists, as of the date hereof, the following Contracts that are in effect and to which the Company is a party or to which it, or any of its assets and properties, is bound (each such Contract and each Contract required to be listed in Section 5.11(a) of the Disclosure Letter, whether or not set forth in such section of the Disclosure Letter, a “</w:t>
      </w:r>
      <w:r>
        <w:rPr>
          <w:rFonts w:ascii="Times New Roman" w:cs="Times New Roman" w:eastAsia="Times New Roman" w:hAnsi="Times New Roman"/>
          <w:sz w:val="18"/>
          <w:szCs w:val="18"/>
          <w:i w:val="1"/>
          <w:iCs w:val="1"/>
          <w:color w:val="auto"/>
        </w:rPr>
        <w:t>Material Contract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40" w:firstLine="948"/>
        <w:spacing w:after="0" w:line="282" w:lineRule="auto"/>
        <w:tabs>
          <w:tab w:leader="none" w:pos="62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consulting Contracts with current and former Company Personnel, other than employment offer letters issued to Company Personnel on the Company’s standard form made available to Buyer without material deviation;</w:t>
      </w:r>
    </w:p>
    <w:p>
      <w:pPr>
        <w:spacing w:after="0" w:line="53"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limit the freedom of the Company or any Affiliate to compete in any line of business or geographic area;</w:t>
      </w:r>
    </w:p>
    <w:p>
      <w:pPr>
        <w:spacing w:after="0" w:line="117" w:lineRule="exact"/>
        <w:rPr>
          <w:rFonts w:ascii="Times New Roman" w:cs="Times New Roman" w:eastAsia="Times New Roman" w:hAnsi="Times New Roman"/>
          <w:sz w:val="18"/>
          <w:szCs w:val="18"/>
          <w:color w:val="auto"/>
        </w:rPr>
      </w:pPr>
    </w:p>
    <w:p>
      <w:pPr>
        <w:ind w:left="-540" w:firstLine="948"/>
        <w:spacing w:after="0" w:line="282" w:lineRule="auto"/>
        <w:tabs>
          <w:tab w:leader="none" w:pos="72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or involving (A) any Seller or any Affiliate (other than the Company) of the Company or of any Seller or (B) any former holder of Company Capital Stock or any Affiliate (other than the Company) thereof;</w:t>
      </w:r>
    </w:p>
    <w:p>
      <w:pPr>
        <w:spacing w:after="0" w:line="53" w:lineRule="exact"/>
        <w:rPr>
          <w:rFonts w:ascii="Times New Roman" w:cs="Times New Roman" w:eastAsia="Times New Roman" w:hAnsi="Times New Roman"/>
          <w:sz w:val="18"/>
          <w:szCs w:val="18"/>
          <w:color w:val="auto"/>
        </w:rPr>
      </w:pPr>
    </w:p>
    <w:p>
      <w:pPr>
        <w:ind w:left="-540" w:right="80" w:firstLine="948"/>
        <w:spacing w:after="0" w:line="258" w:lineRule="auto"/>
        <w:tabs>
          <w:tab w:leader="none" w:pos="71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the purchase or sale of products or the furnishing or receipt of services (other than employment) (A) calling for performance over a period of more than one year, (B) requiring or otherwise involving payment by or to the Company of more than an aggregate of US$[***], (C) in which the Company has granted “most favored nation” pricing provisions or marketing or distribution rights relating to any products or territory or (D) in which the Company has agreed to purchase a minimum quantity of goods or services or has agreed to purchase goods or services exclusively from a certain party;</w:t>
      </w:r>
    </w:p>
    <w:p>
      <w:pPr>
        <w:spacing w:after="0" w:line="75"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any joint venture, partnership, joint product development, strategic alliance or co-marketing arrangement;</w:t>
      </w:r>
    </w:p>
    <w:p>
      <w:pPr>
        <w:spacing w:after="0" w:line="117" w:lineRule="exact"/>
        <w:rPr>
          <w:rFonts w:ascii="Times New Roman" w:cs="Times New Roman" w:eastAsia="Times New Roman" w:hAnsi="Times New Roman"/>
          <w:sz w:val="18"/>
          <w:szCs w:val="18"/>
          <w:color w:val="auto"/>
        </w:rPr>
      </w:pPr>
    </w:p>
    <w:p>
      <w:pPr>
        <w:ind w:left="-540" w:right="160" w:firstLine="948"/>
        <w:spacing w:after="0" w:line="282" w:lineRule="auto"/>
        <w:tabs>
          <w:tab w:leader="none" w:pos="71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 Company has borrowed (or may borrow) any money from, or issued (or may issue) any note, bond, debenture or other evidence of Indebtedness to, any Person;</w:t>
      </w:r>
    </w:p>
    <w:p>
      <w:pPr>
        <w:spacing w:after="0" w:line="53"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involving any mortgage or other Lien other than Permitted Liens upon any real property or other assets;</w:t>
      </w:r>
    </w:p>
    <w:p>
      <w:pPr>
        <w:spacing w:after="0" w:line="11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involving any resolution or settlement of any Action, investigation or other dispute;</w:t>
      </w:r>
    </w:p>
    <w:p>
      <w:pPr>
        <w:spacing w:after="0" w:line="11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engagement letter or similar Contract with any broker, finder or investment banker;</w:t>
      </w:r>
    </w:p>
    <w:p>
      <w:pPr>
        <w:spacing w:after="0" w:line="117"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listed in Section 5.12(b)(i) of the Disclosure Letter; and</w:t>
      </w:r>
    </w:p>
    <w:p>
      <w:pPr>
        <w:spacing w:after="0" w:line="117" w:lineRule="exact"/>
        <w:rPr>
          <w:rFonts w:ascii="Times New Roman" w:cs="Times New Roman" w:eastAsia="Times New Roman" w:hAnsi="Times New Roman"/>
          <w:sz w:val="18"/>
          <w:szCs w:val="18"/>
          <w:color w:val="auto"/>
        </w:rPr>
      </w:pPr>
    </w:p>
    <w:p>
      <w:pPr>
        <w:ind w:left="4440" w:right="40" w:hanging="4032"/>
        <w:spacing w:after="0" w:line="454" w:lineRule="auto"/>
        <w:tabs>
          <w:tab w:leader="none" w:pos="719"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Contracts involving future payments in excess of US$50,000 and not entered into in the Ordinary Course of Business. 34</w:t>
      </w:r>
    </w:p>
    <w:p>
      <w:pPr>
        <w:sectPr>
          <w:pgSz w:w="11900" w:h="16838" w:orient="portrait"/>
          <w:cols w:equalWidth="0" w:num="1">
            <w:col w:w="9960"/>
          </w:cols>
          <w:pgMar w:left="1420" w:top="269" w:right="519" w:bottom="1440" w:gutter="0" w:footer="0" w:header="0"/>
        </w:sectPr>
      </w:pPr>
    </w:p>
    <w:bookmarkStart w:id="520" w:name="page521"/>
    <w:bookmarkEnd w:id="520"/>
    <w:p>
      <w:pPr>
        <w:ind w:left="4" w:right="140" w:firstLine="987"/>
        <w:spacing w:after="0" w:line="253" w:lineRule="auto"/>
        <w:tabs>
          <w:tab w:leader="none" w:pos="125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Material Contract is in full force and effect, and is valid and binding and enforceable in accordance with its terms against the Company and, to the Company’s knowledge, the other parties thereto, subject to applicable bankruptcy, insolvency, reorganization, fraudulent transfer, moratorium or similar Laws affecting creditors’ rights generally and general principles of equity, and has been negotiated in good faith on an “arm’s length” transaction basis. A true, correct and complete copy of each written Material Contract and a true, correct and complete summary of each oral Material Contract have been made available to Buyer. There is no material violation, breach (including anticipatory breach) or default under any Material Contract by the Company or, to the knowledge of the Company, by any other party thereto, and no event has occurred or condition exists that with the lapse of time or the giving of notice or both would constitute a default thereunder by the Company or, to the knowledge of the Company, any other party thereto, and the Company has not received or given notice of any default or claimed or purported or alleged default or state of facts which, with notice or lapse of time or both, would constitute a default on the part of any party in the performance or payment of any Material Contract. No notice, waiver, consent or approval is required (or the lack of which would give rise to a right of termination, cancellation or acceleration of, or entitle any party to accelerate, whether after the giving of notice or lapse of time or both, any obligation under the Material Contracts) under or relating to any Material Contract in connection with the execution, delivery and performance of this Agreement or the consummation of the transactions contemplated hereby and thereby.</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Intellectual Property is either solely and exclusively owned by the Company free and clear of all Liens or validly licensed to the Company. Without limiting the generality of the foregoing, except as set forth in Section 5.12(a) of the Disclosure Letter: (i) no founder of the Company and, to the knowledge of the Company, no current or former Company Personnel has any claim, license, right (whether or not currently exercisable) or interest in or to any Company Intellectual Property that has not been validly and effectively assigned to the Company except, in the case of contractors, for Company Intellectual Property to which the Company has been granted an irrevocable perpetual license by such contractors and</w:t>
      </w:r>
    </w:p>
    <w:p>
      <w:pPr>
        <w:spacing w:after="0" w:line="3" w:lineRule="exact"/>
        <w:rPr>
          <w:rFonts w:ascii="Times New Roman" w:cs="Times New Roman" w:eastAsia="Times New Roman" w:hAnsi="Times New Roman"/>
          <w:sz w:val="18"/>
          <w:szCs w:val="18"/>
          <w:color w:val="auto"/>
        </w:rPr>
      </w:pPr>
    </w:p>
    <w:p>
      <w:pPr>
        <w:ind w:left="4" w:right="160" w:hanging="4"/>
        <w:spacing w:after="0" w:line="255" w:lineRule="auto"/>
        <w:tabs>
          <w:tab w:leader="none" w:pos="26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Company Personnel are in breach of any Contract with any former employer or other Person concerning Intellectual Property or confidentiality, where the cause or nature of the breach arises out of the performance of any services on behalf of the Company related to the development of any Company Intellectual Property.</w:t>
      </w:r>
    </w:p>
    <w:p>
      <w:pPr>
        <w:spacing w:after="0" w:line="77"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5.12(b)(i) of the Disclosure Letter sets forth, as of the date hereof, a true and accurate list of all Contracts relating to any right in, to or under any Company Intellectual Property (including all licenses, options, settlement agreements, coexistence agreements, consent agreements, covenants not to sue and similar rights and immunities, assignments and security interests with respect to Company Intellectual Property) that have been granted to the Company (other than non-exclusive “shrink wrap” or “clickwrap” software licenses for Standard Software). Except as identified on Section 5.12(b)(ii) of the Disclosure Letter, the Company is not a party to or obligated under any Contract, and to Company’s knowledge is not otherwise obligated, to make payments or provide other consideration (in any form, including royalties, milestone payments, and other contingent payments) with respect to any exercise of rights by the Company in, to or under any Company Intellectual Property (other than salaries payable to employees, fees payable to consultants and independent contractors not contingent on or related to use of their work product, fees payable in respect of non-exclusive “shrink wrap” or “clickwrap” software licenses for Standard Software). All monies currently due and payable in connection with such Contracts or other obligations set forth in Section 5.12(b)(ii) of the Disclosure Letter, if any, have been paid in a timely manner.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69" w:right="439" w:bottom="1440" w:gutter="0" w:footer="0" w:header="0"/>
        </w:sectPr>
      </w:pPr>
    </w:p>
    <w:bookmarkStart w:id="521" w:name="page522"/>
    <w:bookmarkEnd w:id="521"/>
    <w:p>
      <w:pPr>
        <w:ind w:left="-20" w:right="120" w:firstLine="987"/>
        <w:spacing w:after="0" w:line="273" w:lineRule="auto"/>
        <w:tabs>
          <w:tab w:leader="none" w:pos="121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5.12(c) of the Disclosure Letter sets forth, as of the date hereof, a complete and accurate list of all Registered Company IP, indicating for each item (as applicable): (i) all current assignees and owners, (ii) all registration numbers, issuance numbers, grant numbers, serial numbers and application numbers, (iii) all filing, registration, issuance, and grant dates, (iv) all jurisdictions in which such Registered Company IP has been or is registered, granted, issued or in which registrations, grants or issuances have been applied for (and in the case of domain names, the registrar and registrant of such domain names), and (v) all filing, maintenance and other deadlines occurring within 120 days of the date hereof. Section 5.12(c) of the Disclosure Letter additionally sets forth, as of the date hereof, an accurate and complete list of all Company Intellectual Property for which an application for registration, filing, certification, grant or issuance is in preparation by or in the name of the Company as of the date hereof.</w:t>
      </w:r>
    </w:p>
    <w:p>
      <w:pPr>
        <w:spacing w:after="0" w:line="63" w:lineRule="exact"/>
        <w:rPr>
          <w:rFonts w:ascii="Times New Roman" w:cs="Times New Roman" w:eastAsia="Times New Roman" w:hAnsi="Times New Roman"/>
          <w:sz w:val="17"/>
          <w:szCs w:val="17"/>
          <w:color w:val="auto"/>
        </w:rPr>
      </w:pPr>
    </w:p>
    <w:p>
      <w:pPr>
        <w:ind w:left="-20" w:firstLine="987"/>
        <w:spacing w:after="0" w:line="256" w:lineRule="auto"/>
        <w:tabs>
          <w:tab w:leader="none" w:pos="122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patent and patent application listed in Section 5.12(c) of the Disclosure Letter properly identifies all inventors thereof, (ii) each inventor of each such patent or patent application has executed a valid and enforceable written agreement assigning all of such inventor’s rights, title, and interests in and to such patent or patent application (and the inventions and discoveries claimed or otherwise disclosed therein) to the Company or applicable licensor of the Company and all such assignments have been timely and properly filed with the appropriate Governmental Entity, and (iii) to the Company’s knowledge, the compliance by each such inventor with each such written agreement does not conflict with any of such inventor’s obligations to third Persons.</w:t>
      </w:r>
    </w:p>
    <w:p>
      <w:pPr>
        <w:spacing w:after="0" w:line="79" w:lineRule="exact"/>
        <w:rPr>
          <w:rFonts w:ascii="Times New Roman" w:cs="Times New Roman" w:eastAsia="Times New Roman" w:hAnsi="Times New Roman"/>
          <w:sz w:val="18"/>
          <w:szCs w:val="18"/>
          <w:color w:val="auto"/>
        </w:rPr>
      </w:pPr>
    </w:p>
    <w:p>
      <w:pPr>
        <w:ind w:left="-20" w:right="400" w:firstLine="987"/>
        <w:spacing w:after="0" w:line="312" w:lineRule="auto"/>
        <w:tabs>
          <w:tab w:leader="none" w:pos="121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Registered Company IP, all filing, issuance, extension, renewal, and maintenance fees and other fees have been timely paid, and, with respect to all material Registered Company IP, all filings to date have been timely filed (taking into account extensions).</w:t>
      </w:r>
    </w:p>
    <w:p>
      <w:pPr>
        <w:spacing w:after="0" w:line="31" w:lineRule="exact"/>
        <w:rPr>
          <w:rFonts w:ascii="Times New Roman" w:cs="Times New Roman" w:eastAsia="Times New Roman" w:hAnsi="Times New Roman"/>
          <w:sz w:val="17"/>
          <w:szCs w:val="17"/>
          <w:color w:val="auto"/>
        </w:rPr>
      </w:pPr>
    </w:p>
    <w:p>
      <w:pPr>
        <w:ind w:left="-20" w:right="160" w:firstLine="987"/>
        <w:spacing w:after="0" w:line="254" w:lineRule="auto"/>
        <w:tabs>
          <w:tab w:leader="none" w:pos="119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Registered Company IP is (i) subsisting in all applicable jurisdictions where such Registered Company IP Rights have been registered, filed, certified, granted or issued and (ii) to the Company’s knowledge, valid and enforceable. To the Company’s knowledge, there are no facts or circumstances that would reasonably be likely to provide a basis for an abandonment, invalidity, unenforceability or inventorship claim by a third Person with respect to the Registered Company IP. None of the Registered Company IP has expired, lapsed, been abandoned or forfeited, or been declared invalid or unenforceable, in whole or in part, by any Governmental Entity. No Registered Company IP is subject to any pending or to the knowledge of the Company threatened interference, inventorship dispute, reissue, reexamination, opposition, concurrent use, cancellation, invalidity,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post-grant or other similar proceeding. None of the Company Intellectual Property is subject to any outstanding Judgment,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or other disposition of any dispute where the Company is a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60" w:top="269" w:right="459" w:bottom="1440" w:gutter="0" w:footer="0" w:header="0"/>
        </w:sectPr>
      </w:pPr>
    </w:p>
    <w:bookmarkStart w:id="522" w:name="page523"/>
    <w:bookmarkEnd w:id="522"/>
    <w:p>
      <w:pPr>
        <w:ind w:right="120" w:firstLine="987"/>
        <w:spacing w:after="0" w:line="268" w:lineRule="auto"/>
        <w:tabs>
          <w:tab w:leader="none" w:pos="1246"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Company’s knowledge, no third Person is or has been Infringing any Company Intellectual Property. No claims, complaints, suits, or proceedings regarding any matter described in the preceding sentence have been asserted in writing or threatened against any Person by the Company. The Company has taken all reasonable measures commensurate with the age, size and resources of the Company to maintain, protect, and preserve the security, confidentiality, value and ownership of all confidential information included in the Company Intellectual Property and all other non-public Company Intellectual Property, including Company Intellectual Property that is or is intended to be a trade secret (“</w:t>
      </w:r>
      <w:r>
        <w:rPr>
          <w:rFonts w:ascii="Times New Roman" w:cs="Times New Roman" w:eastAsia="Times New Roman" w:hAnsi="Times New Roman"/>
          <w:sz w:val="17"/>
          <w:szCs w:val="17"/>
          <w:i w:val="1"/>
          <w:iCs w:val="1"/>
          <w:color w:val="auto"/>
        </w:rPr>
        <w:t>Confidential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including by requiring all current and former employees and consultants, and any other Person who has had Company authorized access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any time to any Confidential Company Information to execute and deliver to the Company a written Contract that includes customary confidentiality and restriction on use terms (collectively, “</w:t>
      </w:r>
      <w:r>
        <w:rPr>
          <w:rFonts w:ascii="Times New Roman" w:cs="Times New Roman" w:eastAsia="Times New Roman" w:hAnsi="Times New Roman"/>
          <w:sz w:val="17"/>
          <w:szCs w:val="17"/>
          <w:i w:val="1"/>
          <w:iCs w:val="1"/>
          <w:color w:val="auto"/>
        </w:rPr>
        <w:t>Confidentiality Agreements</w:t>
      </w:r>
      <w:r>
        <w:rPr>
          <w:rFonts w:ascii="Times New Roman" w:cs="Times New Roman" w:eastAsia="Times New Roman" w:hAnsi="Times New Roman"/>
          <w:sz w:val="17"/>
          <w:szCs w:val="17"/>
          <w:color w:val="auto"/>
        </w:rPr>
        <w:t>”). To the Company’s knowledge, no current or former employees or consultants are, and no other Person is, in violation in any material respect of any such Confidentiality Agreements. The Company has obtained from (i) each of its current Company Personnel and (ii) all former Company Personnel or other Persons who are or were involved in, or who have participated in or contributed to, the conception, creation, development, reduction to practice, improvement to or modification of any of the Company Intellectual Property, a written Contract that, to the extent is legally possible, assigns solely and exclusively to the Company all rights, title and interests in and to any and all Intellectual Property arising out of or relating to such Person’s activities with respect to the Company’s business. To the Company’s knowledge, no Company Personnel are, and no other Person is, in violation in any material respect of any such invention assignment agreements.</w:t>
      </w:r>
    </w:p>
    <w:p>
      <w:pPr>
        <w:spacing w:after="0" w:line="75" w:lineRule="exact"/>
        <w:rPr>
          <w:rFonts w:ascii="Times New Roman" w:cs="Times New Roman" w:eastAsia="Times New Roman" w:hAnsi="Times New Roman"/>
          <w:sz w:val="17"/>
          <w:szCs w:val="17"/>
          <w:color w:val="auto"/>
        </w:rPr>
      </w:pPr>
    </w:p>
    <w:p>
      <w:pPr>
        <w:ind w:right="40" w:firstLine="987"/>
        <w:spacing w:after="0" w:line="254" w:lineRule="auto"/>
        <w:tabs>
          <w:tab w:leader="none" w:pos="124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conduct of the business of the Company as currently conducted and as currently proposed to be conducted by the Company, has not Infringed, does not infringe, and will not Infringe any Intellectual Property of any third Person. To the knowledge of the Company, the Company has not received any claim, notice, “cease and desist” letter, offer, invitation to obtain a license, threat or similar written correspondence from any Person (i) alleging that the conduct of the business of the Company as currently conducted and as currently proposed to be conducted by the Company, and the practice of the Company Intellectual Property in connection therewith, Infringes or will Infringe the Intellectual Property of any Person or (ii) challenging the inventorship, ownership, validity, enforceability, priority, scope, use, right to use, or registrability, right to register, right or use, transferability, or ownership of any of the Company Intellectual Property and, to the Company’s knowledge, there are no grounds for the same.</w:t>
      </w:r>
    </w:p>
    <w:p>
      <w:pPr>
        <w:spacing w:after="0" w:line="83" w:lineRule="exact"/>
        <w:rPr>
          <w:rFonts w:ascii="Times New Roman" w:cs="Times New Roman" w:eastAsia="Times New Roman" w:hAnsi="Times New Roman"/>
          <w:sz w:val="18"/>
          <w:szCs w:val="18"/>
          <w:color w:val="auto"/>
        </w:rPr>
      </w:pPr>
    </w:p>
    <w:p>
      <w:pPr>
        <w:ind w:firstLine="987"/>
        <w:spacing w:after="0" w:line="255" w:lineRule="auto"/>
        <w:tabs>
          <w:tab w:leader="none" w:pos="120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commercially reasonable steps commensurate with the age, size and resources of the Company to ensure the continued operation of the Software and Business Data material to the operation of the Company’s business as currently conducted, as well as all of its computers and other information technology infrastructure and assets material to the operation of the Company’s business (collectively, the “</w:t>
      </w:r>
      <w:r>
        <w:rPr>
          <w:rFonts w:ascii="Times New Roman" w:cs="Times New Roman" w:eastAsia="Times New Roman" w:hAnsi="Times New Roman"/>
          <w:sz w:val="18"/>
          <w:szCs w:val="18"/>
          <w:i w:val="1"/>
          <w:iCs w:val="1"/>
          <w:color w:val="auto"/>
        </w:rPr>
        <w:t>IT Assets</w:t>
      </w:r>
      <w:r>
        <w:rPr>
          <w:rFonts w:ascii="Times New Roman" w:cs="Times New Roman" w:eastAsia="Times New Roman" w:hAnsi="Times New Roman"/>
          <w:sz w:val="18"/>
          <w:szCs w:val="18"/>
          <w:color w:val="auto"/>
        </w:rPr>
        <w:t>”), and to protect the security and confidentiality of its IT Assets and the information and records stored on or accessed or transmitted using the IT Assets. The IT Assets of the Company operate and perform in all material respects as is necessary and sufficient for the conduct of the business of the Company as currently conducted. To the Company’s knowledge, the material IT Assets are free from malicious code and do not contain any bugs, errors, vulnerabilities or problems that, in each case, would be expected to materially adversely affect the operation or use of any such material IT Assets. (1)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69" w:right="439" w:bottom="1440" w:gutter="0" w:footer="0" w:header="0"/>
        </w:sectPr>
      </w:pPr>
    </w:p>
    <w:bookmarkStart w:id="523" w:name="page524"/>
    <w:bookmarkEnd w:id="52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Section 5.12(i)(1) of the Disclosure Letter, no open source or public library code was used in the development or modification of any Software owned by the Company. (2) No Company Intellectual Property is, or shall become, subject to any obligation to be licensed, conveyed, distributed or made available to a third party (and the Company is not, and shall not become, otherwise under any duty or otherwise legally compelled to license, convey, distribute or otherwise make available any Company Intellectual Property) under the terms of any existing open source license (whether in source code or object code form) as a result of any action or omission of the Company or, to the Company’s knowledge, any action or omission of any third party (in each case, including without limitation, disclosing or otherwise making available any of the Company Intellectual Property to a third party). The Company has implemented commercially reasonable backups and security measures, commensurate with the age, size and resources of the Company, to duplicate, store, and protect its material information that is stored in electronic form or media. Information related to the Company’s business is not recorded, stored, maintained, operated, or otherwise wholly or partly dependent upon or held by any means which will not be available to the Company or to Buyer after the Closing. Immediately following the Closing, the Business Data of the Company will have at least the same data, content, information and functionality as they do immediately prior to the Closing, subject to changes to the data, content and information in the databases made in the Ordinary Course of Business..</w:t>
      </w:r>
    </w:p>
    <w:p>
      <w:pPr>
        <w:spacing w:after="0" w:line="82" w:lineRule="exact"/>
        <w:rPr>
          <w:sz w:val="20"/>
          <w:szCs w:val="20"/>
          <w:color w:val="auto"/>
        </w:rPr>
      </w:pPr>
    </w:p>
    <w:p>
      <w:pPr>
        <w:ind w:right="300" w:firstLine="987"/>
        <w:spacing w:after="0" w:line="258" w:lineRule="auto"/>
        <w:tabs>
          <w:tab w:leader="none" w:pos="120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5.12(j) of the Disclosure Letter, no college, university or other educational or research institution or agency, Governmental Entity, or other organization which sponsored research and development conducted by the Company has any claim of right or license to, or ownership of, or other encumbrance upon the Company Intellectual Property. The Company has complied with any and all obligations applicable to it as a result of the use of funding, facilities, personnel or other resources of any college, university or other educational or research institution or agency, or other organization.</w:t>
      </w:r>
    </w:p>
    <w:p>
      <w:pPr>
        <w:spacing w:after="0" w:line="75"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appropriate data security policies, processes, and controls, all of which meet any requirements under applicable Law. The Company’s collection, receipt, sharing, processing, use, recording, storage, transfer, disclosure and disposal of Personal Data (including through the Company Intellectual Property) is, and has been, (i) compliant with all applicable privacy policies, terms of use and public statements of the Company (including as published on its websites), (ii) in compliance with Privacy Laws and (iii) consistent with the authorizations given by the relevant individual natural persons. There are no litigation, dispute or legal proceedings pending (or to the Company’ knowledge, threatened) and there has not been any litigation, dispute or legal proceedings in the past, against the Company alleging that the Company has failed to comply with any of the foregoing clauses (i) through (iii). There has been no, and no allegation of, loss, theft, misuse, unauthorized disclosure of, or unauthorized access to, any Business Data (including any Personal Data) held by or on behalf of the Company or otherwise under its control. No disclosure of any data breach or security breach of the IT Assets has been or should have been made by the Company under applicable Law or to any Governmental Entity. The Company has implemented and maintained measures sufficient to provide reasonable assurance that it complies with Privacy Laws.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9" w:right="459" w:bottom="1440" w:gutter="0" w:footer="0" w:header="0"/>
        </w:sectPr>
      </w:pPr>
    </w:p>
    <w:bookmarkStart w:id="524" w:name="page525"/>
    <w:bookmarkEnd w:id="524"/>
    <w:p>
      <w:pPr>
        <w:ind w:left="4" w:right="40" w:firstLine="987"/>
        <w:spacing w:after="0" w:line="253" w:lineRule="auto"/>
        <w:tabs>
          <w:tab w:leader="none" w:pos="121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all Business Data (including all Personal Data) held by or on behalf of the Company, or otherwise under their control, the Company has taken the steps required and reasonably necessary to protect such Business Data (including all Personal Data) against loss and against unauthorized access, use, modification, disclosure or other misuse (including by the Company’ officers, employees, independent contractors and consultants), including implementing and maintaining administrative, physical, and technical measures commensurate with the age, size, business and resources of the Company to protect the confidentiality, integrity, availability, and security of Confidential Company Information and the IT Assets against unauthorized control, use, access, interruption, modification, or corruption related to the Company’s business and to ensure continued, uninterrupted, and error-free operation of the IT Assets. The Company has contractually obligated any Persons that Process Business Data (including all Personal Data) on its behalf to (i) comply with applicable Laws, (ii) take reasonable steps to protect and secure Business Data (including all Personal Data) from unauthorized access, acquisition, modification, or disclosure, and (iii) take reasonable measures to restrict Processing of Business Data (including all Personal Data) to purposes authorized or required pursuant to the agreement or contract with such Persons.</w:t>
      </w:r>
    </w:p>
    <w:p>
      <w:pPr>
        <w:spacing w:after="0" w:line="86"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hereof nor the transactions contemplated hereby will result in the Company being in breach of any applicable Privacy Laws or the privacy policies of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Anti-Corruption</w:t>
      </w:r>
    </w:p>
    <w:p>
      <w:pPr>
        <w:spacing w:after="0" w:line="117" w:lineRule="exact"/>
        <w:rPr>
          <w:sz w:val="20"/>
          <w:szCs w:val="20"/>
          <w:color w:val="auto"/>
        </w:rPr>
      </w:pPr>
    </w:p>
    <w:p>
      <w:pPr>
        <w:ind w:left="4" w:firstLine="987"/>
        <w:spacing w:after="0" w:line="253" w:lineRule="auto"/>
        <w:tabs>
          <w:tab w:leader="none" w:pos="124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to the knowledge of the Company, none of the past or present directors, officers, agents, employees, contractors or persons acting for or on behalf of the Company (in each case, in his/her/its capacity as such) have, directly or indirectly: (i) paid, promised to pay or offered to pay, or authorized the payment of, any contribution, gratuity, gift, commission, bribe, raft, rebate, pay-off, kickback or any other payment to any person, private or public, regardless of form and whether in money, property or services in relation to any activities of the Company (“</w:t>
      </w:r>
      <w:r>
        <w:rPr>
          <w:rFonts w:ascii="Times New Roman" w:cs="Times New Roman" w:eastAsia="Times New Roman" w:hAnsi="Times New Roman"/>
          <w:sz w:val="18"/>
          <w:szCs w:val="18"/>
          <w:i w:val="1"/>
          <w:iCs w:val="1"/>
          <w:color w:val="auto"/>
        </w:rPr>
        <w:t>Gratuity</w:t>
      </w:r>
      <w:r>
        <w:rPr>
          <w:rFonts w:ascii="Times New Roman" w:cs="Times New Roman" w:eastAsia="Times New Roman" w:hAnsi="Times New Roman"/>
          <w:sz w:val="18"/>
          <w:szCs w:val="18"/>
          <w:color w:val="auto"/>
        </w:rPr>
        <w:t>”) to: (A) seek to obtain favourable treatment in securing business; or (B) pay for favourable treatment for business secured which violates any applicable Law, or has entered into any agreement pursuant to which any such Gratuity may or shall at any time be paid; or (C) obtain special concessions or for special concessions already obtained, for or in respect of the Company; or (ii) offered or given anything of value to influence (or that could be construed as seeking to influence) the action of a public official, political party, party official, candidate for public office, or official of any public international organization, or threatened injury to any person, property or reputation in connection with the activities of the Company in relation to the matters set out in this Section 5.13(a).</w:t>
      </w:r>
    </w:p>
    <w:p>
      <w:pPr>
        <w:spacing w:after="0" w:line="8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is not dependent in any manner upon the making or receipt of any Gratuity.</w:t>
      </w:r>
    </w:p>
    <w:p>
      <w:pPr>
        <w:spacing w:after="0" w:line="117" w:lineRule="exact"/>
        <w:rPr>
          <w:rFonts w:ascii="Times New Roman" w:cs="Times New Roman" w:eastAsia="Times New Roman" w:hAnsi="Times New Roman"/>
          <w:sz w:val="18"/>
          <w:szCs w:val="18"/>
          <w:color w:val="auto"/>
        </w:rPr>
      </w:pPr>
    </w:p>
    <w:p>
      <w:pPr>
        <w:jc w:val="both"/>
        <w:ind w:left="4" w:right="40" w:firstLine="987"/>
        <w:spacing w:after="0" w:line="272" w:lineRule="auto"/>
        <w:tabs>
          <w:tab w:leader="none" w:pos="1240"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and, to the knowledge of the Company, the past and present directors, officers, agents, employees, contractors or other persons acting for or on behalf of the Company (in each case, in his/her/its capacity as such) have, complied in all material respects with: (i) the Bribery Act 2010 (and all similar Laws in any jurisdiction outside the United Kingdom if and to the extent applicable to the Company or its operations);</w:t>
      </w:r>
    </w:p>
    <w:p>
      <w:pPr>
        <w:spacing w:after="0" w:line="1" w:lineRule="exact"/>
        <w:rPr>
          <w:rFonts w:ascii="Times New Roman" w:cs="Times New Roman" w:eastAsia="Times New Roman" w:hAnsi="Times New Roman"/>
          <w:sz w:val="17"/>
          <w:szCs w:val="17"/>
          <w:color w:val="auto"/>
        </w:rPr>
      </w:pPr>
    </w:p>
    <w:p>
      <w:pPr>
        <w:ind w:left="4" w:right="240" w:hanging="4"/>
        <w:spacing w:after="0" w:line="255" w:lineRule="auto"/>
        <w:tabs>
          <w:tab w:leader="none" w:pos="26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Crime Act 2002 (and all similar anti-money laundering laws in any jurisdiction outside the United Kingdom if and to the extent applicable to the Company or its operations); (iii) the Company’s anti-bribery and corruption policy; and (iv) any relevant third party anti-bribery and corruption obligations pursuant to any contract with any third party.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69" w:right="459" w:bottom="1440" w:gutter="0" w:footer="0" w:header="0"/>
        </w:sectPr>
      </w:pPr>
    </w:p>
    <w:bookmarkStart w:id="525" w:name="page526"/>
    <w:bookmarkEnd w:id="525"/>
    <w:p>
      <w:pPr>
        <w:ind w:right="120" w:firstLine="987"/>
        <w:spacing w:after="0" w:line="258" w:lineRule="auto"/>
        <w:tabs>
          <w:tab w:leader="none" w:pos="124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conducted or initiated any internal investigation or made a voluntary, directed or involuntary disclosure to any government entity or similar agency with respect to any alleged act or omission arising under, or relating to any non-compliance with, the Bribery Act 2010 or any anti-bribery, anti-corruption and anti-money laundering Laws by the Company or any directors, officers, agents, employees, contractors or other persons acting for or on behalf of the Company. The Company has not received any notice, request or citation for any actual or potential non-compliance with any anti-bribery, anti-corruption or anti-money laundering Laws.</w:t>
      </w:r>
    </w:p>
    <w:p>
      <w:pPr>
        <w:spacing w:after="0" w:line="7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officer, director, employee or contractor of the Company is a government or political official and no government or political official or government or political entity has any interest (whether directly or indirectly) in the Company.</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that is pending or, to the knowledge of the Company, threatened and, to the knowledge of the Company, no investigation is pending or threatened, against the Company (or any holders of Company Capital Stock or directors, officers, agents or employees of the Company, to the extent such Actions or investigations relate to the Company) or any assets or properties of the Company. There are no Judgments outstanding against the Company (or to the knowledge of the Company, any holders of Company Capital Stock or directors, officers, agents or employees of the Company, to the extent such Judgments relate to the Company) or any assets or properties of the Company. In the last five (5) years, there has not been any Action or, to the Company’s knowledge, investigation in respect of the Company that (a) resulted in a Judgment against or settlement by the Company (whether or not such Judgment or settlement was paid, in whole or in part, by an insurer of the Company or other third party), (b) resulted in any equitable relief or (c) relates to the transactions contemplated by this Agreement. There is no Action or investigation pending by the Company, or which the Company intends to initiate, against any other Person. To the knowledge of the Company, there is no fact or circumstance that would reasonably be expected to serve as a basis for any Action or investigation against the Company.</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(after giving effect to any extensions of time in which to make such filings) all corporation Tax Returns and other material Tax Returns that it was required to file, and all such Tax Returns that the Company has filed were true, correct and complete in all material respects. The Company has paid on a timely basis all Taxes due and owing by it (whether or not shown to be due on any such Tax Returns). No penalties, fines, surcharges or interest with respect to such Taxes have been or will be incurred. All Taxes that the Company was required by any Tax Law to withhold or collect have been duly withheld or collected and, to the extent required, have been properly paid to the appropriate Taxing Authority. No claim has ever been made by a Taxing Authority in a jurisdiction where the Company does not file Tax Returns that the Company is or may be subject to taxation by, or required to file Tax Returns in, that jurisdiction.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69" w:right="479" w:bottom="1440" w:gutter="0" w:footer="0" w:header="0"/>
        </w:sectPr>
      </w:pPr>
    </w:p>
    <w:bookmarkStart w:id="526" w:name="page527"/>
    <w:bookmarkEnd w:id="526"/>
    <w:p>
      <w:pPr>
        <w:ind w:left="-80" w:firstLine="987"/>
        <w:spacing w:after="0" w:line="258" w:lineRule="auto"/>
        <w:tabs>
          <w:tab w:leader="none" w:pos="116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dispute, investigation, proceeding, claim, examination or audit relating to any Tax Return of the Company or any Liability for Taxes of the Company has been raised by any Taxing Authority, and no Tax dispute or litigation with respect to the Company is currently pending or in progress or, to the Company’s knowledge, threatened or contemplated. Since the Company’s formation, the Company has not received any written notice, proposal, assessment, injunction or written request for payment or deficiencies of Taxes from any Taxing Authority except for those requests for payments as reflected in the Tax Returns made available to Buyer.</w:t>
      </w:r>
    </w:p>
    <w:p>
      <w:pPr>
        <w:spacing w:after="0" w:line="75" w:lineRule="exact"/>
        <w:rPr>
          <w:rFonts w:ascii="Times New Roman" w:cs="Times New Roman" w:eastAsia="Times New Roman" w:hAnsi="Times New Roman"/>
          <w:sz w:val="18"/>
          <w:szCs w:val="18"/>
          <w:color w:val="auto"/>
        </w:rPr>
      </w:pPr>
    </w:p>
    <w:p>
      <w:pPr>
        <w:ind w:left="-80" w:right="60" w:firstLine="987"/>
        <w:spacing w:after="0" w:line="261" w:lineRule="auto"/>
        <w:tabs>
          <w:tab w:leader="none" w:pos="115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never been, a member of an affiliated group of corporations filing a consolidated federal income Tax Return (other than an affiliated group for which the common parent is the Company). The Company has no Liability for the Taxes of any Person under Treasury Regulations Section 1.1502-6 (or comparable provision of domestic or foreign Tax Law), as a transferee or successor, by contract, or otherwise.</w:t>
      </w:r>
    </w:p>
    <w:p>
      <w:pPr>
        <w:spacing w:after="0" w:line="71" w:lineRule="exact"/>
        <w:rPr>
          <w:rFonts w:ascii="Times New Roman" w:cs="Times New Roman" w:eastAsia="Times New Roman" w:hAnsi="Times New Roman"/>
          <w:sz w:val="18"/>
          <w:szCs w:val="18"/>
          <w:color w:val="auto"/>
        </w:rPr>
      </w:pPr>
    </w:p>
    <w:p>
      <w:pPr>
        <w:ind w:left="-80" w:right="700" w:firstLine="987"/>
        <w:spacing w:after="0" w:line="312" w:lineRule="auto"/>
        <w:tabs>
          <w:tab w:leader="none" w:pos="1166"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a party to, or otherwise bound by or subject to, any Tax sharing, allocation or indemnification or similar agreement, provision or arrangement, other than ordinary-course commercial contracts the primary purpose of which do not relate to Taxes.</w:t>
      </w:r>
    </w:p>
    <w:p>
      <w:pPr>
        <w:spacing w:after="0" w:line="31" w:lineRule="exact"/>
        <w:rPr>
          <w:rFonts w:ascii="Times New Roman" w:cs="Times New Roman" w:eastAsia="Times New Roman" w:hAnsi="Times New Roman"/>
          <w:sz w:val="17"/>
          <w:szCs w:val="17"/>
          <w:color w:val="auto"/>
        </w:rPr>
      </w:pPr>
    </w:p>
    <w:p>
      <w:pPr>
        <w:ind w:left="-80" w:right="60" w:firstLine="987"/>
        <w:spacing w:after="0" w:line="282" w:lineRule="auto"/>
        <w:tabs>
          <w:tab w:leader="none" w:pos="115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joint venture, partnership or other arrangement or Contract which could be treated as a partnership for Tax purposes.</w:t>
      </w:r>
    </w:p>
    <w:p>
      <w:pPr>
        <w:spacing w:after="0" w:line="53" w:lineRule="exact"/>
        <w:rPr>
          <w:rFonts w:ascii="Times New Roman" w:cs="Times New Roman" w:eastAsia="Times New Roman" w:hAnsi="Times New Roman"/>
          <w:sz w:val="18"/>
          <w:szCs w:val="18"/>
          <w:color w:val="auto"/>
        </w:rPr>
      </w:pPr>
    </w:p>
    <w:p>
      <w:pPr>
        <w:ind w:left="1140" w:hanging="233"/>
        <w:spacing w:after="0"/>
        <w:tabs>
          <w:tab w:leader="none" w:pos="11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Interest, as defined in Section 897(c) of the Code.</w:t>
      </w:r>
    </w:p>
    <w:p>
      <w:pPr>
        <w:spacing w:after="0" w:line="117" w:lineRule="exact"/>
        <w:rPr>
          <w:rFonts w:ascii="Times New Roman" w:cs="Times New Roman" w:eastAsia="Times New Roman" w:hAnsi="Times New Roman"/>
          <w:sz w:val="18"/>
          <w:szCs w:val="18"/>
          <w:color w:val="auto"/>
        </w:rPr>
      </w:pPr>
    </w:p>
    <w:p>
      <w:pPr>
        <w:ind w:left="1160" w:hanging="253"/>
        <w:spacing w:after="0"/>
        <w:tabs>
          <w:tab w:leader="none" w:pos="11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reportable transaction within the meaning of Treasury Regulation Section 1.6011-4.</w:t>
      </w:r>
    </w:p>
    <w:p>
      <w:pPr>
        <w:spacing w:after="0" w:line="117" w:lineRule="exact"/>
        <w:rPr>
          <w:rFonts w:ascii="Times New Roman" w:cs="Times New Roman" w:eastAsia="Times New Roman" w:hAnsi="Times New Roman"/>
          <w:sz w:val="18"/>
          <w:szCs w:val="18"/>
          <w:color w:val="auto"/>
        </w:rPr>
      </w:pPr>
    </w:p>
    <w:p>
      <w:pPr>
        <w:ind w:left="-80" w:right="440" w:firstLine="987"/>
        <w:spacing w:after="0" w:line="282" w:lineRule="auto"/>
        <w:tabs>
          <w:tab w:leader="none" w:pos="116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either a “distributing corporation” or a “controlled corporation” in a distribution of stock intended to qualify for tax free treatment under Section 355 of the Code.</w:t>
      </w:r>
    </w:p>
    <w:p>
      <w:pPr>
        <w:spacing w:after="0" w:line="53" w:lineRule="exact"/>
        <w:rPr>
          <w:rFonts w:ascii="Times New Roman" w:cs="Times New Roman" w:eastAsia="Times New Roman" w:hAnsi="Times New Roman"/>
          <w:sz w:val="18"/>
          <w:szCs w:val="18"/>
          <w:color w:val="auto"/>
        </w:rPr>
      </w:pPr>
    </w:p>
    <w:p>
      <w:pPr>
        <w:ind w:left="-80" w:firstLine="987"/>
        <w:spacing w:after="0" w:line="266" w:lineRule="auto"/>
        <w:tabs>
          <w:tab w:leader="none" w:pos="112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nor has it ever had (during any Tax Period remaining open for the assessment of Tax by any applicable Governmental Entity under its applicable statute of limitations), any place of business or permanent establishment in any jurisdiction outside the United Kingdom.</w:t>
      </w:r>
    </w:p>
    <w:p>
      <w:pPr>
        <w:spacing w:after="0" w:line="67" w:lineRule="exact"/>
        <w:rPr>
          <w:rFonts w:ascii="Times New Roman" w:cs="Times New Roman" w:eastAsia="Times New Roman" w:hAnsi="Times New Roman"/>
          <w:sz w:val="18"/>
          <w:szCs w:val="18"/>
          <w:color w:val="auto"/>
        </w:rPr>
      </w:pPr>
    </w:p>
    <w:p>
      <w:pPr>
        <w:ind w:left="-80" w:right="80" w:firstLine="987"/>
        <w:spacing w:after="0" w:line="261" w:lineRule="auto"/>
        <w:tabs>
          <w:tab w:leader="none" w:pos="112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amount in taxable income or exclude any item of deduction or loss from taxable income for any taxable period (or portion thereof) ending after the Closing Date as a result of (i) any change in method of accounting on or prior to the Closing Date, (ii) any agreement or arrangement with a Taxing Authority executed or made on or prior to the Closing Date or (iii) any prepaid amount received on or prior to the Closing Date.</w:t>
      </w:r>
    </w:p>
    <w:p>
      <w:pPr>
        <w:spacing w:after="0" w:line="71" w:lineRule="exact"/>
        <w:rPr>
          <w:rFonts w:ascii="Times New Roman" w:cs="Times New Roman" w:eastAsia="Times New Roman" w:hAnsi="Times New Roman"/>
          <w:sz w:val="18"/>
          <w:szCs w:val="18"/>
          <w:color w:val="auto"/>
        </w:rPr>
      </w:pPr>
    </w:p>
    <w:p>
      <w:pPr>
        <w:ind w:left="-80" w:right="140" w:firstLine="987"/>
        <w:spacing w:after="0" w:line="282" w:lineRule="auto"/>
        <w:tabs>
          <w:tab w:leader="none" w:pos="116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will it become liable to make to any person (including any Taxing Authority) any payment in respect of any liability for Tax that is primarily or directly chargeable against, or attributable to, any other person.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40"/>
          </w:cols>
          <w:pgMar w:left="520" w:top="269" w:right="539" w:bottom="1440" w:gutter="0" w:footer="0" w:header="0"/>
        </w:sectPr>
      </w:pPr>
    </w:p>
    <w:bookmarkStart w:id="527" w:name="page528"/>
    <w:bookmarkEnd w:id="527"/>
    <w:p>
      <w:pPr>
        <w:ind w:left="4" w:right="300" w:firstLine="987"/>
        <w:spacing w:after="0" w:line="312" w:lineRule="auto"/>
        <w:tabs>
          <w:tab w:leader="none" w:pos="1210" w:val="left"/>
        </w:tabs>
        <w:numPr>
          <w:ilvl w:val="1"/>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been involved in any transaction or series of transactions the main purpose, or one of the main purposes of which, was the avoidance of Taxes, or any transaction that produced a loss for Taxes purposes with no corresponding commercial or economic loss.</w:t>
      </w:r>
    </w:p>
    <w:p>
      <w:pPr>
        <w:spacing w:after="0" w:line="31" w:lineRule="exact"/>
        <w:rPr>
          <w:rFonts w:ascii="Times New Roman" w:cs="Times New Roman" w:eastAsia="Times New Roman" w:hAnsi="Times New Roman"/>
          <w:sz w:val="17"/>
          <w:szCs w:val="17"/>
          <w:color w:val="auto"/>
        </w:rPr>
      </w:pPr>
    </w:p>
    <w:p>
      <w:pPr>
        <w:ind w:left="4" w:right="40" w:firstLine="987"/>
        <w:spacing w:after="0" w:line="261" w:lineRule="auto"/>
        <w:tabs>
          <w:tab w:leader="none" w:pos="130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taxable person and is registered for the purposes of any applicable Indirect Tax (including value added tax or any similar Tax). All supplies made by the Company are subject to Indirect Tax. The Company has not been, nor will be, denied full credit or allowance for Indirect Tax paid or suffered by it. The Company is not and has not been, in the period of six years ending with the Closing Date, a member of a group for the purposes of any applicable Indirect Tax.</w:t>
      </w:r>
    </w:p>
    <w:p>
      <w:pPr>
        <w:spacing w:after="0" w:line="71"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requirements in respect of any research and development Tax credit regime and any Tax holiday. There are no circumstances under which any amount of payment, relief or allowance could reasonably be expected to be disallowed or required to be repaid to a Tax Authority and no tax holidays or similar benefits that the Company currently enjoys that it will not be able to enjoy as a result of the transactions contemplated by this Agreement.</w:t>
      </w:r>
    </w:p>
    <w:p>
      <w:pPr>
        <w:spacing w:after="0" w:line="71"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that may be necessary or desirable in proving the title of the Company to any asset which is owned by the Company at Closing is duly stamped for stamp duty purposes or has had the Transfer Tax due in respect of it paid.</w:t>
      </w:r>
    </w:p>
    <w:p>
      <w:pPr>
        <w:spacing w:after="0" w:line="53"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Tax Group has at any time been obliged to make a notification to a relevant Tax Authority under section 92 of the United Kingdom Finance Act 2015 or any similar legislation outside the United Kingdom, nor has received a preliminary notice under section 93 of the United Kingdom Finance Act 2015 or any similar legislation outside the United Kingdom.</w:t>
      </w:r>
    </w:p>
    <w:p>
      <w:pPr>
        <w:spacing w:after="0" w:line="67"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or arrangements made by the Company have been made on fully arm’s length terms. There are no circumstances in which Part 4 of Taxation (International and Other Provisions) Act 2010 (“</w:t>
      </w:r>
      <w:r>
        <w:rPr>
          <w:rFonts w:ascii="Times New Roman" w:cs="Times New Roman" w:eastAsia="Times New Roman" w:hAnsi="Times New Roman"/>
          <w:sz w:val="18"/>
          <w:szCs w:val="18"/>
          <w:i w:val="1"/>
          <w:iCs w:val="1"/>
          <w:color w:val="auto"/>
        </w:rPr>
        <w:t>TIOPA 2010</w:t>
      </w:r>
      <w:r>
        <w:rPr>
          <w:rFonts w:ascii="Times New Roman" w:cs="Times New Roman" w:eastAsia="Times New Roman" w:hAnsi="Times New Roman"/>
          <w:sz w:val="18"/>
          <w:szCs w:val="18"/>
          <w:color w:val="auto"/>
        </w:rPr>
        <w:t>”) or any similar legislation in any jurisdiction outside the United Kingdom could apply causing any Taxing Authority to make an adjustment to the terms on which such transaction or arrangement is treated as being made for Tax purposes. The Company has retained sufficient information, contemporaneous documents and records to enable it to comply with, or establish that it is not subject to the operation of Part 4 TIOPA 2010 or any similar legislation in any jurisdiction outside the United Kingdom.</w:t>
      </w:r>
    </w:p>
    <w:p>
      <w:pPr>
        <w:spacing w:after="0" w:line="73"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made any transfer of value within sections 94 and 202 of Inheritance Tax Act 1984 (“</w:t>
      </w:r>
      <w:r>
        <w:rPr>
          <w:rFonts w:ascii="Times New Roman" w:cs="Times New Roman" w:eastAsia="Times New Roman" w:hAnsi="Times New Roman"/>
          <w:sz w:val="18"/>
          <w:szCs w:val="18"/>
          <w:i w:val="1"/>
          <w:iCs w:val="1"/>
          <w:color w:val="auto"/>
        </w:rPr>
        <w:t>IHTA 1984</w:t>
      </w:r>
      <w:r>
        <w:rPr>
          <w:rFonts w:ascii="Times New Roman" w:cs="Times New Roman" w:eastAsia="Times New Roman" w:hAnsi="Times New Roman"/>
          <w:sz w:val="18"/>
          <w:szCs w:val="18"/>
          <w:color w:val="auto"/>
        </w:rPr>
        <w:t>”); or</w:t>
      </w:r>
    </w:p>
    <w:p>
      <w:pPr>
        <w:spacing w:after="0" w:line="29" w:lineRule="exact"/>
        <w:rPr>
          <w:rFonts w:ascii="Times New Roman" w:cs="Times New Roman" w:eastAsia="Times New Roman" w:hAnsi="Times New Roman"/>
          <w:sz w:val="18"/>
          <w:szCs w:val="18"/>
          <w:color w:val="auto"/>
        </w:rPr>
      </w:pPr>
    </w:p>
    <w:p>
      <w:pPr>
        <w:ind w:left="4" w:right="440" w:hanging="4"/>
        <w:spacing w:after="0" w:line="260" w:lineRule="auto"/>
        <w:tabs>
          <w:tab w:leader="none" w:pos="26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any value such that liability might arise under section 199 of IHTA 1984; or (iii) been a party to associated operations in relation to a transfer of value as defined by section 268 of IHTA 1984.</w:t>
      </w:r>
    </w:p>
    <w:p>
      <w:pPr>
        <w:spacing w:after="0" w:line="7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3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unsatisfied liability to inheritance tax attached to, or attributable to, the Shares or any asset of the Company. None of them are subject to any Inland Revenue charge as mentioned in sections 237 and 238 of IHTA 1984.</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4"/>
          </w:cols>
          <w:pgMar w:left="436" w:top="269" w:right="539" w:bottom="1440" w:gutter="0" w:footer="0" w:header="0"/>
        </w:sectPr>
      </w:pPr>
    </w:p>
    <w:bookmarkStart w:id="528" w:name="page529"/>
    <w:bookmarkEnd w:id="528"/>
    <w:p>
      <w:pPr>
        <w:ind w:left="4" w:right="20" w:firstLine="987"/>
        <w:spacing w:after="0" w:line="258" w:lineRule="auto"/>
        <w:tabs>
          <w:tab w:leader="none" w:pos="121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was entitled to benefit from, and has complied with any and all requirements of, any measures introduced by the United Kingdom government to assist businesses with their tax affairs in response to the COVID-19 pandemic from which it has benefitted. The Company has not: (i) deferred the payment of any VAT liability due where that VAT liability has not yet been settled with HMRC; (ii) deferred the payment of any income tax or corporation tax self-assessment payment on account where that payment on account has not yet been made to HMRC; or (iii) entered into a “time to pay” arrangement with HMRC.</w:t>
      </w:r>
    </w:p>
    <w:p>
      <w:pPr>
        <w:spacing w:after="0" w:line="75"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5.15(s) of the Disclosure Letter identifies all subsisting EMI Options and Non-Qualifying Options. There are no agreements, schemes or promises to grant any other EMI Options or Non-Qualifying Options.</w:t>
      </w:r>
    </w:p>
    <w:p>
      <w:pPr>
        <w:spacing w:after="0" w:line="53" w:lineRule="exact"/>
        <w:rPr>
          <w:rFonts w:ascii="Times New Roman" w:cs="Times New Roman" w:eastAsia="Times New Roman" w:hAnsi="Times New Roman"/>
          <w:sz w:val="18"/>
          <w:szCs w:val="18"/>
          <w:color w:val="auto"/>
        </w:rPr>
      </w:pPr>
    </w:p>
    <w:p>
      <w:pPr>
        <w:ind w:left="4" w:right="700" w:firstLine="987"/>
        <w:spacing w:after="0" w:line="282" w:lineRule="auto"/>
        <w:tabs>
          <w:tab w:leader="none" w:pos="125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(i) disqualifying events in respect of any EMI Options under section 534 of ITEPA 2003; or (ii) material amendments to any of the terms of any EMI Options.</w:t>
      </w:r>
    </w:p>
    <w:p>
      <w:pPr>
        <w:spacing w:after="0" w:line="53" w:lineRule="exact"/>
        <w:rPr>
          <w:rFonts w:ascii="Times New Roman" w:cs="Times New Roman" w:eastAsia="Times New Roman" w:hAnsi="Times New Roman"/>
          <w:sz w:val="18"/>
          <w:szCs w:val="18"/>
          <w:color w:val="auto"/>
        </w:rPr>
      </w:pPr>
    </w:p>
    <w:p>
      <w:pPr>
        <w:ind w:left="4" w:right="80" w:firstLine="987"/>
        <w:spacing w:after="0" w:line="272" w:lineRule="auto"/>
        <w:tabs>
          <w:tab w:leader="none" w:pos="1290"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employment-related securities (as defined in sections 420 and 421B(8) of ITEPA 2003), including, without limitation, any shares acquired under section 205A of the Employment Rights Act 2003, have been issued or transferred (other than under any Tax-advantaged Scheme or EMI Option) and there are no agreements, schemes or promises to make any such issues or transfers (other than options falling within section 5.15(v)):</w:t>
      </w:r>
    </w:p>
    <w:p>
      <w:pPr>
        <w:spacing w:after="0" w:line="1" w:lineRule="exact"/>
        <w:rPr>
          <w:rFonts w:ascii="Times New Roman" w:cs="Times New Roman" w:eastAsia="Times New Roman" w:hAnsi="Times New Roman"/>
          <w:sz w:val="17"/>
          <w:szCs w:val="17"/>
          <w:color w:val="auto"/>
        </w:rPr>
      </w:pPr>
    </w:p>
    <w:p>
      <w:pPr>
        <w:ind w:left="4" w:right="240" w:hanging="4"/>
        <w:spacing w:after="0" w:line="260" w:lineRule="auto"/>
        <w:tabs>
          <w:tab w:leader="none" w:pos="21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(ii) under any arrangements established by the Company; or (iii) by a holding company or other shareholder of the Company (or under arrangements established by such a person).</w:t>
      </w:r>
    </w:p>
    <w:p>
      <w:pPr>
        <w:spacing w:after="0" w:line="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options (as defined in section 420(8) of ITEPA 2003) (other than EMI Options or options granted under any</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Tax-advantaged Scheme) have been granted to any current, former or proposed employees or directors of the Company (or to any nominees or associates of such employees or directors) and there are no agreements, schemes or promises to make any such grant: (i) by the Company; (ii) under any arrangements established by the Company; or (iii) by a holding company or other shareholder of the Company (or under arrangements established by such a person).</w:t>
      </w:r>
    </w:p>
    <w:p>
      <w:pPr>
        <w:spacing w:after="0" w:line="81" w:lineRule="exact"/>
        <w:rPr>
          <w:sz w:val="20"/>
          <w:szCs w:val="20"/>
          <w:color w:val="auto"/>
        </w:rPr>
      </w:pPr>
    </w:p>
    <w:p>
      <w:pPr>
        <w:ind w:left="4" w:right="300" w:firstLine="987"/>
        <w:spacing w:after="0" w:line="282" w:lineRule="auto"/>
        <w:tabs>
          <w:tab w:leader="none" w:pos="125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or options over shares falling within Section 5.15(s), Section 5.15(u) and Section 5.15(v) meet the requirements for the Company to obtain a deduction for corporation tax under Part 12 of the Corporation Tax Act 2009.</w:t>
      </w:r>
    </w:p>
    <w:p>
      <w:pPr>
        <w:spacing w:after="0" w:line="53" w:lineRule="exact"/>
        <w:rPr>
          <w:rFonts w:ascii="Times New Roman" w:cs="Times New Roman" w:eastAsia="Times New Roman" w:hAnsi="Times New Roman"/>
          <w:sz w:val="18"/>
          <w:szCs w:val="18"/>
          <w:color w:val="auto"/>
        </w:rPr>
      </w:pPr>
    </w:p>
    <w:p>
      <w:pPr>
        <w:jc w:val="both"/>
        <w:ind w:left="4" w:right="420" w:firstLine="987"/>
        <w:spacing w:after="0" w:line="266" w:lineRule="auto"/>
        <w:tabs>
          <w:tab w:leader="none" w:pos="12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knowledge of: (i) any failure to notify the grant of any EMI Options to HM Revenue &amp; Customs within the required time limit under paragraph 44 of Schedule 5 of ITEPA 2003; or (ii) any dispute (or potential dispute) with HM Revenue &amp; Customs as to whether any EMI Options are qualifying options for the purposes of paragraph 1(2) of Schedule 5 of ITEPA 2003.</w:t>
      </w:r>
    </w:p>
    <w:p>
      <w:pPr>
        <w:spacing w:after="0" w:line="68" w:lineRule="exact"/>
        <w:rPr>
          <w:sz w:val="20"/>
          <w:szCs w:val="20"/>
          <w:color w:val="auto"/>
        </w:rPr>
      </w:pPr>
    </w:p>
    <w:p>
      <w:pPr>
        <w:ind w:left="4" w:right="660" w:firstLine="987"/>
        <w:spacing w:after="0" w:line="282" w:lineRule="auto"/>
        <w:tabs>
          <w:tab w:leader="none" w:pos="13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fully complied with all of its reporting obligations in respect of the operation of any Company Share Plan, including any obligation to file annual share scheme returns with HM Revenue &amp; Customs.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4"/>
          </w:cols>
          <w:pgMar w:left="436" w:top="269" w:right="499" w:bottom="1440" w:gutter="0" w:footer="0" w:header="0"/>
        </w:sectPr>
      </w:pPr>
    </w:p>
    <w:bookmarkStart w:id="529" w:name="page530"/>
    <w:bookmarkEnd w:id="529"/>
    <w:p>
      <w:pPr>
        <w:jc w:val="both"/>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5.16.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Section 5.16 of the Disclosure Letter identifies each insurance policy maintained by, at the expense of or for the benefit of the Company as of the date of this Agreement and identifies any material claims made thereunder as of the date of this Agreement within the past three (3) years. All premiums due on such policies have been paid, and the Company is otherwise in compliance with the terms of such policies.</w:t>
      </w:r>
    </w:p>
    <w:p>
      <w:pPr>
        <w:spacing w:after="0" w:line="2" w:lineRule="exact"/>
        <w:rPr>
          <w:sz w:val="20"/>
          <w:szCs w:val="20"/>
          <w:color w:val="auto"/>
        </w:rPr>
      </w:pPr>
    </w:p>
    <w:p>
      <w:pPr>
        <w:jc w:val="both"/>
        <w:ind w:left="4" w:right="160"/>
        <w:spacing w:after="0" w:line="255" w:lineRule="auto"/>
        <w:rPr>
          <w:sz w:val="20"/>
          <w:szCs w:val="20"/>
          <w:color w:val="auto"/>
        </w:rPr>
      </w:pPr>
      <w:r>
        <w:rPr>
          <w:rFonts w:ascii="Times New Roman" w:cs="Times New Roman" w:eastAsia="Times New Roman" w:hAnsi="Times New Roman"/>
          <w:sz w:val="18"/>
          <w:szCs w:val="18"/>
          <w:color w:val="auto"/>
        </w:rPr>
        <w:t>Since December 31, 2016, the Company has not received any written notice or to the knowledge of the Company any other communication regarding any actual or possible: (i) cancellation or invalidation of any insurance policy; (ii) refusal of any coverage or rejection of any material claim under any insurance policy; or (iii) material adjustment in the amount of the premiums payable with respect to any insurance policy.</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Benefit Plans; 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54" w:lineRule="auto"/>
        <w:tabs>
          <w:tab w:leader="none" w:pos="124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5.17(a) of the Disclosure Letter sets forth a true and complete list of each retirement, pension, lump sum, life assurance or insurance, permanent health insurance or income replacement, deferred compensation, equity-based compensation, incentive, bonus, paid time off, employment, independent contractor, consulting, change in control, severance or redundancy, termination, retention, accident, ill-health, disability, death, health, welfare, flexible spending account, and any other employee benefit plan, agreement, arrangement, program or policy that is maintained, contributed to or required to be contributed to by the Company or with respect to which the Company has or could have any Liability (each a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Company Plans</w:t>
      </w:r>
      <w:r>
        <w:rPr>
          <w:rFonts w:ascii="Times New Roman" w:cs="Times New Roman" w:eastAsia="Times New Roman" w:hAnsi="Times New Roman"/>
          <w:sz w:val="18"/>
          <w:szCs w:val="18"/>
          <w:color w:val="auto"/>
        </w:rPr>
        <w:t>”). No Company Plan is subject to the Laws of any jurisdiction outside of the United Kingdom or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or benefits to any Company Personnel that are subject to the Laws of any jurisdiction outside of the United Kingdom. No Company Plan is a defined benefit pension plan, and no Company Personnel have any entitlements under a defined benefit pension plan.</w:t>
      </w:r>
    </w:p>
    <w:p>
      <w:pPr>
        <w:spacing w:after="0" w:line="83"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in all material respects, established, maintained, and administered in accordance with its terms and with all applicable Laws, including pension auto enrolment and funding obligations as required by the Pensions Act 2008 and associated legislation. No notices, fines, or other sanctions have been issued by the Pensions Regulator and no instances of non-compliance with the automatic enrolment obligations have been notified to the Pension Regulator in respect of the Company. No actions, investigations, suits, or claims with respect to any Company Plan are pending or, to the Company’s knowledge, threatened.</w:t>
      </w:r>
    </w:p>
    <w:p>
      <w:pPr>
        <w:spacing w:after="0" w:line="75" w:lineRule="exact"/>
        <w:rPr>
          <w:rFonts w:ascii="Times New Roman" w:cs="Times New Roman" w:eastAsia="Times New Roman" w:hAnsi="Times New Roman"/>
          <w:sz w:val="18"/>
          <w:szCs w:val="18"/>
          <w:color w:val="auto"/>
        </w:rPr>
      </w:pPr>
    </w:p>
    <w:p>
      <w:pPr>
        <w:ind w:left="4" w:firstLine="987"/>
        <w:spacing w:after="0" w:line="289" w:lineRule="auto"/>
        <w:tabs>
          <w:tab w:leader="none" w:pos="1240"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Plan provides, and the Company has no Liability or obligation to provide to any Company Personnel (or their dependents of beneficiaries), postretirement medical or other welfare benefits. The Company has no plan, commitment, or proposal, whether legally binding or not, nor has made a commitment to Company Personnel, to create any additional Company Plans or modify or change any existing Company Plans.</w:t>
      </w:r>
    </w:p>
    <w:p>
      <w:pPr>
        <w:spacing w:after="0" w:line="49" w:lineRule="exact"/>
        <w:rPr>
          <w:rFonts w:ascii="Times New Roman" w:cs="Times New Roman" w:eastAsia="Times New Roman" w:hAnsi="Times New Roman"/>
          <w:sz w:val="17"/>
          <w:szCs w:val="17"/>
          <w:color w:val="auto"/>
        </w:rPr>
      </w:pPr>
    </w:p>
    <w:p>
      <w:pPr>
        <w:ind w:left="4" w:firstLine="987"/>
        <w:spacing w:after="0" w:line="257" w:lineRule="auto"/>
        <w:tabs>
          <w:tab w:leader="none" w:pos="125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5.17(d) of the Disclosure Letter, neither the execution and delivery of this Agreement nor the consummation of the transactions contemplated hereby will (either alone or in combination with another event): (i) result in any payment becoming due, or increase the amount of any compensation due, to any Company Personnel, or allow them to exercise or receive a shorter or longer notice period;</w:t>
      </w:r>
    </w:p>
    <w:p>
      <w:pPr>
        <w:spacing w:after="0" w:line="1"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any benefits under any Company Plan; (iii) result in the acceleration of the payment or vesting of any compensation or benefits; (v) result in the triggering or imposition of any restrictions or limitations on the Company’s right to amend or terminate any Company Plan; or (vi) entitle the recipient of any payment or benefit to receive a “gross up” payment for any income or other taxes that might be owed with respect to such payment or benefit.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69" w:right="479" w:bottom="1440" w:gutter="0" w:footer="0" w:header="0"/>
        </w:sectPr>
      </w:pPr>
    </w:p>
    <w:bookmarkStart w:id="530" w:name="page531"/>
    <w:bookmarkEnd w:id="530"/>
    <w:p>
      <w:pPr>
        <w:ind w:left="4" w:firstLine="987"/>
        <w:spacing w:after="0" w:line="266" w:lineRule="auto"/>
        <w:tabs>
          <w:tab w:leader="none" w:pos="12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treatment of the Company Share Options described in Section 4.2(d) shall not violate the terms of the Company Share Plans or any agreement governing the terms of such Company Share Plan. Each Company Plan has been maintained and operated in documentary and operational compliance with applicable Law.</w:t>
      </w:r>
    </w:p>
    <w:p>
      <w:pPr>
        <w:spacing w:after="0" w:line="67"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2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have made all contributions required to be made to or with respect to each Company Plan as of the Closing Date and paid or accrued all Liabilities on account of any Company Plan in existence on or before the Closing Date.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Labor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60" w:firstLine="987"/>
        <w:spacing w:after="0" w:line="276" w:lineRule="auto"/>
        <w:tabs>
          <w:tab w:leader="none" w:pos="1240" w:val="left"/>
        </w:tabs>
        <w:numPr>
          <w:ilvl w:val="1"/>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5.18(a) of the Disclosure Letter contains a list of all current Company employees and other persons who personally perform work for the Company but who are not in business on their own account or in a client/customer relationship as of the date of this Agreement, and:</w:t>
      </w:r>
    </w:p>
    <w:p>
      <w:pPr>
        <w:ind w:left="4" w:right="140" w:hanging="4"/>
        <w:spacing w:after="0" w:line="255" w:lineRule="auto"/>
        <w:tabs>
          <w:tab w:leader="none" w:pos="21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dates of employment; (ii) their current positions; (iii) their current salaries; (iv) any other compensation payable to them (including housing allowances, compensation payable pursuant to bonus, deferred compensation or commission arrangements or other compensation), (v) annual vacation days; and (vi) their notice periods.</w:t>
      </w:r>
    </w:p>
    <w:p>
      <w:pPr>
        <w:spacing w:after="0" w:line="77"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5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5.18(b) of the Disclosure Letter contains details of all persons who are not employees or workers and who are providing services to the Company under an agreement that is not a contract of employment with the Company (including consultants and secondees), and particulars of the terms on which such persons provide their services, including (but not limited to): (i) the term of the engagement; (ii) the start date of the engagement; (iii) a description of the services provided; and (iv) the fee payable in respect of the service provision.</w:t>
      </w:r>
    </w:p>
    <w:p>
      <w:pPr>
        <w:spacing w:after="0" w:line="71" w:lineRule="exact"/>
        <w:rPr>
          <w:rFonts w:ascii="Times New Roman" w:cs="Times New Roman" w:eastAsia="Times New Roman" w:hAnsi="Times New Roman"/>
          <w:sz w:val="18"/>
          <w:szCs w:val="18"/>
          <w:color w:val="auto"/>
        </w:rPr>
      </w:pPr>
    </w:p>
    <w:p>
      <w:pPr>
        <w:ind w:left="4" w:right="680" w:firstLine="987"/>
        <w:spacing w:after="0" w:line="282" w:lineRule="auto"/>
        <w:tabs>
          <w:tab w:leader="none" w:pos="124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Letter includes anonymized details of all employees and workers who are on secondment, maternity, paternity, adoption, shared parental or other leave or absent due to ill-health or for any other reason.</w:t>
      </w:r>
    </w:p>
    <w:p>
      <w:pPr>
        <w:spacing w:after="0" w:line="53"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or will have no later than the Closing Date, paid all accrued fees, salaries, bonuses, commissions, wages and severance of the employees and independent contractors due to be paid through the Closing Date (other than with respect to such amounts payable with respect to payroll period in which the Closing occurs. There are no loans to any Company Personnel. The Company is and has been in compliance in all material respects with all applicable Laws (including Tax Laws) regarding employment, employment practices, immigration, employee benefits and compensation, terms and conditions of employment, including wages and hours, the classification of employees and independent contractors, withholding of Taxes and insurance payments, and payment of employment Taxes, compensation and benefits.</w:t>
      </w:r>
    </w:p>
    <w:p>
      <w:pPr>
        <w:spacing w:after="0" w:line="79"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4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offer of employment or engagement has been made by the Company that is outstanding for acceptance, or that has been accepted but not yet commenced.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69" w:right="459" w:bottom="1440" w:gutter="0" w:footer="0" w:header="0"/>
        </w:sectPr>
      </w:pPr>
    </w:p>
    <w:bookmarkStart w:id="531" w:name="page532"/>
    <w:bookmarkEnd w:id="531"/>
    <w:p>
      <w:pPr>
        <w:ind w:right="640" w:firstLine="987"/>
        <w:spacing w:after="0" w:line="282" w:lineRule="auto"/>
        <w:tabs>
          <w:tab w:leader="none" w:pos="121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notice to terminate the contract of employment of any Company Personnel is pending, outstanding or threatened, and to the knowledge of the Company, there are no circumstances likely to give rise to such notice.</w:t>
      </w:r>
    </w:p>
    <w:p>
      <w:pPr>
        <w:spacing w:after="0" w:line="53"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bound by or proposing to introduce in respect of any Company Personnel, any redundancy payment scheme (in addition to statutory redundancy pay), or any incentive arrangement or scheme (including, without limitation, any share option or share award plan, and commission, profit sharing or bonus scheme), other than the Company’s 2019 Share Option Plan.</w:t>
      </w:r>
    </w:p>
    <w:p>
      <w:pPr>
        <w:spacing w:after="0" w:line="67"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incurred any actual or contingent liability in connection with any termination of employment of its employees or workers, or for failing to comply with any order for the reinstatement or re-engagement of any employee or worker.</w:t>
      </w:r>
    </w:p>
    <w:p>
      <w:pPr>
        <w:spacing w:after="0" w:line="53"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or provided, or agreed to make or provide, any payment or benefit to any Company Personnel (or their dependents) in connection with the actual or proposed termination or suspension of employment or variation of an employment contract.</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offered, promised or agreed to any future variation in the terms of employment or engagement of any employee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worker.</w:t>
      </w:r>
    </w:p>
    <w:p>
      <w:pPr>
        <w:spacing w:after="0" w:line="98"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Letter includes copies of all contracts, handbooks, policies and other documents which apply to the employees and workers, identifying which applies to which individual.</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agreement or arrangement (whether or not binding) with any trade union, staff association, staff council, works council, information and consultation body or any other worker representatives relating to any Company Personnel and is not involved in any industrial or trade dispute or negotiation regarding a claim with any employee representative body and there is nothing likely to give rise to such a dispute or claim. No Company Personnel is subject to a current disciplinary warning or procedure and as far the Company is aware, there are no disputes or claims threatened or pending in respect of any Company Personnel.</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74" w:lineRule="auto"/>
        <w:tabs>
          <w:tab w:leader="none" w:pos="1236"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conducted its business in all material respects, in compliance with applicable Law, including all applicable Laws regarding developing, testing, manufacturing, marketing, distributing or promoting the products of the Company, or complaint handling or adverse event reporting. The Company has not received any notice or other communication from any Governmental Entity alleging any violation of applicable Law by the Company. The Company has not received any notices of inspectional observations, establishment inspection reports, warning letters, untitled letters, or any other documents received from or issued by any Governmental Entity that indicate or suggest lack of compliance with any applicable Law or regulatory requirements, or other applicable Law by the Company or by persons who are performing services for the benefit of the Company.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9" w:right="459" w:bottom="1440" w:gutter="0" w:footer="0" w:header="0"/>
        </w:sectPr>
      </w:pPr>
    </w:p>
    <w:bookmarkStart w:id="532" w:name="page533"/>
    <w:bookmarkEnd w:id="532"/>
    <w:p>
      <w:pPr>
        <w:ind w:right="140" w:firstLine="987"/>
        <w:spacing w:after="0" w:line="282" w:lineRule="auto"/>
        <w:tabs>
          <w:tab w:leader="none" w:pos="124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Company products have been and are being developed, researched, manufactured, labeled, stored, distributed, imported, exported and tested in compliance in all material respects with all applicable requirements under all applicable Laws.</w:t>
      </w:r>
    </w:p>
    <w:p>
      <w:pPr>
        <w:spacing w:after="0" w:line="53"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tests, preclinical development and clinical trials, if any, conducted by or on behalf of the Company are being conducted in all material respects in accordance with experimental protocols, procedures and controls pursuant to accepted professional and scientific standards for products or product candidates comparable to those being developed by the Company and all applicable Laws and regulations. The descriptions of, protocols for, and data and other results of, the studies, tests, development and trials conducted by or on behalf of the Company that have been furnished or made available to Buyer are accurate and complete. The Company is not aware of any studies, tests, development or trials the results of which reasonably call into question the results of the studies, tests, development and trials conducted by or on behalf of the Company, and the Company has not received any notices or correspondence from any Governmental Entity or any institutional review board or comparable authority requiring the termination, suspension or material modification of any studies, tests, preclinical development or clinical trials conducted by or on behalf of the Company.</w:t>
      </w:r>
    </w:p>
    <w:p>
      <w:pPr>
        <w:spacing w:after="0" w:line="80"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all permits, licenses, registrations, certificates, authorizations, orders and approvals from the appropriate Governmental Entity necessary to conduct its business, including all such permits, licenses, registrations, certificates, authorizations, orders and approvals required by any applicable Governmental Entity engaged in the regulation of drugs, pharmaceuticals, medical devices or biohazardous materials. The Company has not received any notice of proceedings relating to the suspension, modification, revocation or cancellation of any such permit, license, registration, certificate, authorization, order or approval. Neither the Company nor any of its officers, employees, or, to the Company’s knowledge, any of its contractors or agents is the subject of any pending or threatened investigation by any Governmental Entity. Neither the Company nor any of its officers, employees, or to the Company’s knowledge, any of its contractors or agents has made any materially false statements on, or material omissions from, any notifications, applications, approvals, reports and other submissions to any Governmental Entity.</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Registers, Books and Records</w:t>
      </w:r>
      <w:r>
        <w:rPr>
          <w:rFonts w:ascii="Times New Roman" w:cs="Times New Roman" w:eastAsia="Times New Roman" w:hAnsi="Times New Roman"/>
          <w:sz w:val="18"/>
          <w:szCs w:val="18"/>
          <w:color w:val="auto"/>
        </w:rPr>
        <w:t>. All statutory books and registers (including minute books) of the Company have been properly kept, are written up to date and contain a true, complete and accurate record in all respects of all matters which it is required by CA 2006 to record, and accurately reflect all transactions effected in Company Capital Stock through and including the date hereof. The copies of such statutory books and registers made available to Buyer are true, correct and complete copies of the original books and registers. In relation to its register of persons with significant control (to the extent it is required to keep the same), the Company has at all times complied with its duties under section 790D (Duty to investigate and obtain information) and section 790E (Duty to keep information up-to-date) of CA 2006. The meeting minutes, written resolutions in lieu of a meeting, and all such other records and resolutions of the shareholders and Board of Directors of the Company made available to Buyer are up to date, complete and accurately reflect in all material respects all action previously taken by the shareholders, Board of Directors and committees of the Board of Directors of the Company.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9" w:right="479" w:bottom="1440" w:gutter="0" w:footer="0" w:header="0"/>
        </w:sectPr>
      </w:pPr>
    </w:p>
    <w:bookmarkStart w:id="533" w:name="page534"/>
    <w:bookmarkEnd w:id="533"/>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5.21.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All returns, particulars, resolutions and other documents that the Company is required by applicable Law to file with, or deliver to, any authority in any jurisdiction (including, in particular, the Registrar of Companies in England and Wales) have been correctly made up and duly filed or delivered (as the case may be). No warning notice or restrictions notice has been issued under Schedule 1B (Enforcement of disclosure requirements) of CA 2006 in respect of any shares or voting rights in, or any right to appoint or remove any member of the board of directors of, the Company.</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set forth on Section 5.22 of the Disclosure Letter, the Company has no Liability to any investment banker, broker, finder, consultant or intermediary in connection with the transactions contemplated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BUYER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Buyer represents and warrants to each of the Sellers, as of the date hereof, as follows:</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Buyer is a corporation duly organized, validly existing and in good standing under the Laws of its jurisdiction of incorporation, and has all requisite power and authority to own, lease and operate its assets and properties and to carry on its business as now being conducted and as presently proposed to be conducted by it. Buyer is duly qualified or licensed to conduct its business as currently conducted and, to the extent applicable, is in good standing, in each jurisdiction in which the character or location of the property owned, leased or operated by it or the nature of its business makes such qualification necessary except where the failure to be so qualified would not reasonably be expected to result in material adverse effect on Buyer or its business taken as a whole.</w:t>
      </w:r>
    </w:p>
    <w:p>
      <w:pPr>
        <w:spacing w:after="0" w:line="18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Binding Agreement. Buyer has all requisite corporate power and authority to execute and deliver this Agreement, to consummate the transactions contemplated hereunder, and to perform its obligations hereunder and thereunder. The execution and delivery by Buyer of this Agreement, and the consummation by Buyer of the transactions contemplated hereunder, have been duly authorized by all necessary corporate action on the part of Buyer, and no other proceedings on the part of Buyer are necessary to authorize this Agreement or to consummate the transactions contemplated hereunder. This Agreement has been duly executed and delivered by Buyer and, assuming the due execution of this Agreement by the other parties thereto, constitutes a valid and binding obligation of Buyer, enforceable against Buyer in accordance with its terms, subject to applicable bankruptcy, insolvency, reorganization, fraudulent transfer, moratorium or similar Laws affecting creditors’ rights generally and general principles of equity.</w:t>
      </w:r>
    </w:p>
    <w:p>
      <w:pPr>
        <w:spacing w:after="0" w:line="192"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Buyer as of the date hereof consists of 49,000,000 shares of Buyer Common Stock, 5,432,976 of which are issued and outstanding, 30,106,078 shares of Buyer A Preferred Stock, 14,308,714 of which are issued and outstanding. All such outstanding shares of Buyer Common Stock and Buyer A Preferred Stock have been duly authorized and validly issued, and are fully paid and nonassessable. Buyer has reserved 3,685,212 shares of Buyer Common Stock for issuance to officers,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9" w:right="459" w:bottom="1440" w:gutter="0" w:footer="0" w:header="0"/>
        </w:sectPr>
      </w:pPr>
    </w:p>
    <w:bookmarkStart w:id="534" w:name="page535"/>
    <w:bookmarkEnd w:id="53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 and consultants of the Company pursuant to its 2021 Equity Incentive Plan (the “</w:t>
      </w:r>
      <w:r>
        <w:rPr>
          <w:rFonts w:ascii="Times New Roman" w:cs="Times New Roman" w:eastAsia="Times New Roman" w:hAnsi="Times New Roman"/>
          <w:sz w:val="18"/>
          <w:szCs w:val="18"/>
          <w:i w:val="1"/>
          <w:iCs w:val="1"/>
          <w:color w:val="auto"/>
        </w:rPr>
        <w:t>Buyer Plan</w:t>
      </w:r>
      <w:r>
        <w:rPr>
          <w:rFonts w:ascii="Times New Roman" w:cs="Times New Roman" w:eastAsia="Times New Roman" w:hAnsi="Times New Roman"/>
          <w:sz w:val="18"/>
          <w:szCs w:val="18"/>
          <w:color w:val="auto"/>
        </w:rPr>
        <w:t>”). Other than options granted under the Buyer Plan, there are no outstanding options, warrants, rights (including conversion or preemptive rights and rights of first refusal or similar rights) or agreements, orally or in writing, to purchase or acquire from Buyer any shares of Buyer Common Stock, Buyer A Preferred Stock or any securities convertible into or exchangeable for shares of either Buyer Common Stock or Buyer A Preferred Stock. The rights and privileges of each class of Buyer’s capital stock are set forth in the certificate of incorporation of Buyer, as amended or restated from time to time. All the Buyer Common Stock to be issued in connection with the Share Consideration will be, when issued on the terms and conditions of this Agreement, duly authorized, validly issued, fully paid and nonassessable and not subject to or issued in violation of any purchase option, call option, right of first refusal, preemptive right, subscription right or any similar right under any provision of the certificate of incorporation or bylaws of Buyer, as amended or restated from time to time, or any agreement to which Buyer is a party or is otherwise bound. Buyer has reserved out of its authorized capital stock a sufficient number of shares of Buyer Common Stock to issue such Buyer Common Stock (as the case may be) at the Closing.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5" w:lineRule="auto"/>
        <w:tabs>
          <w:tab w:leader="none" w:pos="123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Buyer of this Agreement, the consummation of the transactions contemplated hereunder and the compliance by Buyer with the provisions of this Agreement will not (i) result in the breach of any of the terms or conditions of, or constitute a default under or violate (in each case, with or without due notice or lapse of time or both), as the case may be, the Constitutive Documents of Buyer, or any material Contract to which Buyer is bound, or by which any of its assets or properties may be affected or (ii) violate any Law or Judgment applicable to Buyer, prevent or materially delay the consummation of any of the transactions contemplated hereunder, result in a material adverse change to the business, financial condition or operations of Buyer, or (iii) result in the imposition or creation of any Lien upon or with respect to any of its assets or properties.</w:t>
      </w:r>
    </w:p>
    <w:p>
      <w:pPr>
        <w:spacing w:after="0" w:line="80" w:lineRule="exact"/>
        <w:rPr>
          <w:rFonts w:ascii="Times New Roman" w:cs="Times New Roman" w:eastAsia="Times New Roman" w:hAnsi="Times New Roman"/>
          <w:sz w:val="18"/>
          <w:szCs w:val="18"/>
          <w:color w:val="auto"/>
        </w:rPr>
      </w:pPr>
    </w:p>
    <w:p>
      <w:pPr>
        <w:ind w:right="400" w:firstLine="987"/>
        <w:spacing w:after="0" w:line="266" w:lineRule="auto"/>
        <w:tabs>
          <w:tab w:leader="none" w:pos="124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registration, declaration or filing with, or notice to, any Governmental Entity is required by or with respect to Buyer in connection with the execution and delivery by Buyer of this Agreement, the consummation by Buyer of the transactions contemplated by this Agreement or the compliance by Buyer with the provisions of this Agreement.</w:t>
      </w:r>
    </w:p>
    <w:p>
      <w:pPr>
        <w:spacing w:after="0" w:line="176" w:lineRule="exact"/>
        <w:rPr>
          <w:sz w:val="20"/>
          <w:szCs w:val="20"/>
          <w:color w:val="auto"/>
        </w:rPr>
      </w:pPr>
    </w:p>
    <w:p>
      <w:pPr>
        <w:ind w:right="5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Buyer has not employed or entered into any Contract with any investment banker, broker, finder, consultant or intermediary in connection with the transactions contemplated by this Agreement, pursuant to which the Sellers could be liable for the fee or commission of such investment banker, broker, finder, consultant or intermediary, or for any similar fee or commission in connection with this Agreement or the transactions contemplated hereunder.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pending against, or to the knowledge of Buyer’s officers, threatened against, Buyer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7" w:right="479" w:bottom="1440" w:gutter="0" w:footer="0" w:header="0"/>
        </w:sectPr>
      </w:pPr>
    </w:p>
    <w:bookmarkStart w:id="535" w:name="page536"/>
    <w:bookmarkEnd w:id="53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SELLERS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Seller, severally and not jointly, represents and warrants to Buyer as of the date hereof, except as disclosed in the Disclosure Letter,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Power and Authority; Binding Agreement; Bankruptcy</w:t>
      </w:r>
      <w:r>
        <w:rPr>
          <w:rFonts w:ascii="Times New Roman" w:cs="Times New Roman" w:eastAsia="Times New Roman" w:hAnsi="Times New Roman"/>
          <w:sz w:val="18"/>
          <w:szCs w:val="18"/>
          <w:color w:val="auto"/>
        </w:rPr>
        <w:t>. If such Seller is an individual, such Seller has the requisite legal capacity, competence and authority to execute, deliver and perform this Agreement, to consummate the transactions contemplated hereunder, and to perform its obligations hereunder (including to sell, transfer, assign and deliver its Sale Shares as provided in this Agreement). If such Seller is not an individual, such Seller has all requisite corporate power and authority to execute and deliver this Agreement, to consummate the transactions contemplated hereunder, and to perform its obligations hereunder (including to sell, transfer, assign and deliver its Sale Shares as provided in this Agreement). The execution and delivery by such Seller of this Agreement, and the consummation by such Seller of the transactions contemplated hereunder, have been duly authorized on the part of such Seller or such Seller’s securityholders, and no other proceedings on the part of such Seller are necessary to authorize this Agreement or to consummate the transactions contemplated hereunder. This Agreement has been duly executed and delivered by such Seller and, assuming the due execution of this Agreement by the other parties thereto, constitutes a valid and binding obligation of such Seller, enforceable against such Seller in accordance with its terms, subject to applicable bankruptcy, insolvency, reorganization, fraudulent transfer, moratorium or similar Laws affecting creditors’ rights generally and general principles of equity. If such Seller is an individual, it/he/she is not insolvent or bankrupt under any Laws applicable to it/him/her, nor is it/he/she unable to pay his/her/its debts as they fall due, nor has any arrangement (whether by court proceedings or otherwise) been proposed under which its/his/her creditors (or any group of them) could receive less than the amounts due to them nor are any proceedings in relation to any compromise or arrangement with creditors, any winding up, bankruptcy or other insolvency proceedings concerning it/him/her (or any of its/his/her assets or interests) current, pending or threatened.</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87"/>
        <w:spacing w:after="0" w:line="255" w:lineRule="auto"/>
        <w:tabs>
          <w:tab w:leader="none" w:pos="123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Seller of this Agreement, the consummation of the transactions contemplated hereunder and the compliance by such Seller with the provisions of this Agreement will not (i) result in the breach of any of the terms or conditions of, or constitute a default under or violate, as the case may be, the Constitutive Documents of such Seller (if applicable), or any material Contract to which such Seller is bound, or by which any of its assets or properties may be affected or (ii) violate any Law or Judgment applicable to such Seller, other than any such breaches, defaults or violations that individually or in the aggregate are not likely to impair in any material respect the ability of such Seller to perform its obligations under this Agreement, prevent or materially delay the consummation of any of the transactions contemplated hereunder, or result in a material adverse change to the business, financial condition or operations of such Seller.</w:t>
      </w:r>
    </w:p>
    <w:p>
      <w:pPr>
        <w:spacing w:after="0" w:line="80"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registration, declaration or filing with, or notice to, any Governmental Entity is required by or with respect to such Seller in connection with the execution and delivery by such Seller of this Agreement, the consummation by such Seller of the transactions contemplated by this Agreement or the compliance by such Seller with the provisions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9" w:right="459" w:bottom="1440" w:gutter="0" w:footer="0" w:header="0"/>
        </w:sectPr>
      </w:pPr>
    </w:p>
    <w:bookmarkStart w:id="536" w:name="page537"/>
    <w:bookmarkEnd w:id="5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Times New Roman" w:cs="Times New Roman" w:eastAsia="Times New Roman" w:hAnsi="Times New Roman"/>
          <w:sz w:val="18"/>
          <w:szCs w:val="18"/>
          <w:u w:val="single" w:color="auto"/>
          <w:color w:val="auto"/>
        </w:rPr>
        <w:t>Sale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87"/>
        <w:spacing w:after="0" w:line="256" w:lineRule="auto"/>
        <w:tabs>
          <w:tab w:leader="none" w:pos="123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is the registered and sole legal and beneficial owner of its Sale Shares, free and clear of all Liens (other than Permitted Liens), and the transfer of such Sale Shares to Buyer under this Agreement at the Closing constitutes the transfer of the whole of the right, title and interest (including all legal title to, and all beneficial interest in) such Sale Shares free from all and clear of all Liens (other than Permitted Liens) and that it/he/she is entitled to so transfer such Sale Shares to Buyer pursuant to this Agreement. Save for the Sale Shares to be transferred to Buyer by it/him/her at the Closing in accordance with this Agreement, it/he/she does not hold any right, title or interest in respect of any further Relevant Securities of the Company.</w:t>
      </w:r>
    </w:p>
    <w:p>
      <w:pPr>
        <w:spacing w:after="0" w:line="79"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existing option, warrant, call, right or contract to which such Seller is a party requiring the issuance, sale or transfer of any additional Capital Stock of the Company or evidencing the right to subscribe to or purchase any Capital Stock of the Company.</w:t>
      </w:r>
    </w:p>
    <w:p>
      <w:pPr>
        <w:spacing w:after="0" w:line="53"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it/he/she (nor any of its/his/her associates) has any right, title or interest in the business of, or any assets owned or used by, the Company, nor is it/he/she (nor any of its/his/her associates) party to any contract, agreement or arrangement with the Company in respect of his/her employment with the Company other than as set out in Section 7.3(c) of the Disclosure Letter.</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or indebtedness is outstanding from the Company to such Seller (or any of its/his/her associates), nor does it/he/she (nor any of its/his/her associates) benefit from any guarantee, indemnity or other surety given by the Company (save, where applicable, in respect of pensions, benefits, insurances and indemnities concerning current and prior officers, employees and consultants of the Company and arising under the terms, or otherwise by reason, of their employment), nor is any loan or indebtedness outstanding from, or otherwise payable (whether or not subject to any contingency) by, it/him/her (or any of its/his/her associates) to the Company.</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(nor any of its/his/hers associates) has no outstanding or pending litigation, dispute or legal proceedings against the Company (or any officer, employee, consultant, auditor or professional adviser of the Company), nor is any litigation, dispute or legal proceedings threatened against the Company (or any officer, employee, consultant, auditor or professional adviser of the Company) by it/him/her (or any of its/his/her associates) and, so far as it/he/she is aware, no matter, fact or circumstance exists which entitles (or so far as the relevant Seller is aware which is reasonably likely to entitle) it/him/her (or any of its/his/her associates) to bring any litigation, dispute or legal proceedings against the Company (or any officer, employee, consultant, auditor or professional adviser of the Company).</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Such Seller has not employed or entered into any Contract with any investment banker, broker, finder, consultant or intermediary in connection with the transactions contemplated by this Agreement, pursuant to which Buyer could be liable for the fee or commission of such investment banker, broker, finder, consultant or intermediary, or for any similar fee or commission in connection with this Agreement or the transactions contemplated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9" w:right="459" w:bottom="1440" w:gutter="0" w:footer="0" w:header="0"/>
        </w:sectPr>
      </w:pPr>
    </w:p>
    <w:bookmarkStart w:id="537" w:name="page538"/>
    <w:bookmarkEnd w:id="537"/>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7.5. </w:t>
      </w:r>
      <w:r>
        <w:rPr>
          <w:rFonts w:ascii="Times New Roman" w:cs="Times New Roman" w:eastAsia="Times New Roman" w:hAnsi="Times New Roman"/>
          <w:sz w:val="18"/>
          <w:szCs w:val="18"/>
          <w:u w:val="single" w:color="auto"/>
          <w:color w:val="auto"/>
        </w:rPr>
        <w:t>Promissory Notes</w:t>
      </w:r>
      <w:r>
        <w:rPr>
          <w:rFonts w:ascii="Times New Roman" w:cs="Times New Roman" w:eastAsia="Times New Roman" w:hAnsi="Times New Roman"/>
          <w:sz w:val="18"/>
          <w:szCs w:val="18"/>
          <w:color w:val="auto"/>
        </w:rPr>
        <w:t>. Each Seller represents and warrants that any Promissory Notes issued to such Seller are not being acquired with a view to any public distribution thereof. Each Seller has sufficient knowledge and experience in financial and business matters so as to be capable of evaluating the merits and risks of its acquisition of the Promissory Notes and is capable of bearing the economic risks of such acquisition. Each Seller understands and acknowledges that the Promissory Notes have not been registered under the Securities Act, the Exchange Act, or any other securities Laws of any jurisdiction and that the Promissory Notes may not be sold, transferred, offered for sale, pledged, hypothecated or otherwise disposed of unless such transfer, sale, assignment, pledge, hypothecation or other disposition is pursuant to (a) the terms of an effective registration statement under the Securities Act and the Promissory Notes are registered under any applicable state or foreign securities Laws or (b) an exemption from registration under the Securities Act, and any applicable state or foreign securities Laws.</w:t>
      </w:r>
    </w:p>
    <w:p>
      <w:pPr>
        <w:spacing w:after="0" w:line="192"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Seller is either (a) an “accredited investor” as that term is defined in Rule 501 of Regulation D under the Securities Act or (b) not a US Person and located outside of the United States.</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55" w:lineRule="auto"/>
        <w:tabs>
          <w:tab w:leader="none" w:pos="124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make available for inspection by Buyer and its Representatives such of its properties, assets, books of accounts, records (including the work papers of its independent accountants), data and Intellectual Property, and Contracts and any other materials to the extent reasonably requested by Buyer relating to the Company and its existing and prospective businesses and assets and Liabilities, in each case, upon reasonable notice and at such times as Buyer may reasonably request, and (ii) make available to Buyer and its Representatives, the officers, other senior management and Representatives of the Company for interviews, upon reasonable notice at such times as Buyer and its Representatives may reasonably request, to verify and discuss the information furnished to Buyer and its Representatives and otherwise discuss the Company’s existing and prospective businesses and assets and Liabilities. </w:t>
      </w:r>
    </w:p>
    <w:p>
      <w:pPr>
        <w:spacing w:after="0" w:line="80"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such inspections, interviews, and access for investigations shall be conducted in compliance with applicable Law (including any applicable competition, antitrust or trade regulation Law), in accordance with the terms of any applicable lease or other applicable agreements, during normal business hours and in a manner that does not unreasonably interfere with the conduct of the business of the Company. Notwithstanding anything herein to the contrary, no such access or examination shall be permitted to the extent that it would require the Company or any Seller to disclose information if such disclosure (i) would result in the waiver of any attorney-client privilege or attorney work product privilege,</w:t>
      </w:r>
    </w:p>
    <w:p>
      <w:pPr>
        <w:spacing w:after="0" w:line="3" w:lineRule="exact"/>
        <w:rPr>
          <w:rFonts w:ascii="Times New Roman" w:cs="Times New Roman" w:eastAsia="Times New Roman" w:hAnsi="Times New Roman"/>
          <w:sz w:val="18"/>
          <w:szCs w:val="18"/>
          <w:color w:val="auto"/>
        </w:rPr>
      </w:pPr>
    </w:p>
    <w:p>
      <w:pPr>
        <w:jc w:val="both"/>
        <w:ind w:left="4" w:right="80" w:hanging="4"/>
        <w:spacing w:after="0" w:line="255" w:lineRule="auto"/>
        <w:tabs>
          <w:tab w:leader="none" w:pos="26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breach any third party confidentiality obligations to which the Company is bound, or (iii) would violate any applicable Law; provided that, in each case, the Company shall use its commercially reasonable efforts to communicate to Buyer the requested information in a way that would not result in any waiver, breach, or violation contemplated by clauses (i) through (iii), respectively.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69" w:right="439" w:bottom="1440" w:gutter="0" w:footer="0" w:header="0"/>
        </w:sectPr>
      </w:pPr>
    </w:p>
    <w:bookmarkStart w:id="538" w:name="page539"/>
    <w:bookmarkEnd w:id="5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6" w:lineRule="auto"/>
        <w:tabs>
          <w:tab w:leader="none" w:pos="123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timely prepare and file any Tax Return required to be filed by the Company on or before the Closing Date (not including any extensions thereof), and timely pay any Tax reflected thereon. The Company will prepare such Tax Returns in accordance with applicable Law, and consistent with past custom and practice unless otherwise required by applicable Law.</w:t>
      </w:r>
    </w:p>
    <w:p>
      <w:pPr>
        <w:spacing w:after="0" w:line="67" w:lineRule="exact"/>
        <w:rPr>
          <w:rFonts w:ascii="Times New Roman" w:cs="Times New Roman" w:eastAsia="Times New Roman" w:hAnsi="Times New Roman"/>
          <w:sz w:val="18"/>
          <w:szCs w:val="18"/>
          <w:color w:val="auto"/>
        </w:rPr>
      </w:pPr>
    </w:p>
    <w:p>
      <w:pPr>
        <w:ind w:firstLine="987"/>
        <w:spacing w:after="0" w:line="274" w:lineRule="auto"/>
        <w:tabs>
          <w:tab w:leader="none" w:pos="1246"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will prepare any Tax Return of the Company (i) required to be filed after the Closing Date or (ii) which Buyer determines was required to be filed prior to the Closing Date but which was not filed prior to the Closing Date. In respect of Section 8.2 (b)(ii) all such Tax Returns shall be prepared in a manner consistent with past custom and practice, in accordance with GAAP, except as otherwise required by applicable Law. The Buyer shall furnish a completed copy of such Tax Returns to the Sellers’ Representatives for review not later than twenty (20) days before the Buyer intends to file such Tax Returns. The Sellers’ Representatives shall provide any comments no later than ten (10) days prior to such filing date and Buyer shall consider in good faith and reflect in such Tax Return any reasonable comments made by Sellers’ Representatives prior to the filing of such Tax Returns.</w:t>
      </w:r>
    </w:p>
    <w:p>
      <w:pPr>
        <w:spacing w:after="0" w:line="64" w:lineRule="exact"/>
        <w:rPr>
          <w:rFonts w:ascii="Times New Roman" w:cs="Times New Roman" w:eastAsia="Times New Roman" w:hAnsi="Times New Roman"/>
          <w:sz w:val="17"/>
          <w:szCs w:val="17"/>
          <w:color w:val="auto"/>
        </w:rPr>
      </w:pPr>
    </w:p>
    <w:p>
      <w:pPr>
        <w:ind w:right="140" w:firstLine="987"/>
        <w:spacing w:after="0" w:line="272" w:lineRule="auto"/>
        <w:tabs>
          <w:tab w:leader="none" w:pos="1236"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shall be responsible for all transfer, documentary, sales, use, recordation, registration and other such Taxes (including any stamp duty and all applicable real estate transfer or gains Taxes), Indirect Taxes and related fees (including any penalties, interest and additions to Tax) incurred in connection with the consummation of the transactions contemplated by this Agreement as required by applicable Law (“</w:t>
      </w:r>
      <w:r>
        <w:rPr>
          <w:rFonts w:ascii="Times New Roman" w:cs="Times New Roman" w:eastAsia="Times New Roman" w:hAnsi="Times New Roman"/>
          <w:sz w:val="17"/>
          <w:szCs w:val="17"/>
          <w:i w:val="1"/>
          <w:iCs w:val="1"/>
          <w:color w:val="auto"/>
        </w:rPr>
        <w:t>Transfer Taxes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Buyer and the Sellers will reasonably cooperate with each other to timely file such Tax Returns and lawfully minimize any such Transfer Taxes.</w:t>
      </w:r>
    </w:p>
    <w:p>
      <w:pPr>
        <w:spacing w:after="0" w:line="98" w:lineRule="exact"/>
        <w:rPr>
          <w:rFonts w:ascii="Times New Roman" w:cs="Times New Roman" w:eastAsia="Times New Roman" w:hAnsi="Times New Roman"/>
          <w:sz w:val="17"/>
          <w:szCs w:val="17"/>
          <w:color w:val="auto"/>
        </w:rPr>
      </w:pPr>
    </w:p>
    <w:p>
      <w:pPr>
        <w:ind w:firstLine="987"/>
        <w:spacing w:after="0" w:line="253" w:lineRule="auto"/>
        <w:tabs>
          <w:tab w:leader="none" w:pos="124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the Sellers, the Sellers’ Representatives and the Company shall cooperate fully, as and to the extent reasonably requested by the Buyer, in connection with the filing of Tax Returns pursuant to this Agreement and any audit, administrative proceeding or judicial proceeding involving Taxes. Such cooperation shall include the retention and (upon the Buyer’s request) the provision of records and information which are reasonably relevant to any such Tax Returns, audits, or administrative or judicial proceedings related to Taxes, including all records and information reasonably capable of being obtained or created, and making employees available on a mutually convenient basis to provide additional information and explanation of any material provided hereunder through the applicable statute of limitations. Buyer, the Company, and the Sellers’ Representatives (to the extent it is lawfully within its powers to do so) agree (A) to retain all books and records with respect to Tax matters pertinent to the Company relating to any Taxable Period beginning before the Closing Date until the expiration of the statute of limitations (including any extensions thereof) of the respective Taxable Periods, and to abide by all record retention Laws of, and agreements entered into with, any Governmental Entity; (B) to deliver or make available to Buyer, within 60 calendar days after the Closing Date, copies of all such books and records; and (C) to give the Buyer reasonable written notice prior to transferring, destroying or discarding any such books and records and, if the other Party so requests, Buyer, the Company, and the Sellers’ Representatives, as the case may be, will allow the other Party to prepare copies of such books and records at such other party’s expense.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9" w:right="459" w:bottom="1440" w:gutter="0" w:footer="0" w:header="0"/>
        </w:sectPr>
      </w:pPr>
    </w:p>
    <w:bookmarkStart w:id="539" w:name="page540"/>
    <w:bookmarkEnd w:id="539"/>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30" w:lineRule="auto"/>
        <w:tabs>
          <w:tab w:leader="none" w:pos="121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9.8, from and after the Effective Time until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thereof, Buyer shall, and shall cause the Company to, fulfill and honor in all respects the obligations of the Company pursuant to any indemnification provisions under the Constitutive Documents of the Company as in effect on the date of this Agreement and pursuant to any indemnity agreements between the Company and any Person as in effect on the date of this Agreement (the Persons entitled to be indemnified pursuant to such provisions, and all other current and former directors and officers of the Company, being referred to collectively as the “</w:t>
      </w:r>
      <w:r>
        <w:rPr>
          <w:rFonts w:ascii="Times New Roman" w:cs="Times New Roman" w:eastAsia="Times New Roman" w:hAnsi="Times New Roman"/>
          <w:sz w:val="18"/>
          <w:szCs w:val="18"/>
          <w:i w:val="1"/>
          <w:iCs w:val="1"/>
          <w:color w:val="auto"/>
        </w:rPr>
        <w:t>D&amp;O Indemnified Parties</w:t>
      </w:r>
      <w:r>
        <w:rPr>
          <w:rFonts w:ascii="Times New Roman" w:cs="Times New Roman" w:eastAsia="Times New Roman" w:hAnsi="Times New Roman"/>
          <w:sz w:val="18"/>
          <w:szCs w:val="18"/>
          <w:color w:val="auto"/>
        </w:rPr>
        <w:t>”). From and after the Effective Time until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thereof, Buyer shall cause the Constitutive Documents of the Company to contain the same (or substantially similar) provisions with respect to indemnification and exculpation from liability set forth in the Company’s Constitutive Documents on the date of this Agreement, which provisions shall not be amended, repealed or otherwise modified after the Effective Time in any manner that could adversely affect the rights thereunder of any D&amp;O Indemnified Party.</w:t>
      </w:r>
    </w:p>
    <w:p>
      <w:pPr>
        <w:spacing w:after="0" w:line="198"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2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8.2(b) shall survive the consummation of the Closing and the Effective Time, is intended to benefit and may be enforced by the Company, Buyer, and the D&amp;O Indemnified Parties, and shall be binding on all successors and assigns of Buyer and the Company.</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Securities Laws; Restrictions on Transfer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61" w:lineRule="auto"/>
        <w:tabs>
          <w:tab w:leader="none" w:pos="121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and understands that the Sale Shares have not been, and will not be, registered under the Securities Act or the securities laws of any state or other Governmental Entity and that the Sale Shares may be sold or disposed of only in one or more transactions (i) registered under the Securities Act, applicable state securities laws and/or the laws of any other applicable Governmental Entity or (ii) as to which an exemption from the registration requirements of the Securities Act, applicable state securities laws or the laws of any other applicable Governmental Entity is available.</w:t>
      </w:r>
    </w:p>
    <w:p>
      <w:pPr>
        <w:spacing w:after="0" w:line="71"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agrees and understands that the Consideration Shares have not been, and will not be, registered under the Securities Act or the securities laws of any state or other Governmental Entity and that the Consideration Shares may be sold or disposed of only in one or more transactions (i) registered under the Securities Act, applicable state securities laws and/or the laws of any other applicable Governmental Entity or (ii) as to which an exemption from the registration requirements of the Securities Act, applicable state securities laws or the laws of any other applicable Governmental Entity is available.</w:t>
      </w:r>
    </w:p>
    <w:p>
      <w:pPr>
        <w:spacing w:after="0" w:line="75" w:lineRule="exact"/>
        <w:rPr>
          <w:rFonts w:ascii="Times New Roman" w:cs="Times New Roman" w:eastAsia="Times New Roman" w:hAnsi="Times New Roman"/>
          <w:sz w:val="18"/>
          <w:szCs w:val="18"/>
          <w:color w:val="auto"/>
        </w:rPr>
      </w:pPr>
    </w:p>
    <w:p>
      <w:pPr>
        <w:jc w:val="both"/>
        <w:ind w:left="-20" w:right="140" w:firstLine="987"/>
        <w:spacing w:after="0" w:line="261" w:lineRule="auto"/>
        <w:tabs>
          <w:tab w:leader="none" w:pos="121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agrees that for so long as any Consideration Shares are “restricted securities” within the meaning of Rule 144(a)(3) under the Securities Act, it will not, and will procure that its Affiliates do not, resell in the United States or to any US Person, or to any person acting for the benefit or account of any US Person, any Consideration Shares that have been acquired by any of them unless pursuant to registration under the Securities Act or pursuant to an available exemption from registration.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60" w:top="269" w:right="479" w:bottom="1440" w:gutter="0" w:footer="0" w:header="0"/>
        </w:sectPr>
      </w:pPr>
    </w:p>
    <w:bookmarkStart w:id="540" w:name="page541"/>
    <w:bookmarkEnd w:id="540"/>
    <w:p>
      <w:pPr>
        <w:ind w:right="260" w:firstLine="987"/>
        <w:spacing w:after="0" w:line="255" w:lineRule="auto"/>
        <w:tabs>
          <w:tab w:leader="none" w:pos="124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Seller agrees that, he, she or it shall only sell, assign, transfer or otherwise dispose of shares of Buyer Common Stock that it acquires in connection with this Agreement or subsequently acquires (i) in compliance with the Constitutive Documents of Buyer, any stockholder or other agreements to which the Seller is bound and this Agreement, and (ii) if, prior to such sale, assignment, transfer or other disposal, the applicable transferee signs a counterpart to this Agreement pursuant to which such transferee agrees to be bound by the terms of this Agreement and to be a “Seller” hereunder if the sale, assignment, transfer or other disposal is consummated prior to the expiration of all indemnification survival periods set out in Section 9.1;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subsequent transfer of the Buyer Common Stock by any such transferee shall also be made pursuant to, and in accordance with, all of the provisions of this Section 8.4(c) to the same extent as if each such transferee were a Seller.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and the Company acknowledge that the information provided to it and its Affiliates in connection with the consummation of the transactions contemplated by this Agreement is subject to the terms of the Non-Disclosure Agreement, and the Parties shall comply with and shall cause their respective Representatives (as defined in the Non-Disclosure Agreement) to comply with all of their respective obligations thereunder. Effective upon, and only upon, the Closing, the Non-Disclosure Agreement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claim for breach of the Non-Disclosure Agreement shall survive such termination. Until the fifth anniversary of the Closing Date, each of the Sellers shall keep in confidence and shall not disclose, and shall cause their Affiliates and Representatives to keep in confidence and not disclose, the information or materials provided to it and its Affiliates or Representatives in connection with the consummation of the transactions contemplated by this Agreement, including any such information provided in connection with the negotiation of or discussions regarding this Agreement and the transactions contemplated herein, as well as the terms and conditions of this Agreement and the other documents and agreements contemplated herein and any terms and conditions arising out of or relating thereto (collectively, the “</w:t>
      </w:r>
      <w:r>
        <w:rPr>
          <w:rFonts w:ascii="Times New Roman" w:cs="Times New Roman" w:eastAsia="Times New Roman" w:hAnsi="Times New Roman"/>
          <w:sz w:val="18"/>
          <w:szCs w:val="18"/>
          <w:i w:val="1"/>
          <w:iCs w:val="1"/>
          <w:color w:val="auto"/>
        </w:rPr>
        <w:t>Confidential Materials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the Sellers and their respective Affiliates and Representatives shall be permitted to disclose and use such Confidential Materials (i) in order to comply with applicable Law and their respective regulatory, stock exchange, tax and financial reporting requirements, (ii) in connection with any Action and (iii) in order to perform their respective obligations or exercise their respective rights or remedies under this Agreement.</w:t>
      </w:r>
    </w:p>
    <w:p>
      <w:pPr>
        <w:spacing w:after="0" w:line="79"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agreement or document contemplated herein (or the Non-Disclosure Agreement), following the Closing, in no event shall Buyer or its Affiliates be subject to any restriction with respect to any use or disclosure of any Confidential Information (as defined in the Non-Disclosure Agreement) or any Confidential Materials of the Company.</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None of the Parties shall, and each Party shall use commercially reasonable efforts to cause its officers, directors, employees, advisors and other Representatives not to, issue a press release or public announcement or otherwise make any public disclosure concerning the subject matter of this Agreement or the transactions contemplated hereby without the prior written approval of Buyer and the Company (or, after the Closing, the Sellers’ Representatives). </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9" w:right="459" w:bottom="1440" w:gutter="0" w:footer="0" w:header="0"/>
        </w:sectPr>
      </w:pPr>
    </w:p>
    <w:bookmarkStart w:id="541" w:name="page542"/>
    <w:bookmarkEnd w:id="54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in this Agreement, each of the Parties shall bear its own fees and expenses incurred or owed in connection with this Agreement and the transactions contemplated hereby and thereby.</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Payment of Company’s Indebtedness and Transaction Expenses</w:t>
      </w:r>
      <w:r>
        <w:rPr>
          <w:rFonts w:ascii="Times New Roman" w:cs="Times New Roman" w:eastAsia="Times New Roman" w:hAnsi="Times New Roman"/>
          <w:sz w:val="18"/>
          <w:szCs w:val="18"/>
          <w:color w:val="auto"/>
        </w:rPr>
        <w:t>. No later than ten (10) Business Days after the date hereof, Buyer shall pay (or cause to be paid) the Company’s Indebtedness and Transaction Expenses to the extent still outstanding following the Closing in the amounts and to the Persons set forth on the Estimated Closing Statement.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1" w:lineRule="auto"/>
        <w:tabs>
          <w:tab w:leader="none" w:pos="123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inducement to Buyer to enter into this Agreement and any agreements ancillary hereto to which it will be a party and consummate the transactions contemplated hereby and thereby and for other good and sufficient consideration, each of the Sellers, with the intention of binding itself and any other Person to the extent claiming through such Seller (including such Seller’s Affiliates, Representatives, heirs, executors, administrators and assigns) (the “</w:t>
      </w:r>
      <w:r>
        <w:rPr>
          <w:rFonts w:ascii="Times New Roman" w:cs="Times New Roman" w:eastAsia="Times New Roman" w:hAnsi="Times New Roman"/>
          <w:sz w:val="18"/>
          <w:szCs w:val="18"/>
          <w:i w:val="1"/>
          <w:iCs w:val="1"/>
          <w:u w:val="single" w:color="auto"/>
          <w:color w:val="auto"/>
        </w:rPr>
        <w:t>Releasors</w:t>
      </w:r>
      <w:r>
        <w:rPr>
          <w:rFonts w:ascii="Times New Roman" w:cs="Times New Roman" w:eastAsia="Times New Roman" w:hAnsi="Times New Roman"/>
          <w:sz w:val="18"/>
          <w:szCs w:val="18"/>
          <w:color w:val="auto"/>
        </w:rPr>
        <w:t>”), does hereby (effective as of and subject to the Closing) unconditionally and irrevocably release, acquit and forever discharge Buyer and each of its past, present and future Affiliates and Representatives, including the Company, and all Persons acting by, through, under, or in concert with any of such Persons (the “</w:t>
      </w:r>
      <w:r>
        <w:rPr>
          <w:rFonts w:ascii="Times New Roman" w:cs="Times New Roman" w:eastAsia="Times New Roman" w:hAnsi="Times New Roman"/>
          <w:sz w:val="18"/>
          <w:szCs w:val="18"/>
          <w:i w:val="1"/>
          <w:iCs w:val="1"/>
          <w:u w:val="single" w:color="auto"/>
          <w:color w:val="auto"/>
        </w:rPr>
        <w:t>Releasees</w:t>
      </w:r>
      <w:r>
        <w:rPr>
          <w:rFonts w:ascii="Times New Roman" w:cs="Times New Roman" w:eastAsia="Times New Roman" w:hAnsi="Times New Roman"/>
          <w:sz w:val="18"/>
          <w:szCs w:val="18"/>
          <w:color w:val="auto"/>
        </w:rPr>
        <w:t>”), of and from any and all Actions, causes of action, suits, arbitrations, other proceedings, demands, debts, Contracts, promises, Liabilities and Losses of any nature whatsoever, known or unknown, suspected or unsuspected, fixed or contingent, direct, derivative, vicarious or otherwise, whether based in contract, tort, or other legal, statutory, or equitable theory of recovery, each as though fully set forth at length herein (collectively, a “</w:t>
      </w:r>
      <w:r>
        <w:rPr>
          <w:rFonts w:ascii="Times New Roman" w:cs="Times New Roman" w:eastAsia="Times New Roman" w:hAnsi="Times New Roman"/>
          <w:sz w:val="18"/>
          <w:szCs w:val="18"/>
          <w:i w:val="1"/>
          <w:iCs w:val="1"/>
          <w:u w:val="single" w:color="auto"/>
          <w:color w:val="auto"/>
        </w:rPr>
        <w:t>Claim</w:t>
      </w:r>
      <w:r>
        <w:rPr>
          <w:rFonts w:ascii="Times New Roman" w:cs="Times New Roman" w:eastAsia="Times New Roman" w:hAnsi="Times New Roman"/>
          <w:sz w:val="18"/>
          <w:szCs w:val="18"/>
          <w:color w:val="auto"/>
        </w:rPr>
        <w:t>”), which the Releasors now have or may hereafter have against the Releasees, or any of them, by reason of any matter, cause, act, omission or thing whatsoever in any way arising out of, based upon, or relating to such Seller’s ownership of Sale Shares, the organization of the Company, or the operation of the Company’s business prior to the Closing (the “</w:t>
      </w:r>
      <w:r>
        <w:rPr>
          <w:rFonts w:ascii="Times New Roman" w:cs="Times New Roman" w:eastAsia="Times New Roman" w:hAnsi="Times New Roman"/>
          <w:sz w:val="18"/>
          <w:szCs w:val="18"/>
          <w:i w:val="1"/>
          <w:iCs w:val="1"/>
          <w:u w:val="single" w:color="auto"/>
          <w:color w:val="auto"/>
        </w:rPr>
        <w:t>Released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set forth in this Section 8.9 shall release or otherwise affect (i) the right or ability of any such Seller to fully enforce its rights and remedies under this Agreement or any ancillary agreements hereto to which it is a party in accordance with the terms hereof and thereof, (ii) the right of any Releasor to indemnification or insurance benefits under any insurance policy in effect as of the date hereof maintained by or covering the Company or its operations, or from the Company (under its Constitutive Documents or under a Contract), with respect to such Releasor’s service as a director, officer, employee or agent of the Company, (iii) the right of any Releasor to unpaid compensation or other payment for services as an employee of or independent contractor to the Company or to receive benefits under any Company Plan, (iv) any rights of any Releasor arising from or related to fraud or criminal activity committed by any Releasee, (v) any rights of a Releasor in respect of any unknown claims that a Releasor may have arising out of any contractual or commercial relationship such Releasor may have with a Releasee other than the Company that is unrelated to this Agreement or the transactions contemplated hereby, or (vi) any rights of any Releasor that, under applicable Law, cannot be waived. Each Seller expressly consents that this general release shall be given full force and effect according to each and all of its express terms and provisions, including those relating to unknown and unsuspected Released Matters (notwithstanding any Law that expressly limits the effectiveness of a general release of unknown, unsuspected or unanticipated Claims).</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69" w:right="499" w:bottom="1440" w:gutter="0" w:footer="0" w:header="0"/>
        </w:sectPr>
      </w:pPr>
    </w:p>
    <w:bookmarkStart w:id="542" w:name="page543"/>
    <w:bookmarkEnd w:id="542"/>
    <w:p>
      <w:pPr>
        <w:jc w:val="both"/>
        <w:ind w:right="140" w:firstLine="987"/>
        <w:spacing w:after="0" w:line="261" w:lineRule="auto"/>
        <w:tabs>
          <w:tab w:leader="none" w:pos="124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Seller represents and warrants, on a several basis, to Buyer that there has been no assignment or other transfer of any interest in any Claim arising out of or based upon any of the Released Matters which such Seller may have against any of the Releasees, and each Seller agrees to indemnify and hold the Releasees harmless from, and compensate and reimburse them for, any Liabilities, Claims or Losses incurred as a result of any Person asserting any such assignment or transfer of any rights or Claims under any such assignment or transfer from such party.</w:t>
      </w:r>
    </w:p>
    <w:p>
      <w:pPr>
        <w:spacing w:after="0" w:line="71"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represents and warrants, on a several basis, to Buyer that neither it nor its Affiliates has filed, and such Seller shall not, and shall cause its Affiliates not to, file or otherwise seek to assert or assist any other Person in filing or otherwise seeking to assert, nor as of the date hereof has, any Claim arising out of or based upon any of the Released Matters against any of the Releasees. Each Seller agrees that if it hereafter commences, joins in, or in any manner seeks relief through any Action arising out of, based upon, or relating to any of the Claims released hereunder, or in any manner asserts against the Releasees any of the Claims released hereunder, including through any motion to reconsider, reopen or appeal the dismissal of the Action, and the Releasees are the prevailing party in such Action, then such Seller shall pay to the Releasees against whom such Claim(s) is asserted all Losses incurred by such Releasees in defending or otherwise responding to such Claim.</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as and when reasonably requested by any Party, the Parties shall execute and deliver, or cause to be executed and delivered, all such documents and instruments and shall take, or cause to be taken, all such further or other actions as a Party may reasonably deem necessary or desirable in order to carry out the intent and accomplish the purposes of this Agreement and, subject to the conditions of this Agreement, the consummation of the transactions contemplated hereunder.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Subject to the limitations on liability set out in this Agreement, the representations and warranties of the Parties contained in this Agreement shall survive the Closing until the date which is [***]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representations and warranties of the Company contained in Section 5.15 (Taxes) and Section 5.12 (Intellectual Property) shall survive the Closing until the date which is [***] months after the Closing Date, and (ii) the Fundamental Representations (other than the representation and warranties of the Company contained in Section 5.12 (Intellectual Property)) and each of the representations and warranties of each Seller contained in ARTICLE 7 shall survive the Closing until the expiration of [***] years from the Closing Date; and (iii) the indemnities for Tax in Section 9.2(d), Section 9.2(e), Section 9.2(f) and Section 9.2(g) until the expiry of the statute of limitations. All of the other covenants and other agreements of the Parties contained in this Agreement shall survive until fully performed or fulfilled. As used in this ARTICLE 9, “fraud” means intentional fraud (i.e. with scienter). For the avoidance of doubt, no reference in this Agreement, or any certificate delivered pursuant hereto, to any applicable statute of limitations shall be deemed to refer to the Delaware extended breach of contract statute of limitations.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9" w:right="459" w:bottom="1440" w:gutter="0" w:footer="0" w:header="0"/>
        </w:sectPr>
      </w:pPr>
    </w:p>
    <w:bookmarkStart w:id="543" w:name="page544"/>
    <w:bookmarkEnd w:id="543"/>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 </w:t>
      </w:r>
      <w:r>
        <w:rPr>
          <w:rFonts w:ascii="Times New Roman" w:cs="Times New Roman" w:eastAsia="Times New Roman" w:hAnsi="Times New Roman"/>
          <w:sz w:val="18"/>
          <w:szCs w:val="18"/>
          <w:u w:val="single" w:color="auto"/>
          <w:color w:val="auto"/>
        </w:rPr>
        <w:t>Indemnification of Buyer</w:t>
      </w:r>
      <w:r>
        <w:rPr>
          <w:rFonts w:ascii="Times New Roman" w:cs="Times New Roman" w:eastAsia="Times New Roman" w:hAnsi="Times New Roman"/>
          <w:sz w:val="18"/>
          <w:szCs w:val="18"/>
          <w:color w:val="auto"/>
        </w:rPr>
        <w:t>. From and after the Closing, subject to the provisions of this ARTICLE 9, Buyer and its Affiliates (including, from and after the Closing, the Company) and each of their respective officers, directors, employees, shareholders, partners, members or other equity holders, agents and Representatives (each, a “</w:t>
      </w:r>
      <w:r>
        <w:rPr>
          <w:rFonts w:ascii="Times New Roman" w:cs="Times New Roman" w:eastAsia="Times New Roman" w:hAnsi="Times New Roman"/>
          <w:sz w:val="18"/>
          <w:szCs w:val="18"/>
          <w:i w:val="1"/>
          <w:iCs w:val="1"/>
          <w:color w:val="auto"/>
        </w:rPr>
        <w:t>Buyer Indemnified Party</w:t>
      </w:r>
      <w:r>
        <w:rPr>
          <w:rFonts w:ascii="Times New Roman" w:cs="Times New Roman" w:eastAsia="Times New Roman" w:hAnsi="Times New Roman"/>
          <w:sz w:val="18"/>
          <w:szCs w:val="18"/>
          <w:color w:val="auto"/>
        </w:rPr>
        <w:t>”) shall be indemnified by the Sellers, severally (according to such Seller’s Pro Rata Percentage of such Loss, other than as set forth in Section 9.3(b)) but not jointly, against any and all Losses, whether or not involving a Third Party Claim, to the extent arising out of or resulting from:</w:t>
      </w:r>
    </w:p>
    <w:p>
      <w:pPr>
        <w:spacing w:after="0" w:line="75" w:lineRule="exact"/>
        <w:rPr>
          <w:sz w:val="20"/>
          <w:szCs w:val="20"/>
          <w:color w:val="auto"/>
        </w:rPr>
      </w:pPr>
    </w:p>
    <w:p>
      <w:pPr>
        <w:ind w:right="20" w:firstLine="987"/>
        <w:spacing w:after="0" w:line="266" w:lineRule="auto"/>
        <w:tabs>
          <w:tab w:leader="none" w:pos="123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or violation of or inaccuracy in any representation or warranty made by the Company contained in this Agreement but for the purpose of calculating the Pro Rata Percentage of the Loss, the Loss shall be deemed to be 100% of the Loss and not based on the percentage of Sale Shares that are being acquired by the Buyer under this Agreement;</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or violation of any covenant or agreement of the Company contained in this Agreement or in any other document executed and delivered by the Company in connection with the consummation of the transactions contemplated hereby, whether occurring before or at the Closing but not after the Closing but for the purpose of calculating the Pro Rata Percentage of the Loss, the Loss shall be deemed to be 100% of the Loss and not based on the percentage of Sale Shares that are being acquired by the Buyer under this Agreement;</w:t>
      </w:r>
    </w:p>
    <w:p>
      <w:pPr>
        <w:spacing w:after="0" w:line="7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3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breach or violation of or inaccuracy of any representation or warranty of any Seller under ARTICLE 7,(ii) breach of violation of any covenant of any Seller (including under this ARTICLE 9) in or pursuant to this Agreement or (iii) any fraud or willful concealment by any Seller in connection with this Agreement or the transactions contemplated hereby;</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Taxes;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resulting from a breach or violation of a covenant or agreement contained in this Agreement related to Taxes;</w:t>
      </w:r>
    </w:p>
    <w:p>
      <w:pPr>
        <w:spacing w:after="0" w:line="117" w:lineRule="exact"/>
        <w:rPr>
          <w:rFonts w:ascii="Times New Roman" w:cs="Times New Roman" w:eastAsia="Times New Roman" w:hAnsi="Times New Roman"/>
          <w:sz w:val="18"/>
          <w:szCs w:val="18"/>
          <w:color w:val="auto"/>
        </w:rPr>
      </w:pPr>
    </w:p>
    <w:p>
      <w:pPr>
        <w:ind w:right="200" w:firstLine="987"/>
        <w:spacing w:after="0" w:line="312" w:lineRule="auto"/>
        <w:tabs>
          <w:tab w:leader="none" w:pos="1216"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of the Company in any Post-Closing Tax Period attributable to any deferred revenue, prepaid amount, advance payment, or similar item that was received in a Pre-Closing Tax Period and that is includible in income for the relevant Tax purposes in a Post-Closing Tax Period;</w:t>
      </w:r>
    </w:p>
    <w:p>
      <w:pPr>
        <w:spacing w:after="0" w:line="31" w:lineRule="exact"/>
        <w:rPr>
          <w:rFonts w:ascii="Times New Roman" w:cs="Times New Roman" w:eastAsia="Times New Roman" w:hAnsi="Times New Roman"/>
          <w:sz w:val="17"/>
          <w:szCs w:val="17"/>
          <w:color w:val="auto"/>
        </w:rPr>
      </w:pPr>
    </w:p>
    <w:p>
      <w:pPr>
        <w:ind w:right="320" w:firstLine="987"/>
        <w:spacing w:after="0" w:line="282" w:lineRule="auto"/>
        <w:tabs>
          <w:tab w:leader="none" w:pos="124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the Estimated Closing Statement, including any Indebtedness of the Company or Transaction Expenses that were omitted or understated on the Estimated Closing Statement, other than any such amounts accounted for in the Final Closing Statement;</w:t>
      </w:r>
    </w:p>
    <w:p>
      <w:pPr>
        <w:spacing w:after="0" w:line="53"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or disputes with respect to (i) the allocation or payment among the Sellers of any Share Consideration pursuant to the terms of this Agreement or (ii) any claim that the Consideration Schedule is not true, complete and correct in all respects;</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arising at any time in respect of any acquisition, holding or disposal of Buyer Common Stock by the Sellers;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9" w:right="459" w:bottom="1440" w:gutter="0" w:footer="0" w:header="0"/>
        </w:sectPr>
      </w:pPr>
    </w:p>
    <w:bookmarkStart w:id="544" w:name="page545"/>
    <w:bookmarkEnd w:id="544"/>
    <w:p>
      <w:pPr>
        <w:ind w:left="-20" w:right="480" w:firstLine="987"/>
        <w:spacing w:after="0" w:line="282" w:lineRule="auto"/>
        <w:tabs>
          <w:tab w:leader="none" w:pos="118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fraud or willful concealment by or on behalf of the Company including in connection with this Agreement or the transactions contemplated hereby occurring before or at the Closing but not after the Closing.</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Limits on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60" w:firstLine="987"/>
        <w:spacing w:after="0" w:line="253" w:lineRule="auto"/>
        <w:tabs>
          <w:tab w:leader="none" w:pos="121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Seller’s liability in respect of any Loss for which it is obligated to indemnify a Buyer Indemnified Party under Section 9.2 shall be satisfied by way of the Buyer (i) setting-off against and deducting any amounts from the Deferred Consideration Payment to be made to the relevant Seller under the terms of this Agreement, and/or (ii) cancelling Consideration Shares held by such Seller pursuant to Section 9.3(g), and/or (iii) solely with respect to any indemnifiable Losses arising out of or relating to any matter for which indemnification may be sought under Section 9.2(c)(iii) or Section 9.2(j), reclaiming any portion of the Upfront Cash Consideration and the Deferred Consideration Payment, subject in each case to the Loss being determined either by written agreement between the Buyer and the Sellers’ Representatives or by a court of competent jurisdiction (in accordance with Section 10.4) as a Loss for which the Sellers are liable to indemnify the Buyer under the terms of this Agreement. A Buyer Indemnified Party shall have no other recourse against a Seller in respect of any and all Losses for which it is entitled to indemnification from the Seller(s) under Section 9.2, and the Buyer or its Affiliates or any other Buyer Indemnified Party shall have no other recourse against a Seller for any other claims of any nature whatsoever under or in connection with this Agreement, other than as set forth in this Section 9.3(a) except, with respect to any individual Seller, in the case of fraud or willful concealment by that Seller.</w:t>
      </w:r>
    </w:p>
    <w:p>
      <w:pPr>
        <w:spacing w:after="0" w:line="83" w:lineRule="exact"/>
        <w:rPr>
          <w:rFonts w:ascii="Times New Roman" w:cs="Times New Roman" w:eastAsia="Times New Roman" w:hAnsi="Times New Roman"/>
          <w:sz w:val="18"/>
          <w:szCs w:val="18"/>
          <w:color w:val="auto"/>
        </w:rPr>
      </w:pPr>
    </w:p>
    <w:p>
      <w:pPr>
        <w:ind w:left="-20" w:right="100" w:firstLine="987"/>
        <w:spacing w:after="0" w:line="253" w:lineRule="auto"/>
        <w:tabs>
          <w:tab w:leader="none" w:pos="122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indemnifiable Losses arising out of or relating to any matter for which indemnification may be sought under Section 9.2, other than Section 9.2(c), each Seller shall be severally, but not jointly, liable for a portion of such Loss equal to the product of (i) the aggregate amount of such Loss, multiplied by (ii) such Seller’s Pro Rata Percentage. With respect to any indemnifiable Losses arising out of or relating to any matter for which indemnification may be sought under Section 9.2(c), the Seller that committed such breach, violation or misrepresentation shall be liable for 100% of such Loss. Except for a Seller’s liability for its own commission of fraud or willful concealment in its capacity as a Seller and not as an employee or agent of the Company (in which case the only indemnity available is indemnification by such fraudulent Seller), the aggregate liability of any Seller under Section 9.2 shall not exceed the amount that is the sum of: (A) the amount equal to the value of the Share Consideration received by such Seller, together with (B) 100% of any Deferred Consideration Payments received by such Seller subject to Section 9.3(c). Notwithstanding any other provision of this Agreement, in no event will any Seller be liable for any other Seller’s breach of such other Seller’s representations, warranties, covenants, or agreements contained in this Agreement, or for fraud, intentional breach or willful misconduct committed by such other Seller in its capacity as a Seller and not as an employee or agent of the Company.</w:t>
      </w:r>
    </w:p>
    <w:p>
      <w:pPr>
        <w:spacing w:after="0" w:line="83"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indemnifiable Losses arising out of or relating to any matter for which indemnification may be sought under Section 9.2(a) the aggregate amount of all Losses for which each Seller shall be liable shall not exceed in aggregate an amount equal to 10% of the value of the Buyer Common Stock issued to it at the Closing calculated on the basis of the Per Share Value, and 10% of any Deferred Consideration Payment paid or payable to each Seller except to the extent such Losses arise out of any breach or violation of, or inaccuracy in, any of the Fundamental Representations (in which case the limits in Section 9.2(b) apply). </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60" w:top="269" w:right="459" w:bottom="1440" w:gutter="0" w:footer="0" w:header="0"/>
        </w:sectPr>
      </w:pPr>
    </w:p>
    <w:bookmarkStart w:id="545" w:name="page546"/>
    <w:bookmarkEnd w:id="545"/>
    <w:p>
      <w:pPr>
        <w:ind w:firstLine="987"/>
        <w:spacing w:after="0" w:line="254" w:lineRule="auto"/>
        <w:tabs>
          <w:tab w:leader="none" w:pos="124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indemnifiable Losses arising out of or relating to any matter for which indemnification may be sought under Section 9.2(j), (i) the aggregate amount of all Losses for which each Seller shall be liable shall not exceed the amount that is the sum of: (A) the amount equal to the value of the Share Consideration received by such Seller, plus (B) 100% of any Deferred Consideration Payments received by such Seller subject to Section 9.3(c), plus (C) 100% of any Upfront Cash Consideration received by such Seller at Closing, and (ii) the first course of recourse for the Buyer to satisfy any such Losses shall be the cancellation of Consideration Shares held by such Seller pursuant to Section 9.3(g), and only after all Consideration Shares held by such Seller have been cancelled shall the Buyer be permitted to reclaim any cash amounts previously paid to such Seller(s) (including any portion of the Upfront Cash Consideration and the Deferred Consideration Payment). For the avoidance of doubt, the liability of a Seller who has committed any fraud or willful concealment by or on behalf of the Company shall not be limited by this Section 9.3(d).</w:t>
      </w:r>
    </w:p>
    <w:p>
      <w:pPr>
        <w:spacing w:after="0" w:line="83" w:lineRule="exact"/>
        <w:rPr>
          <w:rFonts w:ascii="Times New Roman" w:cs="Times New Roman" w:eastAsia="Times New Roman" w:hAnsi="Times New Roman"/>
          <w:sz w:val="18"/>
          <w:szCs w:val="18"/>
          <w:color w:val="auto"/>
        </w:rPr>
      </w:pPr>
    </w:p>
    <w:p>
      <w:pPr>
        <w:ind w:right="280" w:firstLine="987"/>
        <w:spacing w:after="0" w:line="258" w:lineRule="auto"/>
        <w:tabs>
          <w:tab w:leader="none" w:pos="123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no liability in respect of a Loss for which indemnification may be sought under Section 9.2(a) (and for this purpose, the Loss shall be deemed to be 100% of the Loss and not based on the percentage of Sale Shares that are being acquired by the Buyer under this Agreement): (i) unless the Loss (together which any Losses that are connected) exceeds US$[***]; and (ii) until the aggregate amount of the Sellers’ liability in respect of all Losses hereunder, other than those excluded by (i), exceeds US$[***], after which the Sellers shall be liable for all amounts from dollar one, other than those excluded by the foregoing clause (i).</w:t>
      </w:r>
    </w:p>
    <w:p>
      <w:pPr>
        <w:spacing w:after="0" w:line="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Buyer Indemnified Party may only recover once in respect of the same Loss for which indemnification may be sought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9.2 or under any other term of this Agreement.</w:t>
      </w:r>
    </w:p>
    <w:p>
      <w:pPr>
        <w:spacing w:after="0" w:line="99" w:lineRule="exact"/>
        <w:rPr>
          <w:sz w:val="20"/>
          <w:szCs w:val="20"/>
          <w:color w:val="auto"/>
        </w:rPr>
      </w:pPr>
    </w:p>
    <w:p>
      <w:pPr>
        <w:ind w:firstLine="987"/>
        <w:spacing w:after="0" w:line="254" w:lineRule="auto"/>
        <w:tabs>
          <w:tab w:leader="none" w:pos="124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Seller is obligated to indemnify any Buyer Indemnified Party for any Losses pursuant to this ARTICLE 9 the Buyer shall, pursuant to (a) be permitted to cancel for no consideration a number of Consideration Shares issued to such Seller equal to (i) the aggregate amount of such Loss for which such Seller is liable, divided by (ii) the Per Share Value. Upon any such cancellation of shares of Buyer Common Stock comprising the Consideration Shares under this Section 9.3(g), Buyer shall deliver written notice to the applicable Seller setting forth the amount of such Loss and the number of shares of either Buyer Common Stock to be cancelled and shall reflect such cancellation (and reissue, as applicable) in book entry form in the Buyer’s electronic stock ledger. In furtherance of any exercise by the Buyer of its right to cancel shares of Buyer Common Stock under this Section 9.3(g), each of the Sellers hereby appoints the Buyer’s chief executive officer as their respective attorney-in-fact to take such action as is reasonably necessary to cause cancellation of the shares of Buyer Common Stock comprising the Share Consideration issued to such Seller in accordance with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9" w:right="459" w:bottom="1440" w:gutter="0" w:footer="0" w:header="0"/>
        </w:sectPr>
      </w:pPr>
    </w:p>
    <w:bookmarkStart w:id="546" w:name="page547"/>
    <w:bookmarkEnd w:id="546"/>
    <w:p>
      <w:pPr>
        <w:ind w:left="4" w:right="40" w:firstLine="987"/>
        <w:spacing w:after="0" w:line="256" w:lineRule="auto"/>
        <w:tabs>
          <w:tab w:leader="none" w:pos="125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those matters expressly disclosed in the Disclosure Letter or deemed to have been disclosed in accordance with the terms of the Disclosure Letter, the right of Buyer to indemnification pursuant to Section 9.2 will not be affected by any investigation conducted or knowledge acquired (or capable of being acquired) at any time, whether before or after the execution and delivery of this Agreement or the Closing, with respect to any accuracy of any representation or warranty, or performance of or compliance with any covenant or agreement herein; provided that nothing in this Section 9.3(h) shall limit the right of the Buyer to indemnification pursuant to Section 9.2(d), Section 9.2(e), Section 9.2(f) and Section 9.2(i) in respect of income tax, employee and employer national insurance contributions and the apprenticeship levy and associated interest and/or penalties.</w:t>
      </w:r>
    </w:p>
    <w:p>
      <w:pPr>
        <w:spacing w:after="0" w:line="79"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1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amount of Losses arising from a breach of or inaccuracy in any representation or warranty of the Parties to this Agreement (but not for purposes of determining whether any such breach or inaccuracy occurred), limitations or qualifications as to dollar amount, materiality or Material Adverse Change (or similar concept) set forth in such representation, warranty, covenant or obligation shall be disregarded (other than the representation and warranty of the Company set forth in Section 5.7).</w:t>
      </w:r>
    </w:p>
    <w:p>
      <w:pPr>
        <w:spacing w:after="0" w:line="71" w:lineRule="exact"/>
        <w:rPr>
          <w:rFonts w:ascii="Times New Roman" w:cs="Times New Roman" w:eastAsia="Times New Roman" w:hAnsi="Times New Roman"/>
          <w:sz w:val="18"/>
          <w:szCs w:val="18"/>
          <w:color w:val="auto"/>
        </w:rPr>
      </w:pPr>
    </w:p>
    <w:p>
      <w:pPr>
        <w:ind w:left="4" w:firstLine="987"/>
        <w:spacing w:after="0" w:line="253" w:lineRule="auto"/>
        <w:tabs>
          <w:tab w:leader="none" w:pos="121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recoverable hereunder shall be computed net of payments actually recovered by the Buyer Indemnified Party under any insurance policy with respect to such Losses and net of any Tax benefit actually received in the applicable accounting period by the Buyer Indemnified Party, but, in each case, net of any deductible or co-payment and all reasonable collection costs and expenses (including, for the avoidance of doubt, Taxes) related to such recoveries. The Buyer Indemnified Parties shall use commercially reasonable efforts to mitigate their Losses to the extent required by Law after becoming aware of any event which would reasonably be expected to give rise to any Losses; provided, that no Buyer Indemnified Party shall be required to initiate or pursue any litigation or arbitration claim; and provided further, (i) that in respect of Section 9.2(d), Section 9.2(e), Section 9.2(f) and Section 9.2(i), the Buyer shall not be required to use commercially reasonable efforts to mitigate Losses where such efforts could harm employment relationships in the reasonable view of the Buyer and (ii) that, where the Buyer does not so consider such efforts could harm employment relationships, the Buyer shall seek recovery of any employment Tax liability from the applicable employee at the same time as claiming indemnification under Section 9.2.</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80" w:firstLine="987"/>
        <w:spacing w:after="0" w:line="272" w:lineRule="auto"/>
        <w:tabs>
          <w:tab w:leader="none" w:pos="1240"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claim for indemnification under Section 9.2, the Buyer Indemnified Party shall give prompt written notice to the Sellers’ Representatives of any such claim in accordance with this Section 9.4; provided always that the failure of the Buyer Indemnified Party to give reasonably prompt notice of any such claim shall not release, waive or otherwise affect the Indemnifying Party’s obligations with respect thereto except</w:t>
      </w:r>
    </w:p>
    <w:p>
      <w:pPr>
        <w:spacing w:after="0" w:line="1" w:lineRule="exact"/>
        <w:rPr>
          <w:rFonts w:ascii="Times New Roman" w:cs="Times New Roman" w:eastAsia="Times New Roman" w:hAnsi="Times New Roman"/>
          <w:sz w:val="17"/>
          <w:szCs w:val="17"/>
          <w:color w:val="auto"/>
        </w:rPr>
      </w:pPr>
    </w:p>
    <w:p>
      <w:pPr>
        <w:ind w:left="4" w:right="140" w:hanging="4"/>
        <w:spacing w:after="0" w:line="255" w:lineRule="auto"/>
        <w:tabs>
          <w:tab w:leader="none" w:pos="24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Indemnifying Party is actually prejudiced as a result of such failure or (b) the notice is not given within the applicable survival period. Any claim for indemnification made in writing by the Buyer Indemnified Party on or prior to the expiration of the applicable survival period shall survive until such claim is finally and fully resolved.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69" w:right="459" w:bottom="1440" w:gutter="0" w:footer="0" w:header="0"/>
        </w:sectPr>
      </w:pPr>
    </w:p>
    <w:bookmarkStart w:id="547" w:name="page548"/>
    <w:bookmarkEnd w:id="547"/>
    <w:p>
      <w:pPr>
        <w:ind w:left="-20" w:right="40" w:firstLine="987"/>
        <w:spacing w:after="0" w:line="271" w:lineRule="auto"/>
        <w:tabs>
          <w:tab w:leader="none" w:pos="1226"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delivered by the Buyer Indemnified Party pursuant to Section 9.4(a) shall set forth in reasonable detail the nature of the claim, the representations, warranties, covenants or obligations alleged to have been breached and the amount of the Losses (if estimable and knowable) for which the Buyer Indemnified Party seeks recourse hereunder from the Indemnifying Parties. The Sellers’ Representatives shall have thirty (30) days after delivery of such notice to respond in writing to such claim. If the Sellers’ Representatives do not so respond within such thirty (30)-day period, the Buyer Indemnified Party may exercise its right to cancel shares of Buyer Common Stock and/or set-off against any Deferred Consideration Payment in accordance with Section 9.3(a). If the Sellers’ Representatives do so respond to such notice within such thirty (30)-day period and disputes all or any part of the applicable claim, then the Buyer Indemnified Party and the Sellers’ Representatives shall use good faith efforts to attempt to resolve such dispute by mutual agreement. If such the dispute has not been resolved by mutual agreement within the thirty (30) day period after delivery of the Indemnifying Party’s response, either Party may initiate proceedings to resolve such dispute in accordance with Section 10.4.</w:t>
      </w:r>
    </w:p>
    <w:p>
      <w:pPr>
        <w:spacing w:after="0" w:line="65" w:lineRule="exact"/>
        <w:rPr>
          <w:rFonts w:ascii="Times New Roman" w:cs="Times New Roman" w:eastAsia="Times New Roman" w:hAnsi="Times New Roman"/>
          <w:sz w:val="17"/>
          <w:szCs w:val="17"/>
          <w:color w:val="auto"/>
        </w:rPr>
      </w:pPr>
    </w:p>
    <w:p>
      <w:pPr>
        <w:ind w:left="-20" w:firstLine="987"/>
        <w:spacing w:after="0" w:line="251" w:lineRule="auto"/>
        <w:tabs>
          <w:tab w:leader="none" w:pos="121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Action shall be instituted or asserted by any third party in respect of which payment may be sought under this ARTICLE 9 (each, a “</w:t>
      </w:r>
      <w:r>
        <w:rPr>
          <w:rFonts w:ascii="Times New Roman" w:cs="Times New Roman" w:eastAsia="Times New Roman" w:hAnsi="Times New Roman"/>
          <w:sz w:val="18"/>
          <w:szCs w:val="18"/>
          <w:i w:val="1"/>
          <w:iCs w:val="1"/>
          <w:color w:val="auto"/>
        </w:rPr>
        <w:t>Third Party Claim</w:t>
      </w:r>
      <w:r>
        <w:rPr>
          <w:rFonts w:ascii="Times New Roman" w:cs="Times New Roman" w:eastAsia="Times New Roman" w:hAnsi="Times New Roman"/>
          <w:sz w:val="18"/>
          <w:szCs w:val="18"/>
          <w:color w:val="auto"/>
        </w:rPr>
        <w:t xml:space="preserve">”), the Buyer Indemnified Party shall promptly cause written notice of the assertion of any Third Party Claim of which it has knowledge which is covered by the indemnity given herein to be forwarded to Sellers’ Representatives. The failure of the Buyer Indemnified Party to give reasonably prompt notice of any Third Party Claim shall not release, waive or otherwise affect the Indemnifying Party’s obligations with respect thereto except to the extent that the Indemnifying Party is actually prejudiced as a result of such failure. Buyer shall have the right, at its sole option and expense, to defend against, negotiate, settle or otherwise deal with any Third Party Claim which may result in any Losses indemnifiable by Buyer hereunder subject to the remaining provisions of this Section 9.4(c). The Sellers’ Representatives shall have the right, at its sole option and expense, to defend against, negotiate, settle or otherwise deal with any Third Party Claim which may result in any Losses indemnifiable by Sellers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Sellers’ Representatives may not assume control of defense to a Third Party Claim (i) involving any criminal proceeding, action, indictment, allegation or investigation, or in which relief other than monetary damages is sought, (ii) involving a purported class action, (iii) if the Indemnifying Party has not notified the Buyer Indemnified Party in writing that it will be liable to indemnify the Buyer Indemnified Party with respect to all Losses relating to such Third Party Claim subject to the other provisions of this ARTICLE 9 or (iv) if the Third Party Claim relates to Taxes or to the Company Intellectual Property. In addition, the Sellers’ Representatives may not maintain the defense of a Third Party Claim if it has failed to defend such Third Party Claim in good faith. If the Sellers’ Representatives elects to defend against, negotiate, settle or otherwise deal with any Third Party Claim which relates to any Losses indemnifiable by Sellers hereunder, it shall within 30 days of receiving written notification of such Third Party Claim (or sooner, if the nature of the Third Party Claim so requires) notify the Buyer Indemnified Party of its intent to do so. If the Sellers’ Representatives elect not to defend against, negotiate, settle or otherwise deal with any Third Party Claim which relates to any Losses indemnifiable by Sellers hereunder, or is not permitted to assume the defense of a Third Party Claim pursuant to the proviso to the third sentence of this Section 9.4(c), the Buyer may defend against, negotiate, settle or otherwise deal with such Third Party Claim, subject to the provisions below. If the Sellers’ Representatives shall assume the defense of any Third Party Claim pursuant to the terms of this Agreement, the Buyer Indemnified Party may participate, at his or its own expense, in the defense of such Third Party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Buyer Indemnified Party shall be entitled to participate in any such defense with separate counsel at its own expense of the Indemnifying Party if (A) so requested by the Sellers’ Representatives to participate or (B) in the reasonable opinion of outside counsel to the Buyer Indemnified Party a conflict exists between the Buyer Indemnified Party and the Sellers’ Representatives that would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60" w:top="269" w:right="479" w:bottom="1440" w:gutter="0" w:footer="0" w:header="0"/>
        </w:sectPr>
      </w:pPr>
    </w:p>
    <w:bookmarkStart w:id="548" w:name="page549"/>
    <w:bookmarkEnd w:id="548"/>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make such separate representation advisable;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Sellers’ Representatives shall not be required to pay for more than one such counsel (plus any appropriate local counsel) for all Indemnified Parties in connection with any Third Party Claim. If after assuming the defense of a Third Party Claim the Sellers’ Representatives determine that it is not required to provide indemnification therefor, it shall promptly notify the Buyer Indemnified Party, cease to control the defense of such Third Party Claim, and shall nonetheless be responsible for all costs of defense incurred by it prior to such notice. The Parties hereto agree to reasonably cooperate with each other in connection with the defense, negotiation or settlement of any such Third Party Claim. Notwithstanding anything in this Section 9.4(c) to the contrary, neither the Sellers’ Representatives nor the Buyer Indemnified Party shall, without the written consent of the Buyer on the one hand and the Sellers Representatives on the other hand, settle or compromise any Third Party Claim or permit a default or consent to entry of any Judgment unless (1) the claimant provides to such other Party an unqualified release of such other Party from all liability in respect of such Third Party Claim, (2) such settlement does not involve any injunctive relief binding upon such other Party or any of its Affiliates, (3) such settlement does not encumber any of the material assets of such other Party or impose any restriction or condition that would apply to or materially affect such other Party or the conduct of such other Party’s business and (4) such settlement does not involve any admission of liability or wrongdoing by such other Party or any of its Affiliates.</w:t>
      </w:r>
    </w:p>
    <w:p>
      <w:pPr>
        <w:spacing w:after="0" w:line="19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To the extent permitted by Law, the Parties agree to treat all payments made or cancellation of shares of Buyer Common Stock comprising the Share Consideration under this ARTICLE 9, under any other indemnity provision contained in this Agreement, and for any misrepresentations or breach of warranties or covenants, as adjustments to the Share Consideration for all Tax purposes.</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From and after the Closing, except as specifically provided herein, the sole and exclusive remedy of any Buyer Indemnified Party for any claim under this Agreement or related to the transactions contemplated by this Agreement, shall be indemnification in accordance with this ARTICLE 9. Notwithstanding the foregoing, this Section 9.6 shall not operate to limit the rights of the Parties to seek equitable remedies (including specific performance or injunctive relief) or any remedies available to it under applicable Law in the event of (a) a Party’s failure to comply with its indemnification obligations hereunder or (b) fraud committed by or on behalf of any Party.</w:t>
      </w:r>
    </w:p>
    <w:p>
      <w:pPr>
        <w:spacing w:after="0" w:line="183"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 Right of Contribution</w:t>
      </w:r>
      <w:r>
        <w:rPr>
          <w:rFonts w:ascii="Times New Roman" w:cs="Times New Roman" w:eastAsia="Times New Roman" w:hAnsi="Times New Roman"/>
          <w:sz w:val="18"/>
          <w:szCs w:val="18"/>
          <w:color w:val="auto"/>
        </w:rPr>
        <w:t>. No Seller shall have any right of contribution against the Company with respect to any breach by the Company of any of its representations, warranties, covenants or agreements.</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No Circular Recovery</w:t>
      </w:r>
      <w:r>
        <w:rPr>
          <w:rFonts w:ascii="Times New Roman" w:cs="Times New Roman" w:eastAsia="Times New Roman" w:hAnsi="Times New Roman"/>
          <w:sz w:val="18"/>
          <w:szCs w:val="18"/>
          <w:color w:val="auto"/>
        </w:rPr>
        <w:t>. Each Seller who is a D&amp;O Indemnified Party hereby agrees that it will not make any claim for indemnification against Buyer or the Company after the Closing by reason of the fact that such Seller was an officer or director of the Company or was serving as such for another Person at the request of the Company prior to the Closing solely to the extent that any such claim for indemnification arises out of a claim brought by a Buyer Indemnified Party against such Seller under this Agreement. With respect to any such claim against such Seller, such Seller expressly waives any right of subrogation, contribution, advancement, indemnification or other claim against the Company with respect to any amounts owed by such Seller pursuant to this ARTICLE 9.</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67" w:right="479" w:bottom="1440" w:gutter="0" w:footer="0" w:header="0"/>
        </w:sectPr>
      </w:pPr>
    </w:p>
    <w:bookmarkStart w:id="549" w:name="page550"/>
    <w:bookmarkEnd w:id="549"/>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9.9. </w:t>
      </w:r>
      <w:r>
        <w:rPr>
          <w:rFonts w:ascii="Times New Roman" w:cs="Times New Roman" w:eastAsia="Times New Roman" w:hAnsi="Times New Roman"/>
          <w:sz w:val="18"/>
          <w:szCs w:val="18"/>
          <w:u w:val="single" w:color="auto"/>
          <w:color w:val="auto"/>
        </w:rPr>
        <w:t>Gross Up</w:t>
      </w:r>
      <w:r>
        <w:rPr>
          <w:rFonts w:ascii="Times New Roman" w:cs="Times New Roman" w:eastAsia="Times New Roman" w:hAnsi="Times New Roman"/>
          <w:sz w:val="18"/>
          <w:szCs w:val="18"/>
          <w:color w:val="auto"/>
        </w:rPr>
        <w:t>. Where any payment is made or any shares of Buyer Common Stock comprising the Share Consideration are canceled or any amount is set-off against and deducted from any payment under this ARTICLE 9 and that sum is subject to a charge to Tax in the hands of the recipient (other than Tax attributable to a payment being properly treated as an adjustment to the consideration paid by Buyer), the sum payable shall be increased to such sum as will ensure that after payment of such Tax the Buyer shall be left with a sum equal to the sum that it would have received in the absence of such a charge to Tax, and after giving credit for any Tax relief available to the Buyer (or any Affiliate of or person with an interest in Buyer) in respect of the matter giving rise to the payment.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waivers and other communications under this Agreement shall be in writing and shall be sent by electronic mail, courier or express delivery service or personal delivery to the following addresses, or to such other addresses as shall be designated from time to time by a Party in accordance with this Section 10.1:</w:t>
      </w:r>
    </w:p>
    <w:p>
      <w:pPr>
        <w:spacing w:after="0" w:line="81" w:lineRule="exact"/>
        <w:rPr>
          <w:sz w:val="20"/>
          <w:szCs w:val="20"/>
          <w:color w:val="auto"/>
        </w:rPr>
      </w:pPr>
    </w:p>
    <w:p>
      <w:pPr>
        <w:ind w:left="1420" w:hanging="439"/>
        <w:spacing w:after="0"/>
        <w:tabs>
          <w:tab w:leader="none" w:pos="14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or to the Company:</w:t>
      </w:r>
    </w:p>
    <w:p>
      <w:pPr>
        <w:spacing w:after="0" w:line="117" w:lineRule="exact"/>
        <w:rPr>
          <w:rFonts w:ascii="Times New Roman" w:cs="Times New Roman" w:eastAsia="Times New Roman" w:hAnsi="Times New Roman"/>
          <w:sz w:val="18"/>
          <w:szCs w:val="18"/>
          <w:color w:val="auto"/>
        </w:rPr>
      </w:pPr>
    </w:p>
    <w:p>
      <w:pPr>
        <w:ind w:left="1420" w:right="7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Odyssey Therapeutics, Inc. [***]</w:t>
      </w:r>
    </w:p>
    <w:p>
      <w:pPr>
        <w:ind w:left="1420" w:right="77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Arbor, MI 48107 Attention: Gary D. Glick E-Mail: [***]</w:t>
      </w:r>
    </w:p>
    <w:p>
      <w:pPr>
        <w:spacing w:after="0" w:line="7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rFonts w:ascii="Times New Roman" w:cs="Times New Roman" w:eastAsia="Times New Roman" w:hAnsi="Times New Roman"/>
          <w:sz w:val="18"/>
          <w:szCs w:val="18"/>
          <w:color w:val="auto"/>
        </w:rPr>
      </w:pPr>
    </w:p>
    <w:p>
      <w:pPr>
        <w:ind w:left="1420" w:right="72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Covington &amp; Burling LLP The New York Times Building 620 Eighth Avenue</w:t>
      </w:r>
    </w:p>
    <w:p>
      <w:pPr>
        <w:spacing w:after="0" w:line="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10018-1405</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Jack Bodner, Camilla Rogers and Joseph Gangitano</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jbodner@cov.com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crogers@cov.com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jgangitano@cov.com</w:t>
      </w:r>
    </w:p>
    <w:p>
      <w:pPr>
        <w:spacing w:after="0" w:line="112"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Sellers’ Representatives, at the relevant address or email set out opposite the name of the relevant Seller Representative in Schedule 1.</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Seller, at the relevant address or email set out opposite the name of the relevant Seller in Schedule 1.</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20"/>
          </w:cols>
          <w:pgMar w:left="440" w:top="269" w:right="539" w:bottom="1440" w:gutter="0" w:footer="0" w:header="0"/>
        </w:sectPr>
      </w:pPr>
    </w:p>
    <w:bookmarkStart w:id="550" w:name="page551"/>
    <w:bookmarkEnd w:id="55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requests, claims, demands, waivers and other communications under this Agreement shall be deemed to have been duly given (i) when delivered by hand, if personally delivered, (ii) upon receipt when delivered by a courier or express delivery service (such date of receipt being evidenced by the courier’s or express delivery service’s records) or (iii) when sent, if sent by electronic mail during normal business hours of the recipient, and if not sent during normal business hours, then on the next Business Day. This Section 10.1 will not apply to the service of any claim in any legal proceedings or other documents in a legal action.</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in whole or in part, by operation of Law or otherwise by any of the Parties without the prior written consent of the other Parties, except that Buyer may assign, in its sole discretion, any or all of its rights, interests and obligations under this Agreement to any Affiliate of Buyer; provided, however, that no such assignment shall relieve the assignor from any liability hereunder. Subject to the preceding sentence, this Agreement shall be binding upon, inure to the benefit of and be enforceable by, the parties hereto and their respective successors and assigns.</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For any matter under this Agreement requiring the consent or approval of any Party to be valid and binding on the Parties hereto, such consent or approval must be in writing and signed by the Party against which it is sought to be enforced.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6" w:lineRule="auto"/>
        <w:tabs>
          <w:tab w:leader="none" w:pos="123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action or other proceeding arising out of this Agreement or any transaction contemplated hereby shall be brought exclusively in a court of competent jurisdiction, federal or state, located in New York, New York, and in no other jurisdiction. Each Party hereby consents to personal jurisdiction and venue in, and agrees to service of process issued or authorized by, such court.</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and that the Parties would not have any adequate remedy at law in the event that any of the provisions of this Agreement were not performed in accordance with their specific terms or were otherwise breached. Accordingly, notwithstanding anything in this Agreement to the contrary, in the event of a breach or threatened breach by any Seller, on the one hand, and Buyer, on the other hand, of any of their respective covenants or obligations set forth in this Agreement, Buyer, on the one hand, and the Sellers, on the other hand, shall be entitled to an injunction or injunctions to prevent or restrain breaches or threatened breaches of this Agreement and to specifically enforce the terms and provisions of this Agreement to prevent breaches or threatened breaches of, or to enforce compliance with, the covenants and obligations of the other under this Agreement. The Sellers, on the one hand, and Buyer, on the other hand, hereby agree not to raise any objections to the availability of the equitable remedy of specific performance to prevent or restrain breaches or threatened breaches of this Agreement, by Buyer, on the one hand, and the Sellers, on the other hand, on the basis that such Parties have an adequate remedy at law.</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Parties’ rights under Section 10.4(a), EACH PARTY, TO THE EXTENT PERMITTED BY LAW,</w:t>
      </w:r>
    </w:p>
    <w:p>
      <w:pPr>
        <w:spacing w:after="0" w:line="27" w:lineRule="exact"/>
        <w:rPr>
          <w:rFonts w:ascii="Times New Roman" w:cs="Times New Roman" w:eastAsia="Times New Roman" w:hAnsi="Times New Roman"/>
          <w:sz w:val="18"/>
          <w:szCs w:val="18"/>
          <w:color w:val="auto"/>
        </w:rPr>
      </w:pPr>
    </w:p>
    <w:p>
      <w:pPr>
        <w:ind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VOLUNTARILY, AND INTENTIONALLY WAIVES ITS RIGHT TO A TRIAL BY JURY IN ANY ACTION OR OTHER LEGAL PROCEEDING ARISING OUT OF OR RELATING TO THIS AGREEMENT AND THE TRANSACTIONS IT CONTEMPLATES. THIS WAIVER APPLIES TO ANY ACTION OR LEGAL PROCEEDING, WHETHER SOUNDING IN CONTRACT, TORT, OR OTHERWISE.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69" w:right="459" w:bottom="1440" w:gutter="0" w:footer="0" w:header="0"/>
        </w:sectPr>
      </w:pPr>
    </w:p>
    <w:bookmarkStart w:id="551" w:name="page552"/>
    <w:bookmarkEnd w:id="5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60" w:firstLine="987"/>
        <w:spacing w:after="0" w:line="261" w:lineRule="auto"/>
        <w:tabs>
          <w:tab w:leader="none" w:pos="123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Except as expressly set forth in ARTICLE 9 or as otherwise expressly stated in this Agreement, the remedies provided for herein are cumulative and are not exclusive of any remedies that may be available to any Party at Law, in equity or otherwise.</w:t>
      </w:r>
    </w:p>
    <w:p>
      <w:pPr>
        <w:spacing w:after="0" w:line="7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set forth in this Agreement, any amendment, supplement or modification of or to any provision of this Agreement and any waiver of any provision of this Agreement shall be effective (i) only if it is made or given in writing and signed by Buyer and the Sellers’ Representatives or, in the case of a waiver, by the party granting the waiver and (ii) only in the specific instance and for the specific purpose for which made or given.</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its schedules and exhibits and all ancillary agreements, documents or instruments to be delivered in connection herewith and therewith, contain the entire agreement and understanding between the Parties with respect to the subject matter hereof and thereof and supersede all prior discussions, negotiations, commitments, agreements and understandings, both written and oral, relating to such subject matter. No Party has entered into this Agreement in reliance upon, and it will have no remedy in respect of, any misrepresentation, representation or statement (whether made by another party or any other Person and whether made to the first party or any other Person) which is not expressly set out in this Agreement and to the extent there would be a such claim it is hereby waived by each relevant Party.</w:t>
      </w:r>
    </w:p>
    <w:p>
      <w:pPr>
        <w:spacing w:after="0" w:line="187"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Except as otherwise provided in this Agreement, including as set forth in Section 6.4, this Agreement is for the sole benefit of the Parties and their permitted successors and assigns and nothing herein expressed or implied shall give or be construed to give to any Person, other than the Parties and such successors and assigns, any legal or equitable rights hereunder.</w:t>
      </w:r>
    </w:p>
    <w:p>
      <w:pPr>
        <w:spacing w:after="0" w:line="176"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the Parties in separate counterparts, each of which when so executed shall be deemed to be an original and all of which taken together shall constitute one and the same agreement. This Agreement may be executed by facsimile, .pdf or other electronically transmitted signatures and such signatures shall be deemed to bind each Party hereto as if they were the original signatures.</w:t>
      </w:r>
    </w:p>
    <w:p>
      <w:pPr>
        <w:spacing w:after="0" w:line="180"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10.9.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Agreement shall be governed by, and construed in accordance with, the substantive Laws of the State of Delaware, regardless of the Laws that might otherwise govern under applicable principles of conflicts of laws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matters involving the internal corporate affairs of Buyer or the Company shall be governed by the Laws of the jurisdiction in which such corporation is organized.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69" w:right="459" w:bottom="1440" w:gutter="0" w:footer="0" w:header="0"/>
        </w:sectPr>
      </w:pPr>
    </w:p>
    <w:bookmarkStart w:id="552" w:name="page553"/>
    <w:bookmarkEnd w:id="552"/>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The Disclosure Letter shall be arranged in sections and subsections corresponding to the numbered and lettered sections and subsections contained in ARTICLE 5. A disclosure in any section or subsection of the Disclosure Letter shall qualify the representations and warranties in the corresponding section or subsection of ARTICLE 5 to which its relevance is reasonably apparent on its face, and shall be deemed to apply to each other section or subsection of the Disclosure Letter and ARTICLE 5 to which its relevance is so apparent.</w:t>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820"/>
          </w:cols>
          <w:pgMar w:left="440" w:top="269" w:right="639" w:bottom="1440" w:gutter="0" w:footer="0" w:header="0"/>
        </w:sectPr>
      </w:pPr>
    </w:p>
    <w:bookmarkStart w:id="553" w:name="page554"/>
    <w:bookmarkEnd w:id="55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signed by their duly authorized representatives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Gary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69" w:right="499" w:bottom="1440" w:gutter="0" w:footer="0" w:header="0"/>
        </w:sectPr>
      </w:pPr>
    </w:p>
    <w:bookmarkStart w:id="554" w:name="page555"/>
    <w:bookmarkEnd w:id="55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RAHKO LIMITED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8"/>
          <w:szCs w:val="18"/>
          <w:color w:val="auto"/>
        </w:rPr>
        <w:t>Name: Leonard Wossnig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Share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sectPr>
      </w:pPr>
    </w:p>
    <w:bookmarkStart w:id="555" w:name="page556"/>
    <w:bookmarkEnd w:id="55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Name: Al Seed 2 Nominees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George Booth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Shuxiang Cao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Miriam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Miriam Cha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Hongxiang Chen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Gabor Csanyi</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Mezei Pál Dániel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Edward John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Field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Share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sectPr>
      </w:pPr>
    </w:p>
    <w:bookmarkStart w:id="556" w:name="page557"/>
    <w:bookmarkEnd w:id="55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 Edward Nikolas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Edward Grant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Ian Horobin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Ian Horobin</w:t>
      </w:r>
    </w:p>
    <w:p>
      <w:pPr>
        <w:spacing w:after="0" w:line="225"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color w:val="auto"/>
        </w:rPr>
        <w:t>By: /s/ Christophe Jurczak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8"/>
          <w:szCs w:val="18"/>
          <w:color w:val="auto"/>
        </w:rPr>
        <w:t>Name: Investiqo SAS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Martyn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McInerney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color w:val="auto"/>
        </w:rPr>
        <w:t>Name: Thomas McInerney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McMahon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Mountney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Payne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Rogers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Share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9" w:right="1440" w:bottom="1440" w:gutter="0" w:footer="0" w:header="0"/>
        </w:sectPr>
      </w:pPr>
    </w:p>
    <w:bookmarkStart w:id="557" w:name="page558"/>
    <w:bookmarkEnd w:id="55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 Charles Songhurst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Songhurst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Spindler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Spindler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Jonathan Tennyson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Jules Tilly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Alexander Tkatchenko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Attorney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Cedric Weber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Leonard Wossnig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Name: Leonard Peter Wossnig</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Share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9" w:right="1440" w:bottom="1440" w:gutter="0" w:footer="0" w:header="0"/>
        </w:sectPr>
      </w:pPr>
    </w:p>
    <w:bookmarkStart w:id="558" w:name="page559"/>
    <w:bookmarkEnd w:id="55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SELLERS’ REPRESENTATIVES: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ROBERT IAN HOROBIN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Ian Horobin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MIRIAM CHA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Miriam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Share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sectPr>
      </w:pPr>
    </w:p>
    <w:bookmarkStart w:id="559" w:name="page560"/>
    <w:bookmarkEnd w:id="559"/>
    <w:p>
      <w:pPr>
        <w:jc w:val="cente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both (i) not material and (ii) of the type that the Registrant treats as private or confidential. Such omitted information is indicated by brackets (“[***]”) in this exhibit.***</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182880</wp:posOffset>
            </wp:positionV>
            <wp:extent cx="699516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225425</wp:posOffset>
            </wp:positionV>
            <wp:extent cx="699516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RAHKO LIMITED,</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BALDERTON CAPITAL GENERAL PARTNER VI S.L.P</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ROBERT IAN HOROBIN AND MIRIAM CHA, AS SELLERS’ REPRESENTATIVES</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DATED AS OF OCTOBER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191135</wp:posOffset>
            </wp:positionV>
            <wp:extent cx="699516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234315</wp:posOffset>
            </wp:positionV>
            <wp:extent cx="699516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560" w:top="117" w:right="439" w:bottom="1440" w:gutter="0" w:footer="0" w:header="0"/>
        </w:sectPr>
      </w:pPr>
    </w:p>
    <w:bookmarkStart w:id="560" w:name="page561"/>
    <w:bookmarkEnd w:id="560"/>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912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ABLE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 INTERPRETATION</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191"/>
        </w:trPr>
        <w:tc>
          <w:tcPr>
            <w:tcW w:w="10620" w:type="dxa"/>
            <w:vAlign w:val="bottom"/>
            <w:gridSpan w:val="2"/>
            <w:vMerge w:val="continue"/>
          </w:tcPr>
          <w:p>
            <w:pPr>
              <w:spacing w:after="0"/>
              <w:rPr>
                <w:sz w:val="16"/>
                <w:szCs w:val="16"/>
                <w:color w:val="auto"/>
              </w:rPr>
            </w:pPr>
          </w:p>
        </w:tc>
        <w:tc>
          <w:tcPr>
            <w:tcW w:w="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Interpretation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and Sale of the Shares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of the Shares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Partial Sale</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Consideration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Payment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4 Closing</w:t>
            </w:r>
          </w:p>
        </w:tc>
        <w:tc>
          <w:tcPr>
            <w:tcW w:w="91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Actions in Connection with the Closing</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Power Pending Registration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Share Options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Shares and Share Certificate Procedures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 Representative</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Rights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Statement Adjustment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Final Closing Statement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REPRESENTATIONS AND WARRANTIES OF THE COMPANY</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and Standing; No Subsidiaries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and Authority; Binding Agreement; Insolvency</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Noncontravention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Absence of Changes or Events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Undisclosed Liabilities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Property</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Anti-Corruption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9" w:right="499" w:bottom="1440" w:gutter="0" w:footer="0" w:header="0"/>
        </w:sectPr>
      </w:pPr>
    </w:p>
    <w:bookmarkStart w:id="561" w:name="page562"/>
    <w:bookmarkEnd w:id="561"/>
    <w:tbl>
      <w:tblPr>
        <w:tblLayout w:type="fixed"/>
        <w:tblInd w:w="0" w:type="dxa"/>
        <w:tblCellMar>
          <w:top w:w="0" w:type="dxa"/>
          <w:left w:w="0" w:type="dxa"/>
          <w:bottom w:w="0" w:type="dxa"/>
          <w:right w:w="0" w:type="dxa"/>
        </w:tblCellMar>
      </w:tblP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Plans; Employee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Compliance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5.20.</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Books and Records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REPRESENTATIONS AND WARRANTIES OF BUYER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and Authority; Binding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REPRESENTATIONS AND WARRANTIES OF THE SELLERS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and Authority; Binding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Shares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Laws; Restrictions on Transfer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Company’s Indebtedness and Transaction 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INDEMNIFICATION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of Buyer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Limits on Indemnification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Loss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 Limitations on Damages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Right of Contribution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Circular Recovery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9" w:right="499" w:bottom="1440" w:gutter="0" w:footer="0" w:header="0"/>
        </w:sectPr>
      </w:pPr>
    </w:p>
    <w:bookmarkStart w:id="562" w:name="page563"/>
    <w:bookmarkEnd w:id="562"/>
    <w:tbl>
      <w:tblPr>
        <w:tblLayout w:type="fixed"/>
        <w:tblInd w:w="0" w:type="dxa"/>
        <w:tblCellMar>
          <w:top w:w="0" w:type="dxa"/>
          <w:left w:w="0" w:type="dxa"/>
          <w:bottom w:w="0" w:type="dxa"/>
          <w:right w:w="0" w:type="dxa"/>
        </w:tblCellMar>
      </w:tblP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9.9.</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Up</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MISCELLANEOUS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Consents and Approvals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and Waiver</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Letter</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CHEDULES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I:</w:t>
        <w:tab/>
        <w:t>C</w:t>
      </w:r>
      <w:r>
        <w:rPr>
          <w:rFonts w:ascii="Times New Roman" w:cs="Times New Roman" w:eastAsia="Times New Roman" w:hAnsi="Times New Roman"/>
          <w:sz w:val="14"/>
          <w:szCs w:val="14"/>
          <w:color w:val="auto"/>
        </w:rPr>
        <w:t>ONSIDERATION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CHEDULE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9" w:right="499" w:bottom="1440" w:gutter="0" w:footer="0" w:header="0"/>
        </w:sectPr>
      </w:pPr>
    </w:p>
    <w:bookmarkStart w:id="563" w:name="page564"/>
    <w:bookmarkEnd w:id="5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PURCHASE AGREEMENT</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This Share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xml:space="preserve">”), dated as of October 6, 2021, is made by and among </w:t>
      </w:r>
      <w:r>
        <w:rPr>
          <w:rFonts w:ascii="Times New Roman" w:cs="Times New Roman" w:eastAsia="Times New Roman" w:hAnsi="Times New Roman"/>
          <w:sz w:val="18"/>
          <w:szCs w:val="18"/>
          <w:b w:val="1"/>
          <w:bCs w:val="1"/>
          <w:color w:val="auto"/>
        </w:rPr>
        <w:t>ODYSSEY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i w:val="1"/>
          <w:iCs w:val="1"/>
          <w:color w:val="auto"/>
        </w:rPr>
        <w:t>Buyer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RAHKO LIMITED</w:t>
      </w:r>
      <w:r>
        <w:rPr>
          <w:rFonts w:ascii="Times New Roman" w:cs="Times New Roman" w:eastAsia="Times New Roman" w:hAnsi="Times New Roman"/>
          <w:sz w:val="18"/>
          <w:szCs w:val="18"/>
          <w:color w:val="auto"/>
        </w:rPr>
        <w:t>, a private limited company incorporated in England &amp; Wales (registered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11609778)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BALDERTON CAPITAL VI S.L.P,</w:t>
      </w:r>
      <w:r>
        <w:rPr>
          <w:rFonts w:ascii="Times New Roman" w:cs="Times New Roman" w:eastAsia="Times New Roman" w:hAnsi="Times New Roman"/>
          <w:sz w:val="18"/>
          <w:szCs w:val="18"/>
          <w:color w:val="auto"/>
        </w:rPr>
        <w:t xml:space="preserve"> acting by its general partner Balderton Capital General Partner VI S.à.r.l, of [***] (the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ROBERT IAN HOROBIN</w:t>
      </w:r>
      <w:r>
        <w:rPr>
          <w:rFonts w:ascii="Times New Roman" w:cs="Times New Roman" w:eastAsia="Times New Roman" w:hAnsi="Times New Roman"/>
          <w:sz w:val="18"/>
          <w:szCs w:val="18"/>
          <w:color w:val="auto"/>
        </w:rPr>
        <w:t xml:space="preserve"> of [***] and </w:t>
      </w:r>
      <w:r>
        <w:rPr>
          <w:rFonts w:ascii="Times New Roman" w:cs="Times New Roman" w:eastAsia="Times New Roman" w:hAnsi="Times New Roman"/>
          <w:sz w:val="18"/>
          <w:szCs w:val="18"/>
          <w:b w:val="1"/>
          <w:bCs w:val="1"/>
          <w:color w:val="auto"/>
        </w:rPr>
        <w:t>MIRIAM CHA</w:t>
      </w:r>
      <w:r>
        <w:rPr>
          <w:rFonts w:ascii="Times New Roman" w:cs="Times New Roman" w:eastAsia="Times New Roman" w:hAnsi="Times New Roman"/>
          <w:sz w:val="18"/>
          <w:szCs w:val="18"/>
          <w:color w:val="auto"/>
        </w:rPr>
        <w:t xml:space="preserve"> of [***], solely in their capacity as the Seller’s Representatives (as defined below).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the Buyer has acquired all of the issued and to be issued shares in the Company other than the Sale Shares (as defined below) (such transaction together with the transactions contemplated hereby are collectively referred to herein as the “</w:t>
      </w:r>
      <w:r>
        <w:rPr>
          <w:rFonts w:ascii="Times New Roman" w:cs="Times New Roman" w:eastAsia="Times New Roman" w:hAnsi="Times New Roman"/>
          <w:sz w:val="18"/>
          <w:szCs w:val="18"/>
          <w:i w:val="1"/>
          <w:iCs w:val="1"/>
          <w:color w:val="auto"/>
        </w:rPr>
        <w:t>C/C Transaction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WHEREAS, the Seller owns 17,391 Seed Preferred Shares (the “</w:t>
      </w:r>
      <w:r>
        <w:rPr>
          <w:rFonts w:ascii="Times New Roman" w:cs="Times New Roman" w:eastAsia="Times New Roman" w:hAnsi="Times New Roman"/>
          <w:sz w:val="18"/>
          <w:szCs w:val="18"/>
          <w:i w:val="1"/>
          <w:iCs w:val="1"/>
          <w:color w:val="auto"/>
        </w:rPr>
        <w:t>Seed Shares</w:t>
      </w:r>
      <w:r>
        <w:rPr>
          <w:rFonts w:ascii="Times New Roman" w:cs="Times New Roman" w:eastAsia="Times New Roman" w:hAnsi="Times New Roman"/>
          <w:sz w:val="18"/>
          <w:szCs w:val="18"/>
          <w:color w:val="auto"/>
        </w:rPr>
        <w:t>” and 36,490 A Pref Shares (as defined below) in the capital of the Company (together the “</w:t>
      </w:r>
      <w:r>
        <w:rPr>
          <w:rFonts w:ascii="Times New Roman" w:cs="Times New Roman" w:eastAsia="Times New Roman" w:hAnsi="Times New Roman"/>
          <w:sz w:val="18"/>
          <w:szCs w:val="18"/>
          <w:i w:val="1"/>
          <w:iCs w:val="1"/>
          <w:color w:val="auto"/>
        </w:rPr>
        <w:t>Sale Shares</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herein, the Seller wishes to sell, and Buyer wishes to purchase from the Seller, all of the Seller’s right, title and interest in the Sale Shares owned by it.</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herein, the Parties agree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INTERPRETATION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terms shall have the following meanings:</w:t>
      </w:r>
    </w:p>
    <w:p>
      <w:pPr>
        <w:spacing w:after="0" w:line="223"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means any claim, action, or suit (whether in contract or tort or otherwise), litigation (whether at law or in equity, whether civil or criminal), assessment, arbitration, hearing, charge, complaint, or proceeding to, from, by or before any Governmental Entity.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Actual Net Cash</w:t>
      </w:r>
      <w:r>
        <w:rPr>
          <w:rFonts w:ascii="Times New Roman" w:cs="Times New Roman" w:eastAsia="Times New Roman" w:hAnsi="Times New Roman"/>
          <w:sz w:val="18"/>
          <w:szCs w:val="18"/>
          <w:color w:val="auto"/>
        </w:rPr>
        <w:t>” means the actual Cash less Indebtedness as of the Relevant Time as set out in the Final Closing Statement.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Actual Net Cash Excess</w:t>
      </w:r>
      <w:r>
        <w:rPr>
          <w:rFonts w:ascii="Times New Roman" w:cs="Times New Roman" w:eastAsia="Times New Roman" w:hAnsi="Times New Roman"/>
          <w:sz w:val="18"/>
          <w:szCs w:val="18"/>
          <w:color w:val="auto"/>
        </w:rPr>
        <w:t>” the amount (if any) by which the Actual Net Cash exceeds the Target Net Cash”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Actual Net Cash Shortfall</w:t>
      </w:r>
      <w:r>
        <w:rPr>
          <w:rFonts w:ascii="Times New Roman" w:cs="Times New Roman" w:eastAsia="Times New Roman" w:hAnsi="Times New Roman"/>
          <w:sz w:val="18"/>
          <w:szCs w:val="18"/>
          <w:color w:val="auto"/>
        </w:rPr>
        <w:t>” the amount (if any) by which the Actual Net Cash is less than the Target Net Cash.</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5" w:right="479" w:bottom="1440" w:gutter="0" w:footer="0" w:header="0"/>
        </w:sectPr>
      </w:pPr>
    </w:p>
    <w:bookmarkStart w:id="564" w:name="page565"/>
    <w:bookmarkEnd w:id="564"/>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xml:space="preserve">” means, with respect to a Person, another Person that directly, or indirectly through one or more intermediaries, controls, or is controlled by, or is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“control” means, with respect to a Person, the possession, directly or indirectly, of the power to direct or cause the direction of the management or policies of such Person, whether through the ownership of voting securities, by Contract, by board of director membership or representation,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 Pref Share Consideration</w:t>
      </w:r>
      <w:r>
        <w:rPr>
          <w:rFonts w:ascii="Times New Roman" w:cs="Times New Roman" w:eastAsia="Times New Roman" w:hAnsi="Times New Roman"/>
          <w:sz w:val="18"/>
          <w:szCs w:val="18"/>
          <w:color w:val="auto"/>
        </w:rPr>
        <w:t>” is defined in Section 3.1.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 Pref Shares</w:t>
      </w:r>
      <w:r>
        <w:rPr>
          <w:rFonts w:ascii="Times New Roman" w:cs="Times New Roman" w:eastAsia="Times New Roman" w:hAnsi="Times New Roman"/>
          <w:sz w:val="18"/>
          <w:szCs w:val="18"/>
          <w:color w:val="auto"/>
        </w:rPr>
        <w:t>” means the series A preferred shares of £0.001 each in the capital of the Company.</w:t>
      </w:r>
    </w:p>
    <w:p>
      <w:pPr>
        <w:spacing w:after="0" w:line="225"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other day on which commercial banks located in New York City, United States or London, United Kingdom are authorized or obligated by applicable Laws to close.</w:t>
      </w:r>
    </w:p>
    <w:p>
      <w:pPr>
        <w:spacing w:after="0" w:line="158" w:lineRule="exact"/>
        <w:rPr>
          <w:sz w:val="20"/>
          <w:szCs w:val="20"/>
          <w:color w:val="auto"/>
        </w:rPr>
      </w:pPr>
    </w:p>
    <w:p>
      <w:pPr>
        <w:jc w:val="both"/>
        <w:ind w:right="1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Data</w:t>
      </w:r>
      <w:r>
        <w:rPr>
          <w:rFonts w:ascii="Times New Roman" w:cs="Times New Roman" w:eastAsia="Times New Roman" w:hAnsi="Times New Roman"/>
          <w:sz w:val="18"/>
          <w:szCs w:val="18"/>
          <w:color w:val="auto"/>
        </w:rPr>
        <w:t>” means all data or information, in any format, Processed in the conduct of the Company’s business or necessary for the conduct of the Company’s business, including all financial data related to the business, and all Personal Data that are Processed in or necessary for the conduct of the business.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Common Stock</w:t>
      </w:r>
      <w:r>
        <w:rPr>
          <w:rFonts w:ascii="Times New Roman" w:cs="Times New Roman" w:eastAsia="Times New Roman" w:hAnsi="Times New Roman"/>
          <w:sz w:val="18"/>
          <w:szCs w:val="18"/>
          <w:color w:val="auto"/>
        </w:rPr>
        <w:t>” means the common stock, par value US$0.0001 per share, of Buyer.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Group</w:t>
      </w:r>
      <w:r>
        <w:rPr>
          <w:rFonts w:ascii="Times New Roman" w:cs="Times New Roman" w:eastAsia="Times New Roman" w:hAnsi="Times New Roman"/>
          <w:sz w:val="18"/>
          <w:szCs w:val="18"/>
          <w:color w:val="auto"/>
        </w:rPr>
        <w:t>” means Buyer and all of the Buyer Group Companies</w:t>
      </w:r>
    </w:p>
    <w:p>
      <w:pPr>
        <w:spacing w:after="0" w:line="225"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Group Company</w:t>
      </w:r>
      <w:r>
        <w:rPr>
          <w:rFonts w:ascii="Times New Roman" w:cs="Times New Roman" w:eastAsia="Times New Roman" w:hAnsi="Times New Roman"/>
          <w:sz w:val="18"/>
          <w:szCs w:val="18"/>
          <w:color w:val="auto"/>
        </w:rPr>
        <w:t>” means the Buyer and any holding companies of the Buyer (if any), and all direct and indirect subsidiaries of the Buyer and of any holding companies of the Buyer (if applicable) from time to time.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Indemnified Party</w:t>
      </w:r>
      <w:r>
        <w:rPr>
          <w:rFonts w:ascii="Times New Roman" w:cs="Times New Roman" w:eastAsia="Times New Roman" w:hAnsi="Times New Roman"/>
          <w:sz w:val="18"/>
          <w:szCs w:val="18"/>
          <w:color w:val="auto"/>
        </w:rPr>
        <w:t>” is defined in Section 9.2.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Buyer A Preferred Stock</w:t>
      </w:r>
      <w:r>
        <w:rPr>
          <w:rFonts w:ascii="Times New Roman" w:cs="Times New Roman" w:eastAsia="Times New Roman" w:hAnsi="Times New Roman"/>
          <w:sz w:val="18"/>
          <w:szCs w:val="18"/>
          <w:color w:val="auto"/>
        </w:rPr>
        <w:t>” means the Series A Preferred Stock, par value US$0.0001 per share, of Buyer.</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C/C Transaction Agreements</w:t>
      </w:r>
      <w:r>
        <w:rPr>
          <w:rFonts w:ascii="Times New Roman" w:cs="Times New Roman" w:eastAsia="Times New Roman" w:hAnsi="Times New Roman"/>
          <w:sz w:val="18"/>
          <w:szCs w:val="18"/>
          <w:color w:val="auto"/>
        </w:rPr>
        <w:t>” means the definitive transaction agreements entered into by the relevant parties in connection with the C/C Transactions, including this Agreement.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 2006</w:t>
      </w:r>
      <w:r>
        <w:rPr>
          <w:rFonts w:ascii="Times New Roman" w:cs="Times New Roman" w:eastAsia="Times New Roman" w:hAnsi="Times New Roman"/>
          <w:sz w:val="18"/>
          <w:szCs w:val="18"/>
          <w:color w:val="auto"/>
        </w:rPr>
        <w:t>” means the Companies Act 2006.</w:t>
      </w:r>
    </w:p>
    <w:p>
      <w:pPr>
        <w:spacing w:after="0" w:line="225"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capital stock or share capital of, other voting securities of, other equity interest in, or right to receive profits, losses or distributions of, any Person.</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7" w:right="499" w:bottom="1440" w:gutter="0" w:footer="0" w:header="0"/>
        </w:sectPr>
      </w:pPr>
    </w:p>
    <w:bookmarkStart w:id="565" w:name="page566"/>
    <w:bookmarkEnd w:id="565"/>
    <w:p>
      <w:pPr>
        <w:ind w:right="38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means, in relation to any Person, the aggregate of all of unrestricted cash and all checks, money orders, marketable securities, short-term instruments and other cash equivalents, funds in demand deposits or similar accounts held by such Person, in each case, determined in accordance with GAAP, including all deposits and cash in transit, net of outstanding checks.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is defined in Section 8.9(a).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right="1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Statement</w:t>
      </w:r>
      <w:r>
        <w:rPr>
          <w:rFonts w:ascii="Times New Roman" w:cs="Times New Roman" w:eastAsia="Times New Roman" w:hAnsi="Times New Roman"/>
          <w:sz w:val="18"/>
          <w:szCs w:val="18"/>
          <w:color w:val="auto"/>
        </w:rPr>
        <w:t>” means a statement showing the Actual Net Cash and the Net Current Asset Value as of the Relevant Time as agreed or determined in accordance with Section 4.8, including the following information:</w:t>
      </w:r>
    </w:p>
    <w:p>
      <w:pPr>
        <w:spacing w:after="0" w:line="52" w:lineRule="exact"/>
        <w:rPr>
          <w:sz w:val="20"/>
          <w:szCs w:val="20"/>
          <w:color w:val="auto"/>
        </w:rPr>
      </w:pPr>
    </w:p>
    <w:p>
      <w:pPr>
        <w:ind w:left="440" w:right="60" w:firstLine="948"/>
        <w:spacing w:after="0" w:line="282" w:lineRule="auto"/>
        <w:tabs>
          <w:tab w:leader="none" w:pos="1607"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Person from whom the accounts receivable included in the Net Current Asset Value is payable and the expected time of delivery of such receivable;</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instructions for the purposes of discharging the Indebtedness (if any); and</w:t>
      </w:r>
    </w:p>
    <w:p>
      <w:pPr>
        <w:spacing w:after="0" w:line="117" w:lineRule="exact"/>
        <w:rPr>
          <w:rFonts w:ascii="Times New Roman" w:cs="Times New Roman" w:eastAsia="Times New Roman" w:hAnsi="Times New Roman"/>
          <w:sz w:val="18"/>
          <w:szCs w:val="18"/>
          <w:color w:val="auto"/>
        </w:rPr>
      </w:pPr>
    </w:p>
    <w:p>
      <w:pPr>
        <w:ind w:left="980" w:right="980" w:firstLine="408"/>
        <w:spacing w:after="0" w:line="282" w:lineRule="auto"/>
        <w:tabs>
          <w:tab w:leader="none" w:pos="169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Transaction Expenses, in each case, together with reasonably detailed supporting calculations and documentation for such estimates.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any successor or substitute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Capital Stock</w:t>
      </w:r>
      <w:r>
        <w:rPr>
          <w:rFonts w:ascii="Times New Roman" w:cs="Times New Roman" w:eastAsia="Times New Roman" w:hAnsi="Times New Roman"/>
          <w:sz w:val="18"/>
          <w:szCs w:val="18"/>
          <w:color w:val="auto"/>
        </w:rPr>
        <w:t>” means the Capital Stock of the Company.</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Intellectual Property</w:t>
      </w:r>
      <w:r>
        <w:rPr>
          <w:rFonts w:ascii="Times New Roman" w:cs="Times New Roman" w:eastAsia="Times New Roman" w:hAnsi="Times New Roman"/>
          <w:sz w:val="18"/>
          <w:szCs w:val="18"/>
          <w:color w:val="auto"/>
        </w:rPr>
        <w:t>” means any and all Intellectual Property that is owned or licensed by the Company and/or used or held for use in connection with the conduct of the business of the Company as currently conducted.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Ordinary Shares</w:t>
      </w:r>
      <w:r>
        <w:rPr>
          <w:rFonts w:ascii="Times New Roman" w:cs="Times New Roman" w:eastAsia="Times New Roman" w:hAnsi="Times New Roman"/>
          <w:sz w:val="18"/>
          <w:szCs w:val="18"/>
          <w:color w:val="auto"/>
        </w:rPr>
        <w:t>” means the ordinary shares of £0.001 each in the capital of the Company.</w:t>
      </w:r>
    </w:p>
    <w:p>
      <w:pPr>
        <w:spacing w:after="0" w:line="225" w:lineRule="exact"/>
        <w:rPr>
          <w:sz w:val="20"/>
          <w:szCs w:val="20"/>
          <w:color w:val="auto"/>
        </w:rPr>
      </w:pPr>
    </w:p>
    <w:p>
      <w:pPr>
        <w:jc w:val="both"/>
        <w:ind w:right="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to the knowledge of the Company</w:t>
      </w:r>
      <w:r>
        <w:rPr>
          <w:rFonts w:ascii="Times New Roman" w:cs="Times New Roman" w:eastAsia="Times New Roman" w:hAnsi="Times New Roman"/>
          <w:sz w:val="18"/>
          <w:szCs w:val="18"/>
          <w:color w:val="auto"/>
        </w:rPr>
        <w:t>” or variations thereof means the actual knowledge of any of the shareholders in the Company at the Relevant Time, together with the knowledge such persons would have, in each case, after making reasonable inquiries regarding the relevant subject matters in question.</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Personnel</w:t>
      </w:r>
      <w:r>
        <w:rPr>
          <w:rFonts w:ascii="Times New Roman" w:cs="Times New Roman" w:eastAsia="Times New Roman" w:hAnsi="Times New Roman"/>
          <w:sz w:val="18"/>
          <w:szCs w:val="18"/>
          <w:color w:val="auto"/>
        </w:rPr>
        <w:t>” means any former or current director, officer, employee, agent or consultant of the Company.</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7" w:right="479" w:bottom="1440" w:gutter="0" w:footer="0" w:header="0"/>
        </w:sectPr>
      </w:pPr>
    </w:p>
    <w:bookmarkStart w:id="566" w:name="page567"/>
    <w:bookmarkEnd w:id="5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Company Plan</w:t>
      </w:r>
      <w:r>
        <w:rPr>
          <w:rFonts w:ascii="Times New Roman" w:cs="Times New Roman" w:eastAsia="Times New Roman" w:hAnsi="Times New Roman"/>
          <w:sz w:val="18"/>
          <w:szCs w:val="18"/>
          <w:color w:val="auto"/>
        </w:rPr>
        <w:t>” is defined in Section 5.17(a).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Share Option</w:t>
      </w:r>
      <w:r>
        <w:rPr>
          <w:rFonts w:ascii="Times New Roman" w:cs="Times New Roman" w:eastAsia="Times New Roman" w:hAnsi="Times New Roman"/>
          <w:sz w:val="18"/>
          <w:szCs w:val="18"/>
          <w:color w:val="auto"/>
        </w:rPr>
        <w:t>” means an option to purchase or acquire shares of Company Ordinary Shares.</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Share Plan</w:t>
      </w:r>
      <w:r>
        <w:rPr>
          <w:rFonts w:ascii="Times New Roman" w:cs="Times New Roman" w:eastAsia="Times New Roman" w:hAnsi="Times New Roman"/>
          <w:sz w:val="18"/>
          <w:szCs w:val="18"/>
          <w:color w:val="auto"/>
        </w:rPr>
        <w:t>” means any current or former share option plan or other share or equity-related plan of the Company, including, but not limited to, the Rahko Limited 2019 Share Option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Confidential Company Information</w:t>
      </w:r>
      <w:r>
        <w:rPr>
          <w:rFonts w:ascii="Times New Roman" w:cs="Times New Roman" w:eastAsia="Times New Roman" w:hAnsi="Times New Roman"/>
          <w:sz w:val="18"/>
          <w:szCs w:val="18"/>
          <w:color w:val="auto"/>
        </w:rPr>
        <w:t>” is defined in Section 5.12(g).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Confidentiality Agreements</w:t>
      </w:r>
      <w:r>
        <w:rPr>
          <w:rFonts w:ascii="Times New Roman" w:cs="Times New Roman" w:eastAsia="Times New Roman" w:hAnsi="Times New Roman"/>
          <w:sz w:val="18"/>
          <w:szCs w:val="18"/>
          <w:color w:val="auto"/>
        </w:rPr>
        <w:t>” is defined in Section 5.12(g).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Consideration Schedule</w:t>
      </w:r>
      <w:r>
        <w:rPr>
          <w:rFonts w:ascii="Times New Roman" w:cs="Times New Roman" w:eastAsia="Times New Roman" w:hAnsi="Times New Roman"/>
          <w:sz w:val="18"/>
          <w:szCs w:val="18"/>
          <w:color w:val="auto"/>
        </w:rPr>
        <w:t>” means the consideration schedule set out in Schedule 1.</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Consideration Shares</w:t>
      </w:r>
      <w:r>
        <w:rPr>
          <w:rFonts w:ascii="Times New Roman" w:cs="Times New Roman" w:eastAsia="Times New Roman" w:hAnsi="Times New Roman"/>
          <w:sz w:val="18"/>
          <w:szCs w:val="18"/>
          <w:color w:val="auto"/>
        </w:rPr>
        <w:t>” means, 1,681,886 shares of Buyer A Preferred Stock, which, based on the Per Share Value, are valued at an aggregate of US$7,302,550, to be delivered as partial consideration for the Sale Shares, of which 921,844 shares of Buyer A Preferred Stock shall be issued in consideration for the sale of the Seed Shares and 760,042 shares of Buyer A Preferred Stock shall be issued in consideration for the sale of the A Pref Shares.</w:t>
      </w:r>
    </w:p>
    <w:p>
      <w:pPr>
        <w:spacing w:after="0" w:line="180"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Articles of Association of the relevant company or, if such Person is a limited company or another form of entity, the Certificate of Incorporation of a Person and analogous constitutive documents.</w:t>
      </w:r>
    </w:p>
    <w:p>
      <w:pPr>
        <w:spacing w:after="0" w:line="158"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loan or credit agreement, bond, debenture, note, mortgage, indenture, guarantee, security agreement, lease or other contract, commitment, agreement, instrument, license, or legally binding arrangement or understanding, whether written or oral.</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means holding more than 50% of the combined voting power of then outstanding voting securities of a corporate entity.</w:t>
      </w:r>
    </w:p>
    <w:p>
      <w:pPr>
        <w:spacing w:after="0" w:line="225"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means SARS-CoV-2 or COVID-19, and any evolutions or mutations thereof or related or associated epidemics, pandemic or disease outbreaks.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D&amp;O Indemnified Parties</w:t>
      </w:r>
      <w:r>
        <w:rPr>
          <w:rFonts w:ascii="Times New Roman" w:cs="Times New Roman" w:eastAsia="Times New Roman" w:hAnsi="Times New Roman"/>
          <w:sz w:val="18"/>
          <w:szCs w:val="18"/>
          <w:color w:val="auto"/>
        </w:rPr>
        <w:t>” is defined in Section 8.3(a).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w:t>
      </w:r>
      <w:r>
        <w:rPr>
          <w:rFonts w:ascii="Times New Roman" w:cs="Times New Roman" w:eastAsia="Times New Roman" w:hAnsi="Times New Roman"/>
          <w:sz w:val="18"/>
          <w:szCs w:val="18"/>
          <w:color w:val="auto"/>
        </w:rPr>
        <w:t>” has the meaning given in Section 3.2.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 Amount</w:t>
      </w:r>
      <w:r>
        <w:rPr>
          <w:rFonts w:ascii="Times New Roman" w:cs="Times New Roman" w:eastAsia="Times New Roman" w:hAnsi="Times New Roman"/>
          <w:sz w:val="18"/>
          <w:szCs w:val="18"/>
          <w:color w:val="auto"/>
        </w:rPr>
        <w:t>” means US$6,157,777.</w:t>
      </w:r>
    </w:p>
    <w:p>
      <w:pPr>
        <w:spacing w:after="0" w:line="225"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 Event</w:t>
      </w:r>
      <w:r>
        <w:rPr>
          <w:rFonts w:ascii="Times New Roman" w:cs="Times New Roman" w:eastAsia="Times New Roman" w:hAnsi="Times New Roman"/>
          <w:sz w:val="18"/>
          <w:szCs w:val="18"/>
          <w:color w:val="auto"/>
        </w:rPr>
        <w:t>” means an event that upon the occurrence of which, a Deferred Consideration Payment becomes due to the Seller pursuant to Section 3.2.</w:t>
      </w:r>
    </w:p>
    <w:p>
      <w:pPr>
        <w:spacing w:after="0" w:line="158"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Consideration Payment Period</w:t>
      </w:r>
      <w:r>
        <w:rPr>
          <w:rFonts w:ascii="Times New Roman" w:cs="Times New Roman" w:eastAsia="Times New Roman" w:hAnsi="Times New Roman"/>
          <w:sz w:val="18"/>
          <w:szCs w:val="18"/>
          <w:color w:val="auto"/>
        </w:rPr>
        <w:t>” means the period from Closing up to the date on which the Deferred Consideration Payments are made in full subject to the terms and conditions set out in Section 3.2.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Letter</w:t>
      </w:r>
      <w:r>
        <w:rPr>
          <w:rFonts w:ascii="Times New Roman" w:cs="Times New Roman" w:eastAsia="Times New Roman" w:hAnsi="Times New Roman"/>
          <w:sz w:val="18"/>
          <w:szCs w:val="18"/>
          <w:color w:val="auto"/>
        </w:rPr>
        <w:t>” is defined in the preface to ARTICLE 5.</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7" w:right="499" w:bottom="1440" w:gutter="0" w:footer="0" w:header="0"/>
        </w:sectPr>
      </w:pPr>
    </w:p>
    <w:bookmarkStart w:id="567" w:name="page568"/>
    <w:bookmarkEnd w:id="56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4" w:right="2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EMI Option</w:t>
      </w:r>
      <w:r>
        <w:rPr>
          <w:rFonts w:ascii="Times New Roman" w:cs="Times New Roman" w:eastAsia="Times New Roman" w:hAnsi="Times New Roman"/>
          <w:sz w:val="18"/>
          <w:szCs w:val="18"/>
          <w:color w:val="auto"/>
        </w:rPr>
        <w:t>” means an option granted under Schedule 5 (enterprise management incentives) to ITEPA 2003 held by employees of the Company to acquire any shares in the capital of the Company.</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Estimated Closing Statement</w:t>
      </w:r>
      <w:r>
        <w:rPr>
          <w:rFonts w:ascii="Times New Roman" w:cs="Times New Roman" w:eastAsia="Times New Roman" w:hAnsi="Times New Roman"/>
          <w:sz w:val="18"/>
          <w:szCs w:val="18"/>
          <w:color w:val="auto"/>
        </w:rPr>
        <w:t>” means the draft Closing Statement delivered to Buyer prior to the Relevant Time by the Previous Sellers.</w:t>
      </w:r>
    </w:p>
    <w:p>
      <w:pPr>
        <w:spacing w:after="0" w:line="225" w:lineRule="exact"/>
        <w:rPr>
          <w:sz w:val="20"/>
          <w:szCs w:val="20"/>
          <w:color w:val="auto"/>
        </w:rPr>
      </w:pPr>
    </w:p>
    <w:p>
      <w:pPr>
        <w:ind w:left="4" w:right="6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Estimated Net Current Asset Consideration</w:t>
      </w:r>
      <w:r>
        <w:rPr>
          <w:rFonts w:ascii="Times New Roman" w:cs="Times New Roman" w:eastAsia="Times New Roman" w:hAnsi="Times New Roman"/>
          <w:sz w:val="18"/>
          <w:szCs w:val="18"/>
          <w:color w:val="auto"/>
        </w:rPr>
        <w:t>” means the estimated Net Current Asset Consideration, calculated as set forth on the Estimated Closing Statement.</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U.S. Exchange Act of 1934, as amended.</w:t>
      </w:r>
    </w:p>
    <w:p>
      <w:pPr>
        <w:spacing w:after="0" w:line="225" w:lineRule="exact"/>
        <w:rPr>
          <w:sz w:val="20"/>
          <w:szCs w:val="20"/>
          <w:color w:val="auto"/>
        </w:rPr>
      </w:pPr>
    </w:p>
    <w:p>
      <w:pPr>
        <w:ind w:left="4" w:right="5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Rate</w:t>
      </w:r>
      <w:r>
        <w:rPr>
          <w:rFonts w:ascii="Times New Roman" w:cs="Times New Roman" w:eastAsia="Times New Roman" w:hAnsi="Times New Roman"/>
          <w:sz w:val="18"/>
          <w:szCs w:val="18"/>
          <w:color w:val="auto"/>
        </w:rPr>
        <w:t>” means the daily spot exchange rate of US Dollars against GB Sterling on October 4, 2021as listed on the Bank of England website (www.bankofengland.co.uk/boeapps/database/Rates.asp?Travel=NIxAZx&amp;into=GBP).</w:t>
      </w:r>
    </w:p>
    <w:p>
      <w:pPr>
        <w:spacing w:after="0" w:line="158" w:lineRule="exact"/>
        <w:rPr>
          <w:sz w:val="20"/>
          <w:szCs w:val="20"/>
          <w:color w:val="auto"/>
        </w:rPr>
      </w:pPr>
    </w:p>
    <w:p>
      <w:pPr>
        <w:ind w:left="4"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Shareholders Agreement</w:t>
      </w:r>
      <w:r>
        <w:rPr>
          <w:rFonts w:ascii="Times New Roman" w:cs="Times New Roman" w:eastAsia="Times New Roman" w:hAnsi="Times New Roman"/>
          <w:sz w:val="18"/>
          <w:szCs w:val="18"/>
          <w:color w:val="auto"/>
        </w:rPr>
        <w:t>” means the subscription and shareholders’ agreement dated 20 June 2019 between the Seller, certain Previous Sellers and the Company in respect of the Seed Preferred Shares.</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Exit Event</w:t>
      </w:r>
      <w:r>
        <w:rPr>
          <w:rFonts w:ascii="Times New Roman" w:cs="Times New Roman" w:eastAsia="Times New Roman" w:hAnsi="Times New Roman"/>
          <w:sz w:val="18"/>
          <w:szCs w:val="18"/>
          <w:color w:val="auto"/>
        </w:rPr>
        <w:t>” means (i) a transaction or series of related transactions in which any person (within the meaning of Section 13(d)(3) or 14(d)</w:t>
      </w:r>
    </w:p>
    <w:p>
      <w:pPr>
        <w:spacing w:after="0" w:line="29" w:lineRule="exact"/>
        <w:rPr>
          <w:sz w:val="20"/>
          <w:szCs w:val="20"/>
          <w:color w:val="auto"/>
        </w:rPr>
      </w:pPr>
    </w:p>
    <w:p>
      <w:pPr>
        <w:ind w:left="4" w:hanging="4"/>
        <w:spacing w:after="0" w:line="251" w:lineRule="auto"/>
        <w:tabs>
          <w:tab w:leader="none" w:pos="25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including any persons acting in concert with each other), other than any person who immediately prior to the consummation of such transaction or transactions owns more than a majority of the Buyer’s outstanding voting securities, acquires more than 50% of the combined voting power of then outstanding voting securities of the Buyer, except that any change in the ownership of the voting stock of Buyer as a result of the IPO will not be considered an Exit Event, (ii) a consolidation or merger of the Buyer with or into another entity, unless the stockholders of the Buyer immediately prior to the consummation of such consolidation or merger own, directly or indirectly, a majority of the combined voting power of the outstanding voting securities of the corporation or other entity resulting from such consolidation or merger, or (iii) the sale or other disposition of all or substantially all of the assets of the Buyer, provided that if there is any reorganization of the Buyer Group, the references in this definition to the “Buyer” shall be deemed to be a reference to the ultimate parent entity of the Buyer Group.</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Closing Statement</w:t>
      </w:r>
      <w:r>
        <w:rPr>
          <w:rFonts w:ascii="Times New Roman" w:cs="Times New Roman" w:eastAsia="Times New Roman" w:hAnsi="Times New Roman"/>
          <w:sz w:val="18"/>
          <w:szCs w:val="18"/>
          <w:color w:val="auto"/>
        </w:rPr>
        <w:t>” is defined in Section 4.8(c).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is defined in Section 5.6.</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Fundamental Representations</w:t>
      </w:r>
      <w:r>
        <w:rPr>
          <w:rFonts w:ascii="Times New Roman" w:cs="Times New Roman" w:eastAsia="Times New Roman" w:hAnsi="Times New Roman"/>
          <w:sz w:val="18"/>
          <w:szCs w:val="18"/>
          <w:color w:val="auto"/>
        </w:rPr>
        <w:t>” means the representations and warranties of (A) the Company contained in Section 5.1 (Organization and Standing; No Subsidiaries), Section 5.2 (Power and Authority; Binding Agreement; Insolvency), Section 5.3 (Capitalization), Section 5.12 (Intellectual Property) and Section 5.22 (Brokers); and (B) the Seller contained in Section 7.1 (Power and Authority; Binding Agreement; Bankruptcy) and Section 7.3 (Sale Shares).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7" w:right="479" w:bottom="1440" w:gutter="0" w:footer="0" w:header="0"/>
        </w:sectPr>
      </w:pPr>
    </w:p>
    <w:bookmarkStart w:id="568" w:name="page569"/>
    <w:bookmarkEnd w:id="56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United Kingdom generally accepted accounting principles, consistently applied.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Gratuity</w:t>
      </w:r>
      <w:r>
        <w:rPr>
          <w:rFonts w:ascii="Times New Roman" w:cs="Times New Roman" w:eastAsia="Times New Roman" w:hAnsi="Times New Roman"/>
          <w:sz w:val="18"/>
          <w:szCs w:val="18"/>
          <w:color w:val="auto"/>
        </w:rPr>
        <w:t>” has the meaning given in Section 5.13.</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Entity</w:t>
      </w:r>
      <w:r>
        <w:rPr>
          <w:rFonts w:ascii="Times New Roman" w:cs="Times New Roman" w:eastAsia="Times New Roman" w:hAnsi="Times New Roman"/>
          <w:sz w:val="18"/>
          <w:szCs w:val="18"/>
          <w:color w:val="auto"/>
        </w:rPr>
        <w:t>” means any instrumentality, subdivision, court, administrative agency, department, body, bureau, division, board, committee, panel, commission, official or other authority of any country, state, province, prefect, municipality, locality or other government or political subdivision thereof, whether domestic or foreign, or any supranational or multinational organization or authority, or any quasi-governmental, private body or arbitral body exercising any executive, legislative, judicial, quasi-judicial, regulatory, taxing, importing, administrative or other governmental or quasi-governmental authority.</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IHTA 1984</w:t>
      </w:r>
      <w:r>
        <w:rPr>
          <w:rFonts w:ascii="Times New Roman" w:cs="Times New Roman" w:eastAsia="Times New Roman" w:hAnsi="Times New Roman"/>
          <w:sz w:val="18"/>
          <w:szCs w:val="18"/>
          <w:color w:val="auto"/>
        </w:rPr>
        <w:t>” is defined in Section 5.15(r).</w:t>
      </w:r>
    </w:p>
    <w:p>
      <w:pPr>
        <w:spacing w:after="0" w:line="225"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any Person means without duplication, (i) all indebtedness of such Person for borrowed money, (ii) any obligations under capitalized leases with respect to which such Person is liable, (iii) all obligations of such Person evidenced by bonds, notes, debentures or similar instruments, (iv) all reimbursement obligations of such Person under outstanding letters of credit, (v) obligations for the deferred purchase price of goods or services and (vi) any guarantees by such Person of any of the foregoing.</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means any Person against whom a claim for indemnification is being asserted under any provision of ARTICLE 9.</w:t>
      </w:r>
    </w:p>
    <w:p>
      <w:pPr>
        <w:spacing w:after="0" w:line="225" w:lineRule="exact"/>
        <w:rPr>
          <w:sz w:val="20"/>
          <w:szCs w:val="20"/>
          <w:color w:val="auto"/>
        </w:rPr>
      </w:pPr>
    </w:p>
    <w:p>
      <w:pPr>
        <w:ind w:left="4"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Independent Accounting Firm</w:t>
      </w:r>
      <w:r>
        <w:rPr>
          <w:rFonts w:ascii="Times New Roman" w:cs="Times New Roman" w:eastAsia="Times New Roman" w:hAnsi="Times New Roman"/>
          <w:sz w:val="17"/>
          <w:szCs w:val="17"/>
          <w:color w:val="auto"/>
        </w:rPr>
        <w:t xml:space="preserve"> means a regionally or nationally recognized independent accounting firm mutually selected by the Seller’s Representatives and Buyer. If the Seller’s Representatives and Buyer are unable to mutually agree upon an independent accounting firm within ten</w:t>
      </w:r>
    </w:p>
    <w:p>
      <w:pPr>
        <w:spacing w:after="0" w:line="1" w:lineRule="exact"/>
        <w:rPr>
          <w:sz w:val="20"/>
          <w:szCs w:val="20"/>
          <w:color w:val="auto"/>
        </w:rPr>
      </w:pPr>
    </w:p>
    <w:p>
      <w:pPr>
        <w:ind w:left="4" w:right="60" w:hanging="4"/>
        <w:spacing w:after="0" w:line="255" w:lineRule="auto"/>
        <w:tabs>
          <w:tab w:leader="none" w:pos="349"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a matter is to be submitted to the Independent Accounting Firm, the Buyer and the Seller’s Representatives (acting jointly) shall each select a regionally or nationally recognized independent accounting firm and such accounting firms so selected shall mutually appoint the regionally or nationally recognized independent accounting firm to serve as the “Independent Accountant” hereunder.</w:t>
      </w:r>
    </w:p>
    <w:p>
      <w:pPr>
        <w:spacing w:after="0" w:line="184"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Investment Bank</w:t>
      </w:r>
      <w:r>
        <w:rPr>
          <w:rFonts w:ascii="Times New Roman" w:cs="Times New Roman" w:eastAsia="Times New Roman" w:hAnsi="Times New Roman"/>
          <w:sz w:val="18"/>
          <w:szCs w:val="18"/>
          <w:color w:val="auto"/>
        </w:rPr>
        <w:t>” means an investment bank that is independent from the Buyer, the Seller and each of the Previous Sellers, or such other regionally or nationally recognized investment banking firm, as mutually selected by the Seller’s Representatives and Buyer. If the Seller’s Representatives and Buyer are unable to mutually agree upon an independent investment banking firm within ten (10) days after the date a matter is to be submitted to the Independent Investment Bank, the Buyer and the Seller’s Representatives (acting jointly) shall each select a regionally or nationally recognized independent investment banking firm and such investment banking firms so selected shall mutually appoint the regionally or nationally recognized independent investment banking firm to serve as the “Independent Investment Bank” hereunder.</w:t>
      </w:r>
    </w:p>
    <w:p>
      <w:pPr>
        <w:spacing w:after="0" w:line="182" w:lineRule="exact"/>
        <w:rPr>
          <w:sz w:val="20"/>
          <w:szCs w:val="20"/>
          <w:color w:val="auto"/>
        </w:rPr>
      </w:pPr>
    </w:p>
    <w:p>
      <w:pPr>
        <w:ind w:left="4" w:right="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Indirect Taxes</w:t>
      </w:r>
      <w:r>
        <w:rPr>
          <w:rFonts w:ascii="Times New Roman" w:cs="Times New Roman" w:eastAsia="Times New Roman" w:hAnsi="Times New Roman"/>
          <w:sz w:val="18"/>
          <w:szCs w:val="18"/>
          <w:color w:val="auto"/>
        </w:rPr>
        <w:t>” means value added, sales, consumption, goods and services taxes or other similar taxes required by applicable Law including, for the avoidance of doubt, any tax imposed in compliance with the Council Directive of 28 November 2006 on the common system of value added tax (Council Directive 2006/112/EC), to be disclosed as a separate item on the relevant invoice.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7" w:right="479" w:bottom="1440" w:gutter="0" w:footer="0" w:header="0"/>
        </w:sectPr>
      </w:pPr>
    </w:p>
    <w:bookmarkStart w:id="569" w:name="page570"/>
    <w:bookmarkEnd w:id="569"/>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means (i) all patents, patent applications, patent disclosures, statutory invention registrations, utility models, reissues, continuations, continuations-in-part, divisionals, revisions, extensions (including any supplemental protection certificates), and reexaminations thereof, and all rights therein, including those provided by international treaties and conventions; (ii) all registered and unregistered trademarks, service marks, trade dress, logos, symbols, slogans, trade names, corporate names, assumed fictional business names, and other indicia of source or origin, together with all translations, adaptations, derivations, and combinations thereof and including all goodwill associated therewith or symbolized thereby, and all applications, registrations, and renewals in connection therewith; (iii) all works of authorship and copyrightable works, all registered and unregistered copyrights in both published and unpublished works, and all applications, together with all translations, adaptations, derivations, and combinations thereof, and all applications, registrations, extensions, restorations, and renewals in connection therewith, (iv) computer software, applications or programs (whether in source code, object code or other form), databases management code, firmware, algorithms, operating systems and specifications, utilities, graphical user interfaces, menus, images, icons, forms, methods of processing, software engines, platforms, data formats, internet web sites, web content and links, all versions, updates, corrections, enhancements and modifications thereof, and all related documentation, developer notes, comments and annotations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(v) all mask works and all applications, registrations, and renewals in connection therewith;</w:t>
      </w:r>
    </w:p>
    <w:p>
      <w:pPr>
        <w:spacing w:after="0" w:line="4" w:lineRule="exact"/>
        <w:rPr>
          <w:sz w:val="20"/>
          <w:szCs w:val="20"/>
          <w:color w:val="auto"/>
        </w:rPr>
      </w:pPr>
    </w:p>
    <w:p>
      <w:pPr>
        <w:ind w:left="4" w:hanging="4"/>
        <w:spacing w:after="0" w:line="251" w:lineRule="auto"/>
        <w:tabs>
          <w:tab w:leader="none" w:pos="30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moral rights, rights of publicity, industrial designs and industrial property rights; (vii) all inventions and discoveries (whether patentable or unpatentable and whether or not reduced to practice) and all improvements thereto, and all trade secrets, know-how, proprietary information, and confidential information (including ideas, research and development information, schematics, technology, formulas, compositions, processes and techniques, processing methods, logics, technical data, databases and other data compilations and aggregated data, laboratory notebooks, recordations of inventions or proprietary information, designs, drawings, specifications, customer and supplier lists, pricing and cost information, financial and accounting data, and business and marketing data, plans and proposals), and all rights in any jurisdiction to limit the use or disclosure of any of the foregoing; (viii) rights in Internet websites and Internet domain names and world wide web addresses; and (ix) all copies and tangible embodiments thereof (in whatever form or medium); and (x) all rights, benefits, and priorities afforded under applicable Law with respect to any of the foregoing.</w:t>
      </w:r>
    </w:p>
    <w:p>
      <w:pPr>
        <w:spacing w:after="0" w:line="192" w:lineRule="exact"/>
        <w:rPr>
          <w:sz w:val="20"/>
          <w:szCs w:val="20"/>
          <w:color w:val="auto"/>
        </w:rPr>
      </w:pPr>
    </w:p>
    <w:p>
      <w:pPr>
        <w:ind w:left="4" w:right="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Infringe</w:t>
      </w:r>
      <w:r>
        <w:rPr>
          <w:rFonts w:ascii="Times New Roman" w:cs="Times New Roman" w:eastAsia="Times New Roman" w:hAnsi="Times New Roman"/>
          <w:sz w:val="18"/>
          <w:szCs w:val="18"/>
          <w:color w:val="auto"/>
        </w:rPr>
        <w:t>” means infringe, misappropriate, dilute, or otherwise violate, or use in any unauthorized manner, any Intellectual Property (without giving effect to 35 U.S.C. § 271(e)(1) and any other Laws of similar effect in any jurisdiction), and such term includes the conjugated forms of each of the foregoing, as applicable.</w:t>
      </w:r>
    </w:p>
    <w:p>
      <w:pPr>
        <w:spacing w:after="0" w:line="173"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means the Buyer’s first public offering or public listing of its shares (for example, via the acquisition of capital stock in the Buyer by a special purchase acquisition vehicle (SPAC) and a listing of shares in this case includes a listing of shares in the SPAC) pursuant to applicable registration requirements on a Major Securities Exchange, provided that if there is any reorganisation of the Buyer Group, the references in this definition to the “Buyer” shall be deemed to be a reference to the ultimate parent entity of the Buyer Group or the Buyer Group Companies whose shares are listed on the Major Securities Exchange.</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7" w:right="479" w:bottom="1440" w:gutter="0" w:footer="0" w:header="0"/>
        </w:sectPr>
      </w:pPr>
    </w:p>
    <w:bookmarkStart w:id="570" w:name="page571"/>
    <w:bookmarkEnd w:id="57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IT Assets</w:t>
      </w:r>
      <w:r>
        <w:rPr>
          <w:rFonts w:ascii="Times New Roman" w:cs="Times New Roman" w:eastAsia="Times New Roman" w:hAnsi="Times New Roman"/>
          <w:sz w:val="18"/>
          <w:szCs w:val="18"/>
          <w:color w:val="auto"/>
        </w:rPr>
        <w:t>” is defined in Section 5.12(i).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ITEPA</w:t>
      </w:r>
      <w:r>
        <w:rPr>
          <w:rFonts w:ascii="Times New Roman" w:cs="Times New Roman" w:eastAsia="Times New Roman" w:hAnsi="Times New Roman"/>
          <w:sz w:val="18"/>
          <w:szCs w:val="18"/>
          <w:color w:val="auto"/>
        </w:rPr>
        <w:t>” means Income Tax (Earnings and Pensions) Act 2003.</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w:t>
      </w:r>
      <w:r>
        <w:rPr>
          <w:rFonts w:ascii="Times New Roman" w:cs="Times New Roman" w:eastAsia="Times New Roman" w:hAnsi="Times New Roman"/>
          <w:sz w:val="18"/>
          <w:szCs w:val="18"/>
          <w:color w:val="auto"/>
        </w:rPr>
        <w:t>” means any writ, judgment, injunction, order, decree, stipulation determination or award entered by or with any Governmental</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Entity.</w:t>
      </w:r>
    </w:p>
    <w:p>
      <w:pPr>
        <w:spacing w:after="0" w:line="205" w:lineRule="exact"/>
        <w:rPr>
          <w:sz w:val="20"/>
          <w:szCs w:val="20"/>
          <w:color w:val="auto"/>
        </w:rPr>
      </w:pPr>
    </w:p>
    <w:p>
      <w:pPr>
        <w:ind w:left="4" w:right="2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any federal, state, territorial, foreign, international, multinational or supranational or local law, common law, statute, ordinance, judicial decision, rule, regulation, agency requirement, license, notice, guidance, guideline, treaty, ruling, procedure, or permit, directive or code of any Governmental Entity or decisions having the force of law in any jurisdiction from time to time.</w:t>
      </w:r>
    </w:p>
    <w:p>
      <w:pPr>
        <w:spacing w:after="0" w:line="173"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and all damages, debts, liabilities and obligations, Taxes, interest obligations, deficiencies, assessments, fees (including reasonable attorneys’ fees), penalties, and expenses, whether accrued or fixed, absolute or contingent, matured or unmatured or determined or determinable, including those arising under any Law, Action or Judgment and those arising under any contract, agreement, arrangement, commitment or undertaking.</w:t>
      </w:r>
    </w:p>
    <w:p>
      <w:pPr>
        <w:spacing w:after="0" w:line="180" w:lineRule="exact"/>
        <w:rPr>
          <w:sz w:val="20"/>
          <w:szCs w:val="20"/>
          <w:color w:val="auto"/>
        </w:rPr>
      </w:pPr>
    </w:p>
    <w:p>
      <w:pPr>
        <w:ind w:left="4" w:right="2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security interest, mortgage, pledge, lease, adverse claim, levy, charge or other encumbrance or restriction of any kind, whether arising by Contract or by operation of Law.</w:t>
      </w:r>
    </w:p>
    <w:p>
      <w:pPr>
        <w:spacing w:after="0" w:line="158" w:lineRule="exact"/>
        <w:rPr>
          <w:sz w:val="20"/>
          <w:szCs w:val="20"/>
          <w:color w:val="auto"/>
        </w:rPr>
      </w:pPr>
    </w:p>
    <w:p>
      <w:pPr>
        <w:ind w:left="4" w:right="7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fines, Liabilities, losses, costs (including the costs of defense and enforcement of this Agreement), damages, expenses, Taxes or amounts paid in settlement (in each case, including reasonable attorneys’ and experts’ fees and expenses).</w:t>
      </w:r>
    </w:p>
    <w:p>
      <w:pPr>
        <w:spacing w:after="0" w:line="158" w:lineRule="exact"/>
        <w:rPr>
          <w:sz w:val="20"/>
          <w:szCs w:val="20"/>
          <w:color w:val="auto"/>
        </w:rPr>
      </w:pPr>
    </w:p>
    <w:p>
      <w:pPr>
        <w:ind w:left="4" w:right="3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Securities Exchange</w:t>
      </w:r>
      <w:r>
        <w:rPr>
          <w:rFonts w:ascii="Times New Roman" w:cs="Times New Roman" w:eastAsia="Times New Roman" w:hAnsi="Times New Roman"/>
          <w:sz w:val="18"/>
          <w:szCs w:val="18"/>
          <w:color w:val="auto"/>
        </w:rPr>
        <w:t>” means the New York Stock Exchange, the Nasdaq Global Select Market, the Nasdaq Global Market, the stock exchanges of Toronto, London or any other recognized investment exchange.</w:t>
      </w:r>
    </w:p>
    <w:p>
      <w:pPr>
        <w:spacing w:after="0" w:line="158" w:lineRule="exact"/>
        <w:rPr>
          <w:sz w:val="20"/>
          <w:szCs w:val="20"/>
          <w:color w:val="auto"/>
        </w:rPr>
      </w:pPr>
    </w:p>
    <w:p>
      <w:pPr>
        <w:ind w:left="4" w:right="4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Material Adverse Change</w:t>
      </w:r>
      <w:r>
        <w:rPr>
          <w:rFonts w:ascii="Times New Roman" w:cs="Times New Roman" w:eastAsia="Times New Roman" w:hAnsi="Times New Roman"/>
          <w:sz w:val="17"/>
          <w:szCs w:val="17"/>
          <w:color w:val="auto"/>
        </w:rPr>
        <w:t xml:space="preserve">” means any change, effect, event, occurrence, state of facts or development (i) that, individually or in the aggregate, has had or would reasonably be expected to be materially adverse to the business, financial condition, assets, liabilities or results of operations of the Company, taken as a whole, or (ii) that would reasonably be expected to prevent or materially delay the consummation of the C/C Transaction;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none of the following shall be deemed, either alone or in combination, to constitute or contribute to, and none of the following shall be taken into account for purposes of the foregoing clause (i) in determining whether there has been or will be, a Material Adverse Change: (A) any change, effect, event, occurrence, state of facts or development relating to the economy or financial or capital markets or political conditions in the United States or in any other jurisdiction in which the Company has operations or conducts business to the extent, and only to the extent, the effects do not disproportionately affect the Company as compared to other participants in the industries in which the Company operates,</w:t>
      </w:r>
    </w:p>
    <w:p>
      <w:pPr>
        <w:spacing w:after="0" w:line="2" w:lineRule="exact"/>
        <w:rPr>
          <w:sz w:val="20"/>
          <w:szCs w:val="20"/>
          <w:color w:val="auto"/>
        </w:rPr>
      </w:pPr>
    </w:p>
    <w:p>
      <w:pPr>
        <w:ind w:left="4" w:hanging="4"/>
        <w:spacing w:after="0" w:line="255" w:lineRule="auto"/>
        <w:tabs>
          <w:tab w:leader="none" w:pos="28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effect, event, occurrence, state of facts or development relating to conditions affecting the industry in which the Company participates to the extent, and only to the extent, the effects do not disproportionately affect the Company as compared to other participants in the industries in which the Company operates, (C) acts of war, hostilities or terrorism or any escalation or material worsening of any such acts of war, hostilities or terrorism,</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7" w:right="439" w:bottom="1440" w:gutter="0" w:footer="0" w:header="0"/>
        </w:sectPr>
      </w:pPr>
    </w:p>
    <w:bookmarkStart w:id="571" w:name="page572"/>
    <w:bookmarkEnd w:id="57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 occurrence or escalation of any other disaster, pandemic, calamity or crisis, whether natural or manmade, to the extent, and only to the extent, the effects do not disproportionately affect the Company as compared to other participants in the industries in which the Company operates, (D) epidemics, pandemics, disease outbreaks (including COVID-19), or public health emergencies or any Law, executive order, directive, pronouncement or guideline or interpretation thereof issued by a Governmental Entity, the Centers for Disease Control and Prevention, the World Health Organization or industry group providing for modified business practices or requirements, business closures, “sheltering-in-place” or other restrictions that relate to, or arise out of, an epidemic, pandemic or disease outbreak (including COVID-19) or any change in such Law, directive, pronouncement or guideline or interpretation, to the extent, and only to the extent, the effects do not disproportionately affect the Company as compared to other participants in the industries in which the Company operates, or (E) the failure of the financial or operating performance of the Company to meet any projections, forecasts or budgets for any period (provided that the underlying causes thereof, to the extent not otherwise excluded by this definition, may be deemed to contribute to a “Material Adverse Change”; provided further, that this clause (E) shall not be construed as implying that the Company is making any representation or warranty hereunder with respect to any such projections, forecasts or budgets.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Contract</w:t>
      </w:r>
      <w:r>
        <w:rPr>
          <w:rFonts w:ascii="Times New Roman" w:cs="Times New Roman" w:eastAsia="Times New Roman" w:hAnsi="Times New Roman"/>
          <w:sz w:val="18"/>
          <w:szCs w:val="18"/>
          <w:color w:val="auto"/>
        </w:rPr>
        <w:t>” is defined in Section 5.11(a).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Most Recent Balance Sheet</w:t>
      </w:r>
      <w:r>
        <w:rPr>
          <w:rFonts w:ascii="Times New Roman" w:cs="Times New Roman" w:eastAsia="Times New Roman" w:hAnsi="Times New Roman"/>
          <w:sz w:val="18"/>
          <w:szCs w:val="18"/>
          <w:color w:val="auto"/>
        </w:rPr>
        <w:t>” means the unaudited balance sheet of the Company as of the Most Recent Balance Sheet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Most Recent Balance Sheet Date</w:t>
      </w:r>
      <w:r>
        <w:rPr>
          <w:rFonts w:ascii="Times New Roman" w:cs="Times New Roman" w:eastAsia="Times New Roman" w:hAnsi="Times New Roman"/>
          <w:sz w:val="18"/>
          <w:szCs w:val="18"/>
          <w:color w:val="auto"/>
        </w:rPr>
        <w:t>” is defined in Section 5.6.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Current Asset Consideration</w:t>
      </w:r>
      <w:r>
        <w:rPr>
          <w:rFonts w:ascii="Times New Roman" w:cs="Times New Roman" w:eastAsia="Times New Roman" w:hAnsi="Times New Roman"/>
          <w:sz w:val="18"/>
          <w:szCs w:val="18"/>
          <w:color w:val="auto"/>
        </w:rPr>
        <w:t>” is defined in Section 3.1.</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Current Asset Value</w:t>
      </w:r>
      <w:r>
        <w:rPr>
          <w:rFonts w:ascii="Times New Roman" w:cs="Times New Roman" w:eastAsia="Times New Roman" w:hAnsi="Times New Roman"/>
          <w:sz w:val="18"/>
          <w:szCs w:val="18"/>
          <w:color w:val="auto"/>
        </w:rPr>
        <w:t>” means the aggregate amount of current assets of the Company, including any (i) recoverable VAT in respect of any VAT period ended prior to the Relevant Time and (ii) recoverable research and development tax credit attributable to the Company’s 2020 fiscal year, (excluding the Cash and excluding any other deferred Tax asset), less the total liabilities of the Company (excluding Indebtedness and excluding any deferred Tax liability), including all Transaction Expenses, as at the Relevant Time as shown in the Final Closing Statement.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Current Asset Value Excess</w:t>
      </w:r>
      <w:r>
        <w:rPr>
          <w:rFonts w:ascii="Times New Roman" w:cs="Times New Roman" w:eastAsia="Times New Roman" w:hAnsi="Times New Roman"/>
          <w:sz w:val="18"/>
          <w:szCs w:val="18"/>
          <w:color w:val="auto"/>
        </w:rPr>
        <w:t>” means the amount (if any) by which the Net Current Asset Value exceeds the Target Net Current Asset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Current Asset Value Shortfall</w:t>
      </w:r>
      <w:r>
        <w:rPr>
          <w:rFonts w:ascii="Times New Roman" w:cs="Times New Roman" w:eastAsia="Times New Roman" w:hAnsi="Times New Roman"/>
          <w:sz w:val="18"/>
          <w:szCs w:val="18"/>
          <w:color w:val="auto"/>
        </w:rPr>
        <w:t>” means the amount (if any) by which the Net Current Asset Value is less than the Target Net Current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Value.</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Non-Disclosure Agreement</w:t>
      </w:r>
      <w:r>
        <w:rPr>
          <w:rFonts w:ascii="Times New Roman" w:cs="Times New Roman" w:eastAsia="Times New Roman" w:hAnsi="Times New Roman"/>
          <w:sz w:val="18"/>
          <w:szCs w:val="18"/>
          <w:color w:val="auto"/>
        </w:rPr>
        <w:t>” means that certain Confidentiality Agreement, dated April 16, 2021, by and between Buyer and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Non-Qualifying Options</w:t>
      </w:r>
      <w:r>
        <w:rPr>
          <w:rFonts w:ascii="Times New Roman" w:cs="Times New Roman" w:eastAsia="Times New Roman" w:hAnsi="Times New Roman"/>
          <w:sz w:val="18"/>
          <w:szCs w:val="18"/>
          <w:color w:val="auto"/>
        </w:rPr>
        <w:t>” means the options granted by the Company over shares in the capital of the Company that are not EMI Options.</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9" w:right="479" w:bottom="1440" w:gutter="0" w:footer="0" w:header="0"/>
        </w:sectPr>
      </w:pPr>
    </w:p>
    <w:bookmarkStart w:id="572" w:name="page573"/>
    <w:bookmarkEnd w:id="572"/>
    <w:p>
      <w:pPr>
        <w:ind w:left="4" w:right="58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Ordinary Course of Business</w:t>
      </w:r>
      <w:r>
        <w:rPr>
          <w:rFonts w:ascii="Times New Roman" w:cs="Times New Roman" w:eastAsia="Times New Roman" w:hAnsi="Times New Roman"/>
          <w:sz w:val="18"/>
          <w:szCs w:val="18"/>
          <w:color w:val="auto"/>
        </w:rPr>
        <w:t>” means the ordinary course of business of the Company, consistent with past practice, including any conduct, practice or action taken in response to, in connection with, or as a result of, COVID-19 or Pandemic Measures.</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P&amp;CA</w:t>
      </w:r>
      <w:r>
        <w:rPr>
          <w:rFonts w:ascii="Times New Roman" w:cs="Times New Roman" w:eastAsia="Times New Roman" w:hAnsi="Times New Roman"/>
          <w:sz w:val="18"/>
          <w:szCs w:val="18"/>
          <w:color w:val="auto"/>
        </w:rPr>
        <w:t>” means that certain put and call option agreement dated prior to the date of this Agreement between the Buyer and the Seller.</w:t>
      </w:r>
    </w:p>
    <w:p>
      <w:pPr>
        <w:spacing w:after="0" w:line="225" w:lineRule="exact"/>
        <w:rPr>
          <w:sz w:val="20"/>
          <w:szCs w:val="20"/>
          <w:color w:val="auto"/>
        </w:rPr>
      </w:pPr>
    </w:p>
    <w:p>
      <w:pPr>
        <w:ind w:left="4"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Pandemic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other law, order, executive order, directive, guidelines or recommendations by any Governmental Entity, branch of government or industry group in connection with or in respect to COVID-19 or any other pandemic or epidemic.</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Partial Exit Event</w:t>
      </w:r>
      <w:r>
        <w:rPr>
          <w:rFonts w:ascii="Times New Roman" w:cs="Times New Roman" w:eastAsia="Times New Roman" w:hAnsi="Times New Roman"/>
          <w:sz w:val="18"/>
          <w:szCs w:val="18"/>
          <w:color w:val="auto"/>
        </w:rPr>
        <w:t>” is defined in Section 3.2(b)(i)(C).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means Buyer, the Company, the Seller and the Seller’s Representatives.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 Share Value</w:t>
      </w:r>
      <w:r>
        <w:rPr>
          <w:rFonts w:ascii="Times New Roman" w:cs="Times New Roman" w:eastAsia="Times New Roman" w:hAnsi="Times New Roman"/>
          <w:sz w:val="18"/>
          <w:szCs w:val="18"/>
          <w:color w:val="auto"/>
        </w:rPr>
        <w:t>” means US$4.34186.</w:t>
      </w:r>
    </w:p>
    <w:p>
      <w:pPr>
        <w:spacing w:after="0" w:line="225" w:lineRule="exact"/>
        <w:rPr>
          <w:sz w:val="20"/>
          <w:szCs w:val="20"/>
          <w:color w:val="auto"/>
        </w:rPr>
      </w:pPr>
    </w:p>
    <w:p>
      <w:pPr>
        <w:ind w:left="4"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any consent, approval, clearance, variance, exemption, order, authorization, certificate, filing, notice, permit, registration, license, and consents or orders of, or filings with, any Governmental Entity.</w:t>
      </w:r>
    </w:p>
    <w:p>
      <w:pPr>
        <w:spacing w:after="0" w:line="158" w:lineRule="exact"/>
        <w:rPr>
          <w:sz w:val="20"/>
          <w:szCs w:val="20"/>
          <w:color w:val="auto"/>
        </w:rPr>
      </w:pPr>
    </w:p>
    <w:p>
      <w:pPr>
        <w:ind w:left="4" w:right="4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Liens</w:t>
      </w:r>
      <w:r>
        <w:rPr>
          <w:rFonts w:ascii="Times New Roman" w:cs="Times New Roman" w:eastAsia="Times New Roman" w:hAnsi="Times New Roman"/>
          <w:sz w:val="17"/>
          <w:szCs w:val="17"/>
          <w:color w:val="auto"/>
        </w:rPr>
        <w:t>” means the following: (i) statutory Liens for Taxes not yet due or payable or being contested in good faith by appropriate proceedings and for which adequate reserves have been recorded on the face of the balance sheets set forth on Section 5.6 of the Disclosure Letter,</w:t>
      </w:r>
    </w:p>
    <w:p>
      <w:pPr>
        <w:spacing w:after="0" w:line="1" w:lineRule="exact"/>
        <w:rPr>
          <w:sz w:val="20"/>
          <w:szCs w:val="20"/>
          <w:color w:val="auto"/>
        </w:rPr>
      </w:pPr>
    </w:p>
    <w:p>
      <w:pPr>
        <w:ind w:left="4" w:right="40" w:hanging="4"/>
        <w:spacing w:after="0" w:line="255" w:lineRule="auto"/>
        <w:tabs>
          <w:tab w:leader="none" w:pos="26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assessments and other governmental charges or Liens of landlords, carriers, warehousemen, mechanics and repairmen incurred in the Ordinary Course of Business, in each case for sums not yet due and payable or due but not delinquent, and (iii) Liens incurred in the Ordinary Course of Business in connection with workers’ compensation, unemployment insurance and other types of social security.</w:t>
      </w:r>
    </w:p>
    <w:p>
      <w:pPr>
        <w:spacing w:after="0" w:line="184" w:lineRule="exact"/>
        <w:rPr>
          <w:sz w:val="20"/>
          <w:szCs w:val="20"/>
          <w:color w:val="auto"/>
        </w:rPr>
      </w:pPr>
    </w:p>
    <w:p>
      <w:pPr>
        <w:ind w:left="4" w:right="40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 individual, corporation, company, partnership, limited liability company, joint venture, association, trust, business trust, Governmental Entity, unincorporated organization, a division or operating group of any of the foregoing or any other entity or organization.</w:t>
      </w:r>
    </w:p>
    <w:p>
      <w:pPr>
        <w:spacing w:after="0" w:line="135" w:lineRule="exact"/>
        <w:rPr>
          <w:sz w:val="20"/>
          <w:szCs w:val="20"/>
          <w:color w:val="auto"/>
        </w:rPr>
      </w:pPr>
    </w:p>
    <w:p>
      <w:pPr>
        <w:ind w:left="4"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Personal Data</w:t>
      </w:r>
      <w:r>
        <w:rPr>
          <w:rFonts w:ascii="Times New Roman" w:cs="Times New Roman" w:eastAsia="Times New Roman" w:hAnsi="Times New Roman"/>
          <w:sz w:val="18"/>
          <w:szCs w:val="18"/>
          <w:color w:val="auto"/>
        </w:rPr>
        <w:t>” means any data or information in any media that is used or reasonably capable of being used to identify an individual, or information that constitutes personal data or personal information under any applicable Law.</w:t>
      </w:r>
    </w:p>
    <w:p>
      <w:pPr>
        <w:spacing w:after="0" w:line="158" w:lineRule="exact"/>
        <w:rPr>
          <w:sz w:val="20"/>
          <w:szCs w:val="20"/>
          <w:color w:val="auto"/>
        </w:rPr>
      </w:pPr>
    </w:p>
    <w:p>
      <w:pPr>
        <w:ind w:left="4" w:right="3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Post-Closing Tax Period</w:t>
      </w:r>
      <w:r>
        <w:rPr>
          <w:rFonts w:ascii="Times New Roman" w:cs="Times New Roman" w:eastAsia="Times New Roman" w:hAnsi="Times New Roman"/>
          <w:sz w:val="18"/>
          <w:szCs w:val="18"/>
          <w:color w:val="auto"/>
        </w:rPr>
        <w:t>” means any Tax Period beginning after the Relevant Time and that portion of any Straddle Period beginning after the Relevant Time.</w:t>
      </w:r>
    </w:p>
    <w:p>
      <w:pPr>
        <w:spacing w:after="0" w:line="158"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Potential Proceeds</w:t>
      </w:r>
      <w:r>
        <w:rPr>
          <w:rFonts w:ascii="Times New Roman" w:cs="Times New Roman" w:eastAsia="Times New Roman" w:hAnsi="Times New Roman"/>
          <w:sz w:val="18"/>
          <w:szCs w:val="18"/>
          <w:color w:val="auto"/>
        </w:rPr>
        <w:t>” means the aggregate gross proceeds, whether in cash, Relevant Securities or surplus assets, that either (a) will be paid or payable at the consummation of an Exit Event or Partial Exit or (b) that could potentially be paid or payable following the consummation of such Exit Event or Partial Exit, including upon the satisfaction of contingencies,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7" w:right="459" w:bottom="1440" w:gutter="0" w:footer="0" w:header="0"/>
        </w:sectPr>
      </w:pPr>
    </w:p>
    <w:bookmarkStart w:id="573" w:name="page574"/>
    <w:bookmarkEnd w:id="573"/>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stockholders of the Buyer in connection with an Exit Event or Partial Exit as consideration for their shares of capital stock of Buyer (or to the relevant Buyer Group Company (as the case may be) as consideration for the assets of any Buyer Group Company where the sale, transfer or other disposition of the assets constitutes an Exit Event or Partial Exit), which shall include without limitation the following:</w:t>
      </w:r>
    </w:p>
    <w:p>
      <w:pPr>
        <w:spacing w:after="0" w:line="68" w:lineRule="exact"/>
        <w:rPr>
          <w:sz w:val="20"/>
          <w:szCs w:val="20"/>
          <w:color w:val="auto"/>
        </w:rPr>
      </w:pPr>
    </w:p>
    <w:p>
      <w:pPr>
        <w:ind w:left="1200" w:hanging="213"/>
        <w:spacing w:after="0"/>
        <w:tabs>
          <w:tab w:leader="none" w:pos="12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Securities at the value attributed to them on the completion of the Exit Event; and</w:t>
      </w:r>
    </w:p>
    <w:p>
      <w:pPr>
        <w:spacing w:after="0" w:line="117" w:lineRule="exact"/>
        <w:rPr>
          <w:rFonts w:ascii="Times New Roman" w:cs="Times New Roman" w:eastAsia="Times New Roman" w:hAnsi="Times New Roman"/>
          <w:sz w:val="18"/>
          <w:szCs w:val="18"/>
          <w:color w:val="auto"/>
        </w:rPr>
      </w:pPr>
    </w:p>
    <w:p>
      <w:pPr>
        <w:ind w:left="980" w:right="160" w:firstLine="7"/>
        <w:spacing w:after="0" w:line="282" w:lineRule="auto"/>
        <w:tabs>
          <w:tab w:leader="none" w:pos="124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form of consideration paid or payable to the stockholders of the Buyer (or the relevant Buyer Group Company as the case may be) in connection with the Exit Event at the value attributed to them on the completion of the Exit Event; and</w:t>
      </w:r>
    </w:p>
    <w:p>
      <w:pPr>
        <w:spacing w:after="0" w:line="53" w:lineRule="exact"/>
        <w:rPr>
          <w:rFonts w:ascii="Times New Roman" w:cs="Times New Roman" w:eastAsia="Times New Roman" w:hAnsi="Times New Roman"/>
          <w:sz w:val="18"/>
          <w:szCs w:val="18"/>
          <w:color w:val="auto"/>
        </w:rPr>
      </w:pPr>
    </w:p>
    <w:p>
      <w:pPr>
        <w:jc w:val="both"/>
        <w:ind w:left="980" w:right="40" w:firstLine="7"/>
        <w:spacing w:after="0" w:line="266" w:lineRule="auto"/>
        <w:tabs>
          <w:tab w:leader="none" w:pos="129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risk-adjusted present value of any consideration payable in connection with the Exit Event or Partial Exit to the extent the amount of such consideration is not ascertainable at the time of the consummation of such Exit Event or Partial Exit, including royalty payments; and</w:t>
      </w:r>
    </w:p>
    <w:p>
      <w:pPr>
        <w:spacing w:after="0" w:line="67" w:lineRule="exact"/>
        <w:rPr>
          <w:rFonts w:ascii="Times New Roman" w:cs="Times New Roman" w:eastAsia="Times New Roman" w:hAnsi="Times New Roman"/>
          <w:sz w:val="18"/>
          <w:szCs w:val="18"/>
          <w:color w:val="auto"/>
        </w:rPr>
      </w:pPr>
    </w:p>
    <w:p>
      <w:pPr>
        <w:ind w:left="980" w:right="100" w:firstLine="7"/>
        <w:spacing w:after="0" w:line="282" w:lineRule="auto"/>
        <w:tabs>
          <w:tab w:leader="none" w:pos="12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deferred or contingent consideration, including earn-out payments, which, in each case, shall be included in the calculation of Potential Proceeds on the basis that it is assumed that all such amounts will become payable.</w:t>
      </w:r>
    </w:p>
    <w:p>
      <w:pPr>
        <w:spacing w:after="0" w:line="160" w:lineRule="exact"/>
        <w:rPr>
          <w:sz w:val="20"/>
          <w:szCs w:val="20"/>
          <w:color w:val="auto"/>
        </w:rPr>
      </w:pPr>
    </w:p>
    <w:p>
      <w:pPr>
        <w:ind w:left="440" w:right="120" w:firstLine="42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Tax Period” means any Tax Period ending on or before the Relevant Time and that portion of any Straddle Period ending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including the Relevant Time.</w:t>
      </w:r>
    </w:p>
    <w:p>
      <w:pPr>
        <w:spacing w:after="0" w:line="158"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Taxes</w:t>
      </w:r>
      <w:r>
        <w:rPr>
          <w:rFonts w:ascii="Times New Roman" w:cs="Times New Roman" w:eastAsia="Times New Roman" w:hAnsi="Times New Roman"/>
          <w:sz w:val="18"/>
          <w:szCs w:val="18"/>
          <w:color w:val="auto"/>
        </w:rPr>
        <w:t>” means (i) all Taxes of the Company for all taxable periods ending on or before the Relevant Time and the portion through the end of the Relevant Time for any Straddle Period (determined in accordance with the final sentence of this definition), (ii) all Taxes of any member of an affiliated, consolidated, combined or unitary group of which the Company is or was a member on or prior to the Relevant Time including pursuant to Treasury Regulation section 1.1502-6 or any analogous or similar state, local, or foreign law or regulation; and (iii) any and all Taxes of any person imposed on the Company for any period as a transferee or successor in respect of a transaction occurring on or before the Relevant Time, by law, contract, or otherwise. In case of any Straddle Period, the amount of any Taxes of the Company that shall be allocated to the portion of such Straddle Period through the end of the Relevant Time shall (x) in the case of property or similar ad valorem Taxes, equal the amount of such Taxes for the entire Straddle Period multiplied by a fraction, the numerator of which is the number of days in such Straddle Period through and including the Relevant Time and the denominator of which is the total number of days in such Straddle Period, and (y) in the case of all other Taxes, be determined based on an interim closing of the books as of the close of business at the Relevant Time.</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Previous Sellers</w:t>
      </w:r>
      <w:r>
        <w:rPr>
          <w:rFonts w:ascii="Times New Roman" w:cs="Times New Roman" w:eastAsia="Times New Roman" w:hAnsi="Times New Roman"/>
          <w:sz w:val="18"/>
          <w:szCs w:val="18"/>
          <w:color w:val="auto"/>
        </w:rPr>
        <w:t>” means all the shareholders in the Company as at the Relevant Time other than the Seller.</w:t>
      </w:r>
    </w:p>
    <w:p>
      <w:pPr>
        <w:spacing w:after="0" w:line="225" w:lineRule="exact"/>
        <w:rPr>
          <w:sz w:val="20"/>
          <w:szCs w:val="20"/>
          <w:color w:val="auto"/>
        </w:rPr>
      </w:pPr>
    </w:p>
    <w:p>
      <w:pPr>
        <w:jc w:val="both"/>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means all applicable Laws governing the receipt, collection, compilation, use, storage, processing, sharing, safeguarding, security, disclosure or transfer of Personal Data, and any implementing directive or related legislation, rule, regulation and binding regulatory guidance, as amended, extended, repealed and replaced, or re-enacted from time-to-time.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9" w:right="499" w:bottom="1440" w:gutter="0" w:footer="0" w:header="0"/>
        </w:sectPr>
      </w:pPr>
    </w:p>
    <w:bookmarkStart w:id="574" w:name="page575"/>
    <w:bookmarkEnd w:id="574"/>
    <w:p>
      <w:pPr>
        <w:ind w:right="48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means the actual gross proceeds (whether in cash, Relevant Securities or surplus assets) actually paid or payable to the stockholders of the Buyer in connection with an Exit Event or a Partial Exit as consideration for their shares of capital stock of Buyer, which shall include without limitation the following:</w:t>
      </w:r>
    </w:p>
    <w:p>
      <w:pPr>
        <w:spacing w:after="0" w:line="67" w:lineRule="exact"/>
        <w:rPr>
          <w:sz w:val="20"/>
          <w:szCs w:val="20"/>
          <w:color w:val="auto"/>
        </w:rPr>
      </w:pPr>
    </w:p>
    <w:p>
      <w:pPr>
        <w:ind w:left="1200" w:hanging="213"/>
        <w:spacing w:after="0"/>
        <w:tabs>
          <w:tab w:leader="none" w:pos="12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or other Relevant Securities at the value attributed to them on the completion of the Exit Event or a Partial Exit;</w:t>
      </w:r>
    </w:p>
    <w:p>
      <w:pPr>
        <w:spacing w:after="0" w:line="117" w:lineRule="exact"/>
        <w:rPr>
          <w:rFonts w:ascii="Times New Roman" w:cs="Times New Roman" w:eastAsia="Times New Roman" w:hAnsi="Times New Roman"/>
          <w:sz w:val="18"/>
          <w:szCs w:val="18"/>
          <w:color w:val="auto"/>
        </w:rPr>
      </w:pPr>
    </w:p>
    <w:p>
      <w:pPr>
        <w:ind w:left="980" w:right="80" w:firstLine="7"/>
        <w:spacing w:after="0" w:line="282" w:lineRule="auto"/>
        <w:tabs>
          <w:tab w:leader="none" w:pos="124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non-cash consideration paid or payable to the stockholders of the Buyer in connection with the Exit Event or Partial Exit at the value attributed to them on the completion of the Exit Event or Partial Exit; and</w:t>
      </w:r>
    </w:p>
    <w:p>
      <w:pPr>
        <w:spacing w:after="0" w:line="53" w:lineRule="exact"/>
        <w:rPr>
          <w:rFonts w:ascii="Times New Roman" w:cs="Times New Roman" w:eastAsia="Times New Roman" w:hAnsi="Times New Roman"/>
          <w:sz w:val="18"/>
          <w:szCs w:val="18"/>
          <w:color w:val="auto"/>
        </w:rPr>
      </w:pPr>
    </w:p>
    <w:p>
      <w:pPr>
        <w:jc w:val="both"/>
        <w:ind w:left="980" w:right="60" w:firstLine="7"/>
        <w:spacing w:after="0" w:line="282" w:lineRule="auto"/>
        <w:tabs>
          <w:tab w:leader="none" w:pos="129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risk-adjusted present value of any consideration payable in connection with the Exit Event or Partial Exit to the extent the amount of such consideration is not ascertainable at the time of the consummation of such Exit Event or Partial Exit, including royalty payments.</w:t>
      </w:r>
    </w:p>
    <w:p>
      <w:pPr>
        <w:spacing w:after="0" w:line="16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Rata Percentage</w:t>
      </w:r>
      <w:r>
        <w:rPr>
          <w:rFonts w:ascii="Times New Roman" w:cs="Times New Roman" w:eastAsia="Times New Roman" w:hAnsi="Times New Roman"/>
          <w:sz w:val="18"/>
          <w:szCs w:val="18"/>
          <w:color w:val="auto"/>
        </w:rPr>
        <w:t xml:space="preserve">” means, with respect to the Seller and the Previous Sellers, the percentage amount obtained by dividing (i) the total number of shares of Company Ordinary Shares (including any shares of Company Ordinary Shares issued or issuable upon conversion of the Seed Preferred Shares, but excluding the A Pref Shares) held by the Seller and the Previous Sellers as of the Relevant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total number of shares of Company Ordinary Shares (including any shares of Company Ordinary Shares issued or issuable upon conversion of the Seed Preferred Shares but excluding the A Pref Shares) held as of the Relevant Time by the Seller and all Previous Sellers.</w:t>
      </w:r>
    </w:p>
    <w:p>
      <w:pPr>
        <w:spacing w:after="0" w:line="183" w:lineRule="exact"/>
        <w:rPr>
          <w:sz w:val="20"/>
          <w:szCs w:val="20"/>
          <w:color w:val="auto"/>
        </w:rPr>
      </w:pPr>
    </w:p>
    <w:p>
      <w:pPr>
        <w:ind w:right="5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Processed</w:t>
      </w:r>
      <w:r>
        <w:rPr>
          <w:rFonts w:ascii="Times New Roman" w:cs="Times New Roman" w:eastAsia="Times New Roman" w:hAnsi="Times New Roman"/>
          <w:sz w:val="18"/>
          <w:szCs w:val="18"/>
          <w:color w:val="auto"/>
        </w:rPr>
        <w:t>” means any operation or set of operations that is performed upon data or information, whether or not by automatic means, including, but not limited to, collection, access, acquisition, creation, derivation, recordation, organization, storage, adaptation, alteration, correction, retrieval, maintenance, consultation, use, disclosure, dissemination, transmission, transfer, making available, alignment, combination, blocking, storage, retention, deleting, erasure, or destruction.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 is defined in Section 5.10(a).</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Registered Company IP</w:t>
      </w:r>
      <w:r>
        <w:rPr>
          <w:rFonts w:ascii="Times New Roman" w:cs="Times New Roman" w:eastAsia="Times New Roman" w:hAnsi="Times New Roman"/>
          <w:sz w:val="18"/>
          <w:szCs w:val="18"/>
          <w:color w:val="auto"/>
        </w:rPr>
        <w:t>” means all Company Intellectual Property (other than with respect to Standard Software) owned by the Company that has been or is registered, filed, certified, granted, or issued, or that has been or is subject to an application for registration, filing, certification, grant or issuance, in each case with, by or to any Governmental Entity.</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Released Matters</w:t>
      </w:r>
      <w:r>
        <w:rPr>
          <w:rFonts w:ascii="Times New Roman" w:cs="Times New Roman" w:eastAsia="Times New Roman" w:hAnsi="Times New Roman"/>
          <w:sz w:val="18"/>
          <w:szCs w:val="18"/>
          <w:color w:val="auto"/>
        </w:rPr>
        <w:t>” is defined in Section 8.9(a).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Releasees</w:t>
      </w:r>
      <w:r>
        <w:rPr>
          <w:rFonts w:ascii="Times New Roman" w:cs="Times New Roman" w:eastAsia="Times New Roman" w:hAnsi="Times New Roman"/>
          <w:sz w:val="18"/>
          <w:szCs w:val="18"/>
          <w:color w:val="auto"/>
        </w:rPr>
        <w:t>” is defined in Section 8.9(a).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Releasors</w:t>
      </w:r>
      <w:r>
        <w:rPr>
          <w:rFonts w:ascii="Times New Roman" w:cs="Times New Roman" w:eastAsia="Times New Roman" w:hAnsi="Times New Roman"/>
          <w:sz w:val="18"/>
          <w:szCs w:val="18"/>
          <w:color w:val="auto"/>
        </w:rPr>
        <w:t>” is defined in Section 8.9(a).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7" w:right="479" w:bottom="1440" w:gutter="0" w:footer="0" w:header="0"/>
        </w:sectPr>
      </w:pPr>
    </w:p>
    <w:bookmarkStart w:id="575" w:name="page576"/>
    <w:bookmarkEnd w:id="575"/>
    <w:p>
      <w:pPr>
        <w:ind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Relevant Securities</w:t>
      </w:r>
      <w:r>
        <w:rPr>
          <w:rFonts w:ascii="Times New Roman" w:cs="Times New Roman" w:eastAsia="Times New Roman" w:hAnsi="Times New Roman"/>
          <w:sz w:val="18"/>
          <w:szCs w:val="18"/>
          <w:color w:val="auto"/>
        </w:rPr>
        <w:t>” means, in respect of any undertaking: (A) any share, security or other interest in the capital of such undertaking from time to time; and (B) any other security, option, warrant, agreement or instrument which confers any right to subscribe, exchange for, convert into or otherwise acquire any issue of any share, security or other interest in the capital of such undertaking.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Time</w:t>
      </w:r>
      <w:r>
        <w:rPr>
          <w:rFonts w:ascii="Times New Roman" w:cs="Times New Roman" w:eastAsia="Times New Roman" w:hAnsi="Times New Roman"/>
          <w:sz w:val="18"/>
          <w:szCs w:val="18"/>
          <w:color w:val="auto"/>
        </w:rPr>
        <w:t>” means immediately prior to the acquisition of Control of the Company by the Buyer.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 Losses</w:t>
      </w:r>
      <w:r>
        <w:rPr>
          <w:rFonts w:ascii="Times New Roman" w:cs="Times New Roman" w:eastAsia="Times New Roman" w:hAnsi="Times New Roman"/>
          <w:sz w:val="18"/>
          <w:szCs w:val="18"/>
          <w:color w:val="auto"/>
        </w:rPr>
        <w:t>” is defined in Section 4.6(c).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 Person, such Person’s legal, financial, accounting and other advisors and representatives.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Shares</w:t>
      </w:r>
      <w:r>
        <w:rPr>
          <w:rFonts w:ascii="Times New Roman" w:cs="Times New Roman" w:eastAsia="Times New Roman" w:hAnsi="Times New Roman"/>
          <w:sz w:val="18"/>
          <w:szCs w:val="18"/>
          <w:color w:val="auto"/>
        </w:rPr>
        <w:t>” is defined in the recitals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Seed Consideration Shares</w:t>
      </w:r>
      <w:r>
        <w:rPr>
          <w:rFonts w:ascii="Times New Roman" w:cs="Times New Roman" w:eastAsia="Times New Roman" w:hAnsi="Times New Roman"/>
          <w:sz w:val="18"/>
          <w:szCs w:val="18"/>
          <w:color w:val="auto"/>
        </w:rPr>
        <w:t>” means the Consideration Shares issued as Seed Shares Consideration referred to in Section 3.1.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Seed Preferred Shares</w:t>
      </w:r>
      <w:r>
        <w:rPr>
          <w:rFonts w:ascii="Times New Roman" w:cs="Times New Roman" w:eastAsia="Times New Roman" w:hAnsi="Times New Roman"/>
          <w:sz w:val="18"/>
          <w:szCs w:val="18"/>
          <w:color w:val="auto"/>
        </w:rPr>
        <w:t>” means the seed preferred shares of £0.001 each in the capital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Seed Share Consideration</w:t>
      </w:r>
      <w:r>
        <w:rPr>
          <w:rFonts w:ascii="Times New Roman" w:cs="Times New Roman" w:eastAsia="Times New Roman" w:hAnsi="Times New Roman"/>
          <w:sz w:val="18"/>
          <w:szCs w:val="18"/>
          <w:color w:val="auto"/>
        </w:rPr>
        <w:t>” is defined in Section 3.1.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Seller’s Account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Seller’s Representatives</w:t>
      </w:r>
      <w:r>
        <w:rPr>
          <w:rFonts w:ascii="Times New Roman" w:cs="Times New Roman" w:eastAsia="Times New Roman" w:hAnsi="Times New Roman"/>
          <w:sz w:val="18"/>
          <w:szCs w:val="18"/>
          <w:color w:val="auto"/>
        </w:rPr>
        <w:t>” is defined in Section 4.6(a).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 Consideration</w:t>
      </w:r>
      <w:r>
        <w:rPr>
          <w:rFonts w:ascii="Times New Roman" w:cs="Times New Roman" w:eastAsia="Times New Roman" w:hAnsi="Times New Roman"/>
          <w:sz w:val="18"/>
          <w:szCs w:val="18"/>
          <w:color w:val="auto"/>
        </w:rPr>
        <w:t>” means the Seed Share Consideration and the A Pref Share Consideration.</w:t>
      </w:r>
    </w:p>
    <w:p>
      <w:pPr>
        <w:spacing w:after="0" w:line="225"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Software</w:t>
      </w:r>
      <w:r>
        <w:rPr>
          <w:rFonts w:ascii="Times New Roman" w:cs="Times New Roman" w:eastAsia="Times New Roman" w:hAnsi="Times New Roman"/>
          <w:sz w:val="18"/>
          <w:szCs w:val="18"/>
          <w:color w:val="auto"/>
        </w:rPr>
        <w:t>” means Software that is generally commercially available and is mass marketed and licensed pursuant to a standard form click-wrap or shrink-wrap agreement that is not subject to any negotiation.</w:t>
      </w:r>
    </w:p>
    <w:p>
      <w:pPr>
        <w:spacing w:after="0" w:line="158" w:lineRule="exact"/>
        <w:rPr>
          <w:sz w:val="20"/>
          <w:szCs w:val="20"/>
          <w:color w:val="auto"/>
        </w:rPr>
      </w:pPr>
    </w:p>
    <w:p>
      <w:pPr>
        <w:ind w:right="2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 Agreements</w:t>
      </w:r>
      <w:r>
        <w:rPr>
          <w:rFonts w:ascii="Times New Roman" w:cs="Times New Roman" w:eastAsia="Times New Roman" w:hAnsi="Times New Roman"/>
          <w:sz w:val="18"/>
          <w:szCs w:val="18"/>
          <w:color w:val="auto"/>
        </w:rPr>
        <w:t>” means that certain (i) Voting Agreement, dated as of August 30, 2021, by and among Buyer and the stockholders of Buyer party thereto and (ii) Right of First Refusal and Co-Sale Agreement, dated as of August 30, 2021, by and among Buyer and the stockholders of Buyer party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7" w:right="479" w:bottom="1440" w:gutter="0" w:footer="0" w:header="0"/>
        </w:sectPr>
      </w:pPr>
    </w:p>
    <w:bookmarkStart w:id="576" w:name="page577"/>
    <w:bookmarkEnd w:id="576"/>
    <w:p>
      <w:pPr>
        <w:ind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Stock Purchase Agreement</w:t>
      </w:r>
      <w:r>
        <w:rPr>
          <w:rFonts w:ascii="Times New Roman" w:cs="Times New Roman" w:eastAsia="Times New Roman" w:hAnsi="Times New Roman"/>
          <w:sz w:val="18"/>
          <w:szCs w:val="18"/>
          <w:color w:val="auto"/>
        </w:rPr>
        <w:t>” means that certain Series A Preferred Stock Purchase Agreement, dated as of August 30, 2021, by and among Buyer and the Purchasers listed on Schedule 1 thereto.</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Straddle Period</w:t>
      </w:r>
      <w:r>
        <w:rPr>
          <w:rFonts w:ascii="Times New Roman" w:cs="Times New Roman" w:eastAsia="Times New Roman" w:hAnsi="Times New Roman"/>
          <w:sz w:val="18"/>
          <w:szCs w:val="18"/>
          <w:color w:val="auto"/>
        </w:rPr>
        <w:t>” means any taxable period that includes but does not end on the Relevant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Net Current Asset Value</w:t>
      </w:r>
      <w:r>
        <w:rPr>
          <w:rFonts w:ascii="Times New Roman" w:cs="Times New Roman" w:eastAsia="Times New Roman" w:hAnsi="Times New Roman"/>
          <w:sz w:val="18"/>
          <w:szCs w:val="18"/>
          <w:color w:val="auto"/>
        </w:rPr>
        <w:t>” means the amount of £0.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Net Cash</w:t>
      </w:r>
      <w:r>
        <w:rPr>
          <w:rFonts w:ascii="Times New Roman" w:cs="Times New Roman" w:eastAsia="Times New Roman" w:hAnsi="Times New Roman"/>
          <w:sz w:val="18"/>
          <w:szCs w:val="18"/>
          <w:color w:val="auto"/>
        </w:rPr>
        <w:t>” means the amount of £0.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Valuation Amount</w:t>
      </w:r>
      <w:r>
        <w:rPr>
          <w:rFonts w:ascii="Times New Roman" w:cs="Times New Roman" w:eastAsia="Times New Roman" w:hAnsi="Times New Roman"/>
          <w:sz w:val="18"/>
          <w:szCs w:val="18"/>
          <w:color w:val="auto"/>
        </w:rPr>
        <w:t>” means US$1,500,000,000.</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Taxable</w:t>
      </w:r>
      <w:r>
        <w:rPr>
          <w:rFonts w:ascii="Times New Roman" w:cs="Times New Roman" w:eastAsia="Times New Roman" w:hAnsi="Times New Roman"/>
          <w:sz w:val="18"/>
          <w:szCs w:val="18"/>
          <w:color w:val="auto"/>
        </w:rPr>
        <w:t>”) means (i) any income, corporation, capital gains, alternative or add-on minimum, estimated, gross income, gross receipts, Indirect Taxes, use, ad valorem, franchise, Capital Stock or other equity securities, net worth, profits, license, registration, withholding, employment, unemployment, disability, severance, occupation, social security or national insurance contribution (or similar, including FICA), payroll, workers’ compensation, transfer, financial transaction, conveyance, documentary, stamp, property (real, tangible or intangible), premium, escheat obligation, unclaimed property, environmental, windfall profits, customs duties, or other taxes of any kind or any fees, charges, levies, excises, duties or assessments of any kind in the nature of taxes whatsoever, the clawback or other recovery of any credit, allowance or other amount previously paid or granted by a Taxing Authority, and any credit, allowance or other amount treated as an asset in the Closing Statement on the basis it is recoverable from or payable by a Taxing Authority which is unavailable to be recovered or is not paid or is subsequently required to be repaid to a Taxing Authority, together with any interest, fines, penalties, surcharges, charges or addition thereto, whether disputed or not, (ii) any Liability for the payment of any amount of any type described in clause (i) of this sentence as a result of being or having been a member of an affiliated, consolidated, controlled, fiscal, combined, unitary or aggregate group for any Tax Period, (iii) any Liability for the payment of any amounts of the type described in clause (i) or (ii) of this sentence as a result of being a transferee of or successor to any Person or as a result of any express or implied obligation to assume such Taxes or to indemnify any other Person and (iv) any penalty imposed for the failure to file, properly to file, or timely to file any Tax Return.</w:t>
      </w:r>
    </w:p>
    <w:p>
      <w:pPr>
        <w:spacing w:after="0" w:line="185" w:lineRule="exact"/>
        <w:rPr>
          <w:sz w:val="20"/>
          <w:szCs w:val="20"/>
          <w:color w:val="auto"/>
        </w:rPr>
      </w:pPr>
    </w:p>
    <w:p>
      <w:pPr>
        <w:ind w:right="4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Tax-advantaged Scheme</w:t>
      </w:r>
      <w:r>
        <w:rPr>
          <w:rFonts w:ascii="Times New Roman" w:cs="Times New Roman" w:eastAsia="Times New Roman" w:hAnsi="Times New Roman"/>
          <w:sz w:val="18"/>
          <w:szCs w:val="18"/>
          <w:color w:val="auto"/>
        </w:rPr>
        <w:t>” means a scheme established by the Company which is intended to meet the requirements of any of the following provisions of ITEPA 2003 and has been notified to HMRC as meeting the relevant statutory requirements: (i) Schedule 2 (share incentive plans); (ii) Schedule 3 (SAYE option schemes); or (iii) Schedule 4 (company share option plans).</w:t>
      </w:r>
    </w:p>
    <w:p>
      <w:pPr>
        <w:spacing w:after="0" w:line="173" w:lineRule="exact"/>
        <w:rPr>
          <w:sz w:val="20"/>
          <w:szCs w:val="20"/>
          <w:color w:val="auto"/>
        </w:rPr>
      </w:pPr>
    </w:p>
    <w:p>
      <w:pPr>
        <w:ind w:right="1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Law</w:t>
      </w:r>
      <w:r>
        <w:rPr>
          <w:rFonts w:ascii="Times New Roman" w:cs="Times New Roman" w:eastAsia="Times New Roman" w:hAnsi="Times New Roman"/>
          <w:sz w:val="18"/>
          <w:szCs w:val="18"/>
          <w:color w:val="auto"/>
        </w:rPr>
        <w:t>” means all currently applicable Laws relating to or regulating the assessment, determination, reporting, withholding, collection or imposition of Taxes.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Tax Period</w:t>
      </w:r>
      <w:r>
        <w:rPr>
          <w:rFonts w:ascii="Times New Roman" w:cs="Times New Roman" w:eastAsia="Times New Roman" w:hAnsi="Times New Roman"/>
          <w:sz w:val="17"/>
          <w:szCs w:val="17"/>
          <w:color w:val="auto"/>
        </w:rPr>
        <w:t>” means any period prescribed by any Taxing Authority for which a Tax Return is required to be filed or a Tax is required to be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w:t>
      </w:r>
    </w:p>
    <w:p>
      <w:pPr>
        <w:spacing w:after="0" w:line="205" w:lineRule="exact"/>
        <w:rPr>
          <w:sz w:val="20"/>
          <w:szCs w:val="20"/>
          <w:color w:val="auto"/>
        </w:rPr>
      </w:pPr>
    </w:p>
    <w:p>
      <w:pPr>
        <w:ind w:right="200" w:firstLine="99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Tax Return</w:t>
      </w:r>
      <w:r>
        <w:rPr>
          <w:rFonts w:ascii="Times New Roman" w:cs="Times New Roman" w:eastAsia="Times New Roman" w:hAnsi="Times New Roman"/>
          <w:sz w:val="17"/>
          <w:szCs w:val="17"/>
          <w:color w:val="auto"/>
        </w:rPr>
        <w:t>” means any report, return, declaration, claim for refund, information return, statement, designation, election, estimated tax filing, notice or certificate filed or required to be filed with any Taxing Authority in connection with the determination, assessment, reporting, withholding, collection, administration or payment of any Taxes, including any schedule or attachment thereto and including any amendments thereof.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7" w:right="439" w:bottom="1440" w:gutter="0" w:footer="0" w:header="0"/>
        </w:sectPr>
      </w:pPr>
    </w:p>
    <w:bookmarkStart w:id="577" w:name="page578"/>
    <w:bookmarkEnd w:id="577"/>
    <w:p>
      <w:pPr>
        <w:ind w:right="5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Taxing Authority</w:t>
      </w:r>
      <w:r>
        <w:rPr>
          <w:rFonts w:ascii="Times New Roman" w:cs="Times New Roman" w:eastAsia="Times New Roman" w:hAnsi="Times New Roman"/>
          <w:sz w:val="18"/>
          <w:szCs w:val="18"/>
          <w:color w:val="auto"/>
        </w:rPr>
        <w:t>” means any Governmental Entity having jurisdiction over the assessment, determination, reporting, withholding, collection, administration or imposition of any Taxes.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Third Party Claim</w:t>
      </w:r>
      <w:r>
        <w:rPr>
          <w:rFonts w:ascii="Times New Roman" w:cs="Times New Roman" w:eastAsia="Times New Roman" w:hAnsi="Times New Roman"/>
          <w:sz w:val="18"/>
          <w:szCs w:val="18"/>
          <w:color w:val="auto"/>
        </w:rPr>
        <w:t>” is defined in Section 9.4(c).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TIOPA 2010</w:t>
      </w:r>
      <w:r>
        <w:rPr>
          <w:rFonts w:ascii="Times New Roman" w:cs="Times New Roman" w:eastAsia="Times New Roman" w:hAnsi="Times New Roman"/>
          <w:sz w:val="18"/>
          <w:szCs w:val="18"/>
          <w:color w:val="auto"/>
        </w:rPr>
        <w:t>” is defined in Section 5.15(q).</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means, without duplication, any and all transaction fees, costs and expenses and any other amounts incurred or otherwise payable by the Company (on behalf of itself, the Previous Sellers, the Seller or any of their respective Affiliates) arising from or incurred in connection with the C/C Transaction Agreements and the transactions contemplated thereby (in each case, including any applicable Indirect Tax that is irrecoverable by the Company), including: (i) those of all investment bankers, attorneys, accountants, actuaries, consultants, experts or other professionals, if any, engaged by or on behalf of the Company prior to the Relevant Time in connection with the C/C Transaction Agreements or the transactions contemplated thereby, (ii) any management change of control, sale or retention bonus, severance, termination, incentive or similar amounts that become payable by the Company as a result of the execution and delivery of the C/C Transaction Agreements or the consummation of the transactions contemplated by the C/C Transaction Agreements, whether alone or in connection with any other subsequent event or action by the Company, pursuant to agreements entered into by the Company prior to the Relevant Time, (iii) the aggregate employer portion of any payroll Taxes required to be paid by the Company arising out of or resulting from any payments required to be made pursuant to the terms of the C/C Transaction Agreements, and (iv) any third party consent or other third party fees incurred by the Company in connection with the C/C Transaction Agreements or the transactions contemplated thereby, in each case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such fees and expenses and Indirect Taxes are accrued and owing by the Company and have not been paid as the Relevant Time.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is defined in Section 8.2(c).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Upfront Cash Consideration</w:t>
      </w:r>
      <w:r>
        <w:rPr>
          <w:rFonts w:ascii="Times New Roman" w:cs="Times New Roman" w:eastAsia="Times New Roman" w:hAnsi="Times New Roman"/>
          <w:sz w:val="18"/>
          <w:szCs w:val="18"/>
          <w:color w:val="auto"/>
        </w:rPr>
        <w:t>” means US$1,185,625 in cash.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has the meaning set forth in Rule 902(k) of Regulation S promulgated under the Securities Act.</w:t>
      </w:r>
    </w:p>
    <w:p>
      <w:pPr>
        <w:spacing w:after="0" w:line="22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titles and headings to Sections herein and to the Exhibits and Schedules hereto are inserted for the convenience of reference only and are not intended to be a part of or to affect the meaning or interpretation of this Agreement. This Agreement shall be construed without regard to any presumption or other rule requiring construction hereof against the party causing this Agreement to be drafted. The words “include”, “includes”, “included”, “including” and “such as” do not limit the preceding words or terms and shall be deemed to be followed by the words “without limitation”. All pronouns and any variations thereof refer to the masculine, feminine or neuter, singular or plural, as the context may require.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7" w:right="499" w:bottom="1440" w:gutter="0" w:footer="0" w:header="0"/>
        </w:sectPr>
      </w:pPr>
    </w:p>
    <w:bookmarkStart w:id="578" w:name="page579"/>
    <w:bookmarkEnd w:id="57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terms defined in this Agreement in their singular or plural forms, have correlative meanings when used herein in their plural or singular forms, respectively. All references herein to a Section, Article, Exhibit or Schedule are to a Section, Article, Exhibit or Schedule of or to this Agreement, unless otherwise indicated.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AND SALE OF THE SHARES</w:t>
      </w:r>
    </w:p>
    <w:p>
      <w:pPr>
        <w:spacing w:after="0" w:line="20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the Shares</w:t>
      </w:r>
      <w:r>
        <w:rPr>
          <w:rFonts w:ascii="Times New Roman" w:cs="Times New Roman" w:eastAsia="Times New Roman" w:hAnsi="Times New Roman"/>
          <w:sz w:val="18"/>
          <w:szCs w:val="18"/>
          <w:color w:val="auto"/>
        </w:rPr>
        <w:t>. Upon the terms and subject to the satisfaction or waiver of the conditions set forth in this Agreement, at the Closing, the Seller shall sell, transfer, assign, convey and deliver to Buyer, and Buyer shall purchase and accept from the Seller, the entire legal and beneficial interest in the number and class of Sale Shares owned by the Seller, fully paid up and free and clear from all Liens (other than Permitted Liens) and together with all rights now and in the future attaching to them (including the right to receive dividends or distributions declared, paid or made on or after the Closing).</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 Partial Sale</w:t>
      </w:r>
      <w:r>
        <w:rPr>
          <w:rFonts w:ascii="Times New Roman" w:cs="Times New Roman" w:eastAsia="Times New Roman" w:hAnsi="Times New Roman"/>
          <w:sz w:val="18"/>
          <w:szCs w:val="18"/>
          <w:color w:val="auto"/>
        </w:rPr>
        <w:t>. Buyer shall have no obligation to complete the sale and purchase of any Sale Shares pursuant to Section 2.1 unless the sale and purchase of all the Sale Shares is completed simultaneously.</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Existing Shareholder Agreement</w:t>
      </w:r>
      <w:r>
        <w:rPr>
          <w:rFonts w:ascii="Times New Roman" w:cs="Times New Roman" w:eastAsia="Times New Roman" w:hAnsi="Times New Roman"/>
          <w:sz w:val="18"/>
          <w:szCs w:val="18"/>
          <w:color w:val="auto"/>
        </w:rPr>
        <w:t>. Buyer agrees that notwithstanding the termination of the Existing Shareholder Agreement, Seller shall continue to have all of the rights and obligations under the Existing Shareholder Agreement until the Effective Time, when all rights and obligations shall cease automatically on the same terms as the termination of the Existing Shareholder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CONSIDERATION</w:t>
      </w:r>
    </w:p>
    <w:p>
      <w:pPr>
        <w:spacing w:after="0" w:line="207"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consideration for the Sale Shares shall be (1) in relation to the Seed Shares: (a) the issue of 921,843 Consideration Shares, free and clear of all Liens (the “</w:t>
      </w:r>
      <w:r>
        <w:rPr>
          <w:rFonts w:ascii="Times New Roman" w:cs="Times New Roman" w:eastAsia="Times New Roman" w:hAnsi="Times New Roman"/>
          <w:sz w:val="18"/>
          <w:szCs w:val="18"/>
          <w:i w:val="1"/>
          <w:iCs w:val="1"/>
          <w:color w:val="auto"/>
        </w:rPr>
        <w:t>Seed Share Consideration</w:t>
      </w:r>
      <w:r>
        <w:rPr>
          <w:rFonts w:ascii="Times New Roman" w:cs="Times New Roman" w:eastAsia="Times New Roman" w:hAnsi="Times New Roman"/>
          <w:sz w:val="18"/>
          <w:szCs w:val="18"/>
          <w:color w:val="auto"/>
        </w:rPr>
        <w:t>”)), (b) the payment of the Upfront Cash Consideration, (c) solely to the extent that such amounts become payable pursuant to Section 3.2, the Deferred Consideration Payment (or portions thereof) contemplated in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Section 3.2, (d) an additional cash payment based on the aggregate of the Net Current Asset Value Excess, if any, less the Net Current Asset Value Shortfall, if any, plus the Actual Net Cash Excess, if any, less the Actual Net Cash Shortfall, if any which amount shall be payable in US Dollars calculated based on the Exchange Rate (the “</w:t>
      </w:r>
      <w:r>
        <w:rPr>
          <w:rFonts w:ascii="Times New Roman" w:cs="Times New Roman" w:eastAsia="Times New Roman" w:hAnsi="Times New Roman"/>
          <w:sz w:val="18"/>
          <w:szCs w:val="18"/>
          <w:i w:val="1"/>
          <w:iCs w:val="1"/>
          <w:color w:val="auto"/>
        </w:rPr>
        <w:t>Net Current Asset Consideration</w:t>
      </w:r>
      <w:r>
        <w:rPr>
          <w:rFonts w:ascii="Times New Roman" w:cs="Times New Roman" w:eastAsia="Times New Roman" w:hAnsi="Times New Roman"/>
          <w:sz w:val="18"/>
          <w:szCs w:val="18"/>
          <w:color w:val="auto"/>
        </w:rPr>
        <w:t>”), and the Seller shall receive its Pro Rata Percentage of the Net Current Asset Consideration; and (2) in relation to the A Pref Shares: the issue of 760,042 Consideration Shares, free and clear of all Liens (the “</w:t>
      </w:r>
      <w:r>
        <w:rPr>
          <w:rFonts w:ascii="Times New Roman" w:cs="Times New Roman" w:eastAsia="Times New Roman" w:hAnsi="Times New Roman"/>
          <w:sz w:val="18"/>
          <w:szCs w:val="18"/>
          <w:i w:val="1"/>
          <w:iCs w:val="1"/>
          <w:color w:val="auto"/>
        </w:rPr>
        <w:t>A Pref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Deferred Consideration Payment</w:t>
      </w:r>
      <w:r>
        <w:rPr>
          <w:rFonts w:ascii="Times New Roman" w:cs="Times New Roman" w:eastAsia="Times New Roman" w:hAnsi="Times New Roman"/>
          <w:sz w:val="18"/>
          <w:szCs w:val="18"/>
          <w:color w:val="auto"/>
        </w:rPr>
        <w:t>. Following the Closing, the Buyer shall pay additional consideration (if any) for the Seed Shares (the “</w:t>
      </w:r>
      <w:r>
        <w:rPr>
          <w:rFonts w:ascii="Times New Roman" w:cs="Times New Roman" w:eastAsia="Times New Roman" w:hAnsi="Times New Roman"/>
          <w:sz w:val="18"/>
          <w:szCs w:val="18"/>
          <w:i w:val="1"/>
          <w:iCs w:val="1"/>
          <w:color w:val="auto"/>
        </w:rPr>
        <w:t>Deferred Consideration Payment</w:t>
      </w:r>
      <w:r>
        <w:rPr>
          <w:rFonts w:ascii="Times New Roman" w:cs="Times New Roman" w:eastAsia="Times New Roman" w:hAnsi="Times New Roman"/>
          <w:sz w:val="18"/>
          <w:szCs w:val="18"/>
          <w:color w:val="auto"/>
        </w:rPr>
        <w:t>”), in accordance with and subject to the terms and conditions set forth in this Section 3.2.</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9" w:right="479" w:bottom="1440" w:gutter="0" w:footer="0" w:header="0"/>
        </w:sectPr>
      </w:pPr>
    </w:p>
    <w:bookmarkStart w:id="579" w:name="page580"/>
    <w:bookmarkEnd w:id="579"/>
    <w:p>
      <w:pPr>
        <w:ind w:right="260" w:firstLine="987"/>
        <w:spacing w:after="0" w:line="256" w:lineRule="auto"/>
        <w:tabs>
          <w:tab w:leader="none" w:pos="123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Post-IPO Market Capitalization Trigger</w:t>
      </w:r>
      <w:r>
        <w:rPr>
          <w:rFonts w:ascii="Times New Roman" w:cs="Times New Roman" w:eastAsia="Times New Roman" w:hAnsi="Times New Roman"/>
          <w:sz w:val="18"/>
          <w:szCs w:val="18"/>
          <w:color w:val="auto"/>
        </w:rPr>
        <w:t>. Provided that the Buyer has not previously paid any portion of the Deferred Consideration Payment pursuant to Section 3.2(b), following the completion of the IPO, upon the first occurrence of the total market capitalization of Buyer (or the relevant Buyer Group Company) being equal to or in excess of the Target Valuation Amount, based on a 5-day volume-weighted average price of a share of the publicly traded capital stock of Buyer (or the relevant Buyer Group Company) as traded on a Major Securities Exchange, the Buyer shall pay, or cause to be paid to the Seller, an aggregate amount equal to the Deferred Consideration Payment Amount in accordance with Section 3.2(g) below.</w:t>
      </w:r>
    </w:p>
    <w:p>
      <w:pPr>
        <w:spacing w:after="0" w:line="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Event Trigger</w:t>
      </w:r>
      <w:r>
        <w:rPr>
          <w:rFonts w:ascii="Times New Roman" w:cs="Times New Roman" w:eastAsia="Times New Roman" w:hAnsi="Times New Roman"/>
          <w:sz w:val="18"/>
          <w:szCs w:val="18"/>
          <w:color w:val="auto"/>
        </w:rPr>
        <w:t>. Provided that the Buyer has not previously paid the Deferred Consideration Payment pursuant to Section 3.2(a), the following provisions shall apply:</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07"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Exit Event for which the Potential Proceeds are equal to or greater than the Target Valuation Amount, the Buyer shall pay, or shall cause to be paid, to the Seller, an aggregate amount equal to the Deferred Consideration Payment Amount in accordance with Section 3.2(g) below; provided, that,</w:t>
      </w:r>
    </w:p>
    <w:p>
      <w:pPr>
        <w:spacing w:after="0" w:line="65" w:lineRule="exact"/>
        <w:rPr>
          <w:rFonts w:ascii="Times New Roman" w:cs="Times New Roman" w:eastAsia="Times New Roman" w:hAnsi="Times New Roman"/>
          <w:sz w:val="18"/>
          <w:szCs w:val="18"/>
          <w:color w:val="auto"/>
        </w:rPr>
      </w:pPr>
    </w:p>
    <w:p>
      <w:pPr>
        <w:ind w:left="980" w:right="20" w:firstLine="910"/>
        <w:spacing w:after="0" w:line="256" w:lineRule="auto"/>
        <w:tabs>
          <w:tab w:leader="none" w:pos="2177"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Proceeds in such an Exit Event are payable on an installment basis (collectively, the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Installments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Proceeds Installment</w:t>
      </w:r>
      <w:r>
        <w:rPr>
          <w:rFonts w:ascii="Times New Roman" w:cs="Times New Roman" w:eastAsia="Times New Roman" w:hAnsi="Times New Roman"/>
          <w:sz w:val="18"/>
          <w:szCs w:val="18"/>
          <w:color w:val="auto"/>
        </w:rPr>
        <w:t>”), then until the aggregate Proceeds Installments actually paid to the stockholders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Buyer in connection with the Exit Event are greater than or equal to the Target Valuation Amount, the Buyer shall pay, or shall cause to be paid, to the Seller within fifteen (15) Business Days following the payment of each Proceeds Installment, an aggregate portion of the Deferred Consideration Payment Amount equal to the product of (A) the Deferred Consideration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quotient of the amount of such Proceeds Installment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Target Valuation Amount, such payment to be made in accordance with Section 3.2(g);</w:t>
      </w:r>
    </w:p>
    <w:p>
      <w:pPr>
        <w:spacing w:after="0" w:line="76" w:lineRule="exact"/>
        <w:rPr>
          <w:rFonts w:ascii="Times New Roman" w:cs="Times New Roman" w:eastAsia="Times New Roman" w:hAnsi="Times New Roman"/>
          <w:sz w:val="18"/>
          <w:szCs w:val="18"/>
          <w:color w:val="auto"/>
        </w:rPr>
      </w:pPr>
    </w:p>
    <w:p>
      <w:pPr>
        <w:ind w:left="980" w:right="60" w:firstLine="910"/>
        <w:spacing w:after="0" w:line="254" w:lineRule="auto"/>
        <w:tabs>
          <w:tab w:leader="none" w:pos="2167"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the first Exit Event to occur following the date hereof, the holders of the Buyer’s outstanding capital stock as of immediately prior to such Exit Event sell, transfer or otherwise dispose of less than 100% of the issued shares of the Buyer’s capital stock (100% of such shares, the “</w:t>
      </w:r>
      <w:r>
        <w:rPr>
          <w:rFonts w:ascii="Times New Roman" w:cs="Times New Roman" w:eastAsia="Times New Roman" w:hAnsi="Times New Roman"/>
          <w:sz w:val="18"/>
          <w:szCs w:val="18"/>
          <w:i w:val="1"/>
          <w:iCs w:val="1"/>
          <w:color w:val="auto"/>
        </w:rPr>
        <w:t>Subject Shares</w:t>
      </w:r>
      <w:r>
        <w:rPr>
          <w:rFonts w:ascii="Times New Roman" w:cs="Times New Roman" w:eastAsia="Times New Roman" w:hAnsi="Times New Roman"/>
          <w:sz w:val="18"/>
          <w:szCs w:val="18"/>
          <w:color w:val="auto"/>
        </w:rPr>
        <w:t xml:space="preserve">”), and the Implied Value (as defined below) resulting from such Exit Event is equal to or greater than the Target Valuation Amount, the Buyer shall pay, or shall cause to be paid, to the Seller within fifteen (15) Business Days following the consummation of such Exit Event, such payment to be made in accordance with Section 3.2(g), an aggregate portion of the Deferred Consideration Payment Amount equal to the product of (A) the Deferred Consideration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quotient of the amount of such Proceeds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Target Valuation Amount (provided that the aggregate Deferred Consideration Payment Amount payable hereunder shall in no event exceed $6,157,777);</w:t>
      </w:r>
    </w:p>
    <w:p>
      <w:pPr>
        <w:spacing w:after="0" w:line="83" w:lineRule="exact"/>
        <w:rPr>
          <w:rFonts w:ascii="Times New Roman" w:cs="Times New Roman" w:eastAsia="Times New Roman" w:hAnsi="Times New Roman"/>
          <w:sz w:val="18"/>
          <w:szCs w:val="18"/>
          <w:color w:val="auto"/>
        </w:rPr>
      </w:pPr>
    </w:p>
    <w:p>
      <w:pPr>
        <w:jc w:val="both"/>
        <w:ind w:left="980" w:right="20" w:firstLine="910"/>
        <w:spacing w:after="0" w:line="258" w:lineRule="auto"/>
        <w:tabs>
          <w:tab w:leader="none" w:pos="2167"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3.2(b)(iv), if within the five (5) year period immediately following the consummation of the first Exit Event described in Section 3.2(b)(i)(B) above to occur (the “</w:t>
      </w:r>
      <w:r>
        <w:rPr>
          <w:rFonts w:ascii="Times New Roman" w:cs="Times New Roman" w:eastAsia="Times New Roman" w:hAnsi="Times New Roman"/>
          <w:sz w:val="18"/>
          <w:szCs w:val="18"/>
          <w:i w:val="1"/>
          <w:iCs w:val="1"/>
          <w:color w:val="auto"/>
        </w:rPr>
        <w:t>First Exit Event</w:t>
      </w:r>
      <w:r>
        <w:rPr>
          <w:rFonts w:ascii="Times New Roman" w:cs="Times New Roman" w:eastAsia="Times New Roman" w:hAnsi="Times New Roman"/>
          <w:sz w:val="18"/>
          <w:szCs w:val="18"/>
          <w:color w:val="auto"/>
        </w:rPr>
        <w:t>”), there is a sale, transfer or other disposition (including for the avoidance of doubt an IPO occurring subsequent to a First Exit Event) in one or more transactions of some or all of the Subject Shares that were not sold, transferred or otherwise disposed of under the First Exit Event (the “</w:t>
      </w:r>
      <w:r>
        <w:rPr>
          <w:rFonts w:ascii="Times New Roman" w:cs="Times New Roman" w:eastAsia="Times New Roman" w:hAnsi="Times New Roman"/>
          <w:sz w:val="18"/>
          <w:szCs w:val="18"/>
          <w:i w:val="1"/>
          <w:iCs w:val="1"/>
          <w:color w:val="auto"/>
        </w:rPr>
        <w:t>Remaining Shares</w:t>
      </w:r>
      <w:r>
        <w:rPr>
          <w:rFonts w:ascii="Times New Roman" w:cs="Times New Roman" w:eastAsia="Times New Roman" w:hAnsi="Times New Roman"/>
          <w:sz w:val="18"/>
          <w:szCs w:val="18"/>
          <w:color w:val="auto"/>
        </w:rPr>
        <w:t>”) representing at least 5% of the Subject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9" w:right="459" w:bottom="1440" w:gutter="0" w:footer="0" w:header="0"/>
        </w:sectPr>
      </w:pPr>
    </w:p>
    <w:bookmarkStart w:id="580" w:name="page581"/>
    <w:bookmarkEnd w:id="580"/>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and the Implied Value (as defined below) of such transaction is equal to or greater than the Target Valuation Amount (in each case a “</w:t>
      </w:r>
      <w:r>
        <w:rPr>
          <w:rFonts w:ascii="Times New Roman" w:cs="Times New Roman" w:eastAsia="Times New Roman" w:hAnsi="Times New Roman"/>
          <w:sz w:val="18"/>
          <w:szCs w:val="18"/>
          <w:i w:val="1"/>
          <w:iCs w:val="1"/>
          <w:color w:val="auto"/>
        </w:rPr>
        <w:t>Partial Exit</w:t>
      </w:r>
      <w:r>
        <w:rPr>
          <w:rFonts w:ascii="Times New Roman" w:cs="Times New Roman" w:eastAsia="Times New Roman" w:hAnsi="Times New Roman"/>
          <w:sz w:val="18"/>
          <w:szCs w:val="18"/>
          <w:color w:val="auto"/>
        </w:rPr>
        <w:t xml:space="preserve">”), the Buyer shall in respect of each Partial Exit pay, or shall cause to be paid, to the Seller within fifteen (15) Business Days following the Buyer’s receipt of notice of a transfer of stock that constitutes a Partial Exit (including where the stock is listed as part of an IPO occurring subsequent to a First Exit Event), an aggregate portion of the Deferred Consideration Payment Amount equal to the product of (1) the Deferred Consideration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quotient of such Proceeds attributable to the Partial Exit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the Target Valuation Amount (provided that the aggregate Deferred Consideration Payment Amounts payable hereunder shall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event exceed $6,157,777), which amount to be paid in accordance with Section 3.2(g).</w:t>
      </w:r>
    </w:p>
    <w:p>
      <w:pPr>
        <w:spacing w:after="0" w:line="79" w:lineRule="exact"/>
        <w:rPr>
          <w:sz w:val="20"/>
          <w:szCs w:val="20"/>
          <w:color w:val="auto"/>
        </w:rPr>
      </w:pPr>
    </w:p>
    <w:p>
      <w:pPr>
        <w:ind w:left="440" w:right="120" w:firstLine="948"/>
        <w:spacing w:after="0" w:line="258" w:lineRule="auto"/>
        <w:tabs>
          <w:tab w:leader="none" w:pos="1657"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Implied Value</w:t>
      </w:r>
      <w:r>
        <w:rPr>
          <w:rFonts w:ascii="Times New Roman" w:cs="Times New Roman" w:eastAsia="Times New Roman" w:hAnsi="Times New Roman"/>
          <w:sz w:val="18"/>
          <w:szCs w:val="18"/>
          <w:color w:val="auto"/>
        </w:rPr>
        <w:t>” means, with respect to an Exit Event or Partial Exit, the quotient of (A) the aggregate amount of Potential Proceeds payable in respect of the relevant sale, transfer or other disposition of the Subject Shares or the Remaining Shares (as the case may be), divided by (B) a fraction, the numerator of which is equal to the number of Subject Shares or Remaining Shares (as the case may be) sold, transferred or disposed of in such Exit Event or Partial Exit, and the denominator of which is equal to the aggregate number of shares of the Buyer’s capital stock outstanding immediately prior to such transaction on a fully-diluted basis.</w:t>
      </w:r>
    </w:p>
    <w:p>
      <w:pPr>
        <w:spacing w:after="0" w:line="77"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707"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a number or class of Subject Shares, Remaining Shares or shares of capital stock in this Section 3.2 shall be subject to appropriate adjustment for all stock splits, dividends, combinations, recapitalizations, consolidations and other variations to the capital stock of the Buyer (and for the avoidance of doubt, includes any replacement shares of capital stock in a Buyer Group Company following a reorganisation of the Buyer Group) and such variations shall be notified in writing to the Seller’s Representatives within 15 Business Days of the variation.</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in no event shall the aggregate amounts payable under this Section 3.2 exceed the Deferred Consideration Payment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98"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Section 3.2, at any time following or concurrently with the Buyer’s first payment of any portion of the Deferred Consideration Payment Amount, the Buyer may elect in its sole discretion to pay to the Seller the remaining unpaid portion of the Deferred Consideration Payment Amount, whether or not due and payable pursuant to the terms hereof, which payment shall be made in accordance with Section 3.2(g).</w:t>
      </w:r>
    </w:p>
    <w:p>
      <w:pPr>
        <w:spacing w:after="0" w:line="71"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notify the Seller’s Representatives in writing of the occurrence of a Deferred Consideration Payment Event as soon as reasonably practicable but no later than 10 Business Days after such occurrence, or with respect to a Partial Exit, no later than 10 Business Days after Buyer’s receipt of notice of the occurrence of a Partial Sale from the holder of Subject Shares that consummated such Partial Sale or from any other Person. The Buyer’s notice to the Seller’s Representatives shall be accompanied by a statement setting out in reasonable detail the terms of such Deferred Consideration Payment Event including the timing of payments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9" w:right="479" w:bottom="1440" w:gutter="0" w:footer="0" w:header="0"/>
        </w:sectPr>
      </w:pPr>
    </w:p>
    <w:bookmarkStart w:id="581" w:name="page582"/>
    <w:bookmarkEnd w:id="581"/>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to the Seller in accordance with this Section 3.2 and appropriate supporting evidence to the reasonable satisfaction of the Seller’s Representatives. The Buyer shall supply to the Seller’s Representatives any information, documentation or evidence as they may reasonably require at any time during the Deferred Consideration Payment Period in relation to their rights under this Section 3.2 within a reasonable time following Buyer’s receipt of a written request from the Seller’s Representatives.</w:t>
      </w:r>
    </w:p>
    <w:p>
      <w:pPr>
        <w:spacing w:after="0" w:line="72" w:lineRule="exact"/>
        <w:rPr>
          <w:sz w:val="20"/>
          <w:szCs w:val="20"/>
          <w:color w:val="auto"/>
        </w:rPr>
      </w:pPr>
    </w:p>
    <w:p>
      <w:pPr>
        <w:ind w:left="4" w:right="60" w:firstLine="987"/>
        <w:spacing w:after="0" w:line="256" w:lineRule="auto"/>
        <w:tabs>
          <w:tab w:leader="none" w:pos="122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Deferred Consideration Payment Period, there is a reorganization of the Buyer Group Companies such that Buyer is no longer the ultimate parent entity of all of the operating companies of the Buyer Group, Buyer shall cause the new parent entity of the Buyer Group to fully assume and agree to pay and discharge Buyer’s obligations under this Section 3.2 provided that for the avoidance of doubt the Buyer shall not be released from its obligations to pay any Deferred Consideration Payment unless the new parent entity of the Buyer Group has entered into a written agreement assuming the obligations of the Buyer on terms agreed with the Seller’s Representatives (such consent not to be unreasonably withheld or delayed) and a copy of such fully executed agreement has been provided to the Seller’s Representatives.</w:t>
      </w:r>
    </w:p>
    <w:p>
      <w:pPr>
        <w:spacing w:after="0" w:line="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and any amounts of the Deferred Consideration Payment due to the Seller under this Section 3.2 shall be paid within fifteen</w:t>
      </w:r>
    </w:p>
    <w:p>
      <w:pPr>
        <w:spacing w:after="0" w:line="27" w:lineRule="exact"/>
        <w:rPr>
          <w:rFonts w:ascii="Times New Roman" w:cs="Times New Roman" w:eastAsia="Times New Roman" w:hAnsi="Times New Roman"/>
          <w:sz w:val="18"/>
          <w:szCs w:val="18"/>
          <w:color w:val="auto"/>
        </w:rPr>
      </w:pPr>
    </w:p>
    <w:p>
      <w:pPr>
        <w:ind w:left="4" w:right="120" w:hanging="4"/>
        <w:spacing w:after="0" w:line="260" w:lineRule="auto"/>
        <w:tabs>
          <w:tab w:leader="none" w:pos="34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that the Deferred Consideration Payment(s) becomes payable in accordance with this Section 3.2 by the Buyer and shall be satisfied by the relevant payment in cash.</w:t>
      </w:r>
    </w:p>
    <w:p>
      <w:pPr>
        <w:spacing w:after="0" w:line="73"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arises between the parties under this Section 3.2 in relation to the calculation of Potential Proceeds, Proceeds or Implied Value, whether or not a Partial Exit has occurred or any adjustments under Section 3.2(b)(iii), then either the Buyer or the Seller’s Representative may serve notice on the other (a “</w:t>
      </w:r>
      <w:r>
        <w:rPr>
          <w:rFonts w:ascii="Times New Roman" w:cs="Times New Roman" w:eastAsia="Times New Roman" w:hAnsi="Times New Roman"/>
          <w:sz w:val="18"/>
          <w:szCs w:val="18"/>
          <w:i w:val="1"/>
          <w:iCs w:val="1"/>
          <w:color w:val="auto"/>
        </w:rPr>
        <w:t>Notice of Dispute</w:t>
      </w:r>
      <w:r>
        <w:rPr>
          <w:rFonts w:ascii="Times New Roman" w:cs="Times New Roman" w:eastAsia="Times New Roman" w:hAnsi="Times New Roman"/>
          <w:sz w:val="18"/>
          <w:szCs w:val="18"/>
          <w:color w:val="auto"/>
        </w:rPr>
        <w:t>”). During the first thirty (30) days following the date upon which a Notice of Dispute is served, the Seller’s Representatives and Buyer shall attempt in good faith to resolve the differences that they may have with respect to the matters set forth in the Notice of Dispute. If at the end of such thirty (30) day period Buyer and the Seller’s Representatives have not reached agreement on such matters unless the period has been extended in writing by Buyer and the Seller’s Representatives, the matters that remain in dispute shall be submitted to the Independent Investment Bank for determination. Except for the purpose of engaging the Independent Investment Bank, none of Buyer, the Seller, the Seller’s Representatives, the Company, or their Affiliates shall make any ex parte contact with the Independent Investment Bank. As promptly as practicable (but in no event more than thirty (30) days) after the retention of the Independent Investment Bank, Buyer and the Seller’s Representatives shall each prepare and submit a presentation to the Independent Investment Bank regarding their positions on the disputed matters. As soon as practicable thereafter, but in any event within thirty (30) days after the Seller’s Representatives and Buyer submit in writing (or have had the opportunity to submit in writing but have not submitted) their positions as to the disputed matters, the Independent Investment Bank Firm shall determine the amount of each item in dispute, which shall include an explanation in writing of the Independent Investment Bank’s reasons for the determinations set forth therein. In making their determination, the Independent Investment Bank shall (i) act as an expert and not as an arbitrator and (ii) shall address only those matters in dispute, which such matters shall be determined on the merits of the matters submitted. The decision of the Independent Investment Bank shall be final and binding on Buyer and the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9" w:right="459" w:bottom="1440" w:gutter="0" w:footer="0" w:header="0"/>
        </w:sectPr>
      </w:pPr>
    </w:p>
    <w:bookmarkStart w:id="582" w:name="page583"/>
    <w:bookmarkEnd w:id="58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in the absence of manifest error. The costs, fees and expenses of the Independent Investment Bank in connection with the Independent Investment Bank’s review pursuant to this Section, shall be borne equally by Buyer on the one hand and the Seller and the Previous Sellers on the other hand. The Independent Investment Bank shall conduct its determination in a manner wherein all materials submitted to it are held in confidence and shall not be disclosed to third parties.</w:t>
      </w:r>
    </w:p>
    <w:p>
      <w:pPr>
        <w:spacing w:after="0" w:line="3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CLOSING</w:t>
      </w:r>
    </w:p>
    <w:p>
      <w:pPr>
        <w:spacing w:after="0" w:line="20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shall occur remotely via the electronic exchange of documents and signature pages on the date hereof or at such other place and time as the parties hereto may agree (the date on which the Closing occurs is referred to herein as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and be deemed to be effective as of the execution and delivery of this Agreement by the parties hereto on the Closing Date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Actions in Connection with the Closing.</w:t>
      </w:r>
    </w:p>
    <w:p>
      <w:pPr>
        <w:spacing w:after="0" w:line="117" w:lineRule="exact"/>
        <w:rPr>
          <w:sz w:val="20"/>
          <w:szCs w:val="20"/>
          <w:color w:val="auto"/>
        </w:rPr>
      </w:pPr>
    </w:p>
    <w:p>
      <w:pPr>
        <w:ind w:left="1240" w:hanging="253"/>
        <w:spacing w:after="0"/>
        <w:tabs>
          <w:tab w:leader="none" w:pos="12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deliver to Buyer at Closing:</w:t>
      </w:r>
    </w:p>
    <w:p>
      <w:pPr>
        <w:spacing w:after="0" w:line="117" w:lineRule="exact"/>
        <w:rPr>
          <w:rFonts w:ascii="Times New Roman" w:cs="Times New Roman" w:eastAsia="Times New Roman" w:hAnsi="Times New Roman"/>
          <w:sz w:val="18"/>
          <w:szCs w:val="18"/>
          <w:color w:val="auto"/>
        </w:rPr>
      </w:pPr>
    </w:p>
    <w:p>
      <w:pPr>
        <w:ind w:left="440" w:firstLine="948"/>
        <w:spacing w:after="0" w:line="254" w:lineRule="auto"/>
        <w:tabs>
          <w:tab w:leader="none" w:pos="160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minutes of the meeting or written resolutions of the board of directors of the Company (A) approving and authorizing the execution and delivery of this Agreement and the consummation of the transactions contemplated hereby, (B) approving and authorizing the transfer of the Sale Shares at Closing to Buyer, (C) approving and authorizing the execution of such documents as are to be entered into by the Company in connection with the transactions contemplated by this Agreement (including, where applicable, those documents identified in this Section 4.2(a)), (D) approving and authorizing (1) registration of Buyer (or its nominee) as the holder of the Sale Shares in the Company’s register of members and statutory books as soon as possible following Closing, subject only to the stock transfer forms transferring the Sale Shares to Buyer being duly stamped, and (2) issuance by the Company to Buyer immediately following Closing and the payment of stamp duty of share certificates representing the Sale Shares, and (H) approving the making of all other entries into other corporate records of Buyer as may be necessary;</w:t>
      </w:r>
    </w:p>
    <w:p>
      <w:pPr>
        <w:spacing w:after="0" w:line="80"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written resolution of the shareholders of the Company, in agreed form;</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share certificate, in agreed form, representing the Sale Shares to be issued by the Company in favour of the Buyer.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deliver, or cause to be delivered, to the Seller:</w:t>
      </w:r>
    </w:p>
    <w:p>
      <w:pPr>
        <w:spacing w:after="0" w:line="117" w:lineRule="exact"/>
        <w:rPr>
          <w:rFonts w:ascii="Times New Roman" w:cs="Times New Roman" w:eastAsia="Times New Roman" w:hAnsi="Times New Roman"/>
          <w:sz w:val="18"/>
          <w:szCs w:val="18"/>
          <w:color w:val="auto"/>
        </w:rPr>
      </w:pPr>
    </w:p>
    <w:p>
      <w:pPr>
        <w:ind w:left="440" w:right="200" w:firstLine="948"/>
        <w:spacing w:after="0" w:line="282" w:lineRule="auto"/>
        <w:tabs>
          <w:tab w:leader="none" w:pos="160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(which shall be evidenced by Buyer entering into its electronic stock ledger the name of the Seller and the number and type of Consideration Shares within fifteen (15) days following the Closing);</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Upfront Cash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9" w:right="459" w:bottom="1440" w:gutter="0" w:footer="0" w:header="0"/>
        </w:sectPr>
      </w:pPr>
    </w:p>
    <w:bookmarkStart w:id="583" w:name="page584"/>
    <w:bookmarkEnd w:id="583"/>
    <w:p>
      <w:pPr>
        <w:ind w:left="1680" w:hanging="312"/>
        <w:spacing w:after="0"/>
        <w:tabs>
          <w:tab w:leader="none" w:pos="168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Seller’s Pro Rata Percentage of the Estimated Net Current Asset Consideration;</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counterparts of the Stockholder Agreements; and</w:t>
      </w:r>
    </w:p>
    <w:p>
      <w:pPr>
        <w:spacing w:after="0" w:line="117" w:lineRule="exact"/>
        <w:rPr>
          <w:rFonts w:ascii="Times New Roman" w:cs="Times New Roman" w:eastAsia="Times New Roman" w:hAnsi="Times New Roman"/>
          <w:sz w:val="18"/>
          <w:szCs w:val="18"/>
          <w:color w:val="auto"/>
        </w:rPr>
      </w:pPr>
    </w:p>
    <w:p>
      <w:pPr>
        <w:jc w:val="both"/>
        <w:ind w:left="420" w:firstLine="948"/>
        <w:spacing w:after="0" w:line="261" w:lineRule="auto"/>
        <w:tabs>
          <w:tab w:leader="none" w:pos="1627"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Buyer’s board of directors (A) authorizing the execution and delivery of this Agreement and the consummation of the transactions contemplated hereby, (B) approving the issuance of the Consideration Shares to the Seller, and (C) approving, the entry into the electronic stock ledger of the Buyer the names of the Seller as the holders of the Consideration Shares and the making of such entries into other corporate records of the Buyer as may be necessary.</w:t>
      </w:r>
    </w:p>
    <w:p>
      <w:pPr>
        <w:spacing w:after="0" w:line="7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Seller shall deliver, or cause to be delivered, to Buyer each of the following:</w:t>
      </w:r>
    </w:p>
    <w:p>
      <w:pPr>
        <w:spacing w:after="0" w:line="117" w:lineRule="exact"/>
        <w:rPr>
          <w:rFonts w:ascii="Times New Roman" w:cs="Times New Roman" w:eastAsia="Times New Roman" w:hAnsi="Times New Roman"/>
          <w:sz w:val="18"/>
          <w:szCs w:val="18"/>
          <w:color w:val="auto"/>
        </w:rPr>
      </w:pPr>
    </w:p>
    <w:p>
      <w:pPr>
        <w:ind w:left="420" w:right="260" w:firstLine="948"/>
        <w:spacing w:after="0" w:line="289" w:lineRule="auto"/>
        <w:tabs>
          <w:tab w:leader="none" w:pos="1587"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duly executed stock transfer forms, in agreed form, transferring its Seed Shares and A Pref Shares to Buyer (or its nominee) together with the share certificate(s) issued by the Company representing such Sale Shares; provided, that, if the Seller cannot deliver such original share certificate(s) it shall instead deliver to Buyer (or its nominee) an indemnity with respect to such certificate(s) in customary form;</w:t>
      </w:r>
    </w:p>
    <w:p>
      <w:pPr>
        <w:spacing w:after="0" w:line="49" w:lineRule="exact"/>
        <w:rPr>
          <w:rFonts w:ascii="Times New Roman" w:cs="Times New Roman" w:eastAsia="Times New Roman" w:hAnsi="Times New Roman"/>
          <w:sz w:val="17"/>
          <w:szCs w:val="17"/>
          <w:color w:val="auto"/>
        </w:rPr>
      </w:pPr>
    </w:p>
    <w:p>
      <w:pPr>
        <w:ind w:left="420" w:right="560" w:firstLine="948"/>
        <w:spacing w:after="0" w:line="282" w:lineRule="auto"/>
        <w:tabs>
          <w:tab w:leader="none" w:pos="163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Form W-9, Form W-8BEN-E, Form W-8BEN or Form W-8IMY, as applicable, in form and substance acceptable to Buyer;</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counterpart of the Stockholder Agreements;</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waivers or consents as the Buyer may require to enable the Buyer to be registered as holders of the Sale Shares;</w:t>
      </w:r>
    </w:p>
    <w:p>
      <w:pPr>
        <w:spacing w:after="0" w:line="117" w:lineRule="exact"/>
        <w:rPr>
          <w:rFonts w:ascii="Times New Roman" w:cs="Times New Roman" w:eastAsia="Times New Roman" w:hAnsi="Times New Roman"/>
          <w:sz w:val="18"/>
          <w:szCs w:val="18"/>
          <w:color w:val="auto"/>
        </w:rPr>
      </w:pPr>
    </w:p>
    <w:p>
      <w:pPr>
        <w:ind w:left="-20" w:right="320" w:firstLine="987"/>
        <w:spacing w:after="0" w:line="256" w:lineRule="auto"/>
        <w:tabs>
          <w:tab w:leader="none" w:pos="122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the Upfront Cash Consideration and the Seller’s Pro Rata Percentage of the Estimated Net Current Asset Consideration shall be made in United States Dollars by electronic transfer of immediately available funds to the Seller’s Account. The payment to the Seller’s Account of the Upfront Cash Consideration and the Seller’s Pro Rata Percentage of the Estimated Net Current Asset Consideration will satisfy and discharge the Buyer’s obligations with respect to the payment thereof in their entirety subject to Section 4.8, and the Buyer will have no further obligation, liability or responsibility with respect to the payment of the Upfront Cash Consideration and the Seller’s Pro Rata Percentage of the Estimated Net Current Asset Consideration to the Seller.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69" w:right="479" w:bottom="1440" w:gutter="0" w:footer="0" w:header="0"/>
        </w:sectPr>
      </w:pPr>
    </w:p>
    <w:bookmarkStart w:id="584" w:name="page585"/>
    <w:bookmarkEnd w:id="584"/>
    <w:p>
      <w:pPr>
        <w:ind w:left="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Voting Power Pending Registration</w:t>
      </w:r>
    </w:p>
    <w:p>
      <w:pPr>
        <w:spacing w:after="0" w:line="117" w:lineRule="exact"/>
        <w:rPr>
          <w:sz w:val="20"/>
          <w:szCs w:val="20"/>
          <w:color w:val="auto"/>
        </w:rPr>
      </w:pPr>
    </w:p>
    <w:p>
      <w:pPr>
        <w:ind w:left="-100" w:right="60" w:firstLine="987"/>
        <w:spacing w:after="0" w:line="282" w:lineRule="auto"/>
        <w:tabs>
          <w:tab w:leader="none" w:pos="113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Closing the Seller irrevocably and unconditionally appoints Buyer as its lawful agent and attorney to exercise all rights which the Seller may have in its capacity as registered holder of its Sale Shares including (but not limited to) any right to:</w:t>
      </w:r>
    </w:p>
    <w:p>
      <w:pPr>
        <w:spacing w:after="0" w:line="53" w:lineRule="exact"/>
        <w:rPr>
          <w:rFonts w:ascii="Times New Roman" w:cs="Times New Roman" w:eastAsia="Times New Roman" w:hAnsi="Times New Roman"/>
          <w:sz w:val="18"/>
          <w:szCs w:val="18"/>
          <w:color w:val="auto"/>
        </w:rPr>
      </w:pPr>
    </w:p>
    <w:p>
      <w:pPr>
        <w:ind w:left="340" w:right="140" w:firstLine="948"/>
        <w:spacing w:after="0" w:line="282" w:lineRule="auto"/>
        <w:tabs>
          <w:tab w:leader="none" w:pos="150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attend and vote at, any meeting of the shareholders of the Company (or any class thereof) or at any adjourned meeting of the shareholders of the Company (or any class thereof);</w:t>
      </w:r>
    </w:p>
    <w:p>
      <w:pPr>
        <w:spacing w:after="0" w:line="53" w:lineRule="exact"/>
        <w:rPr>
          <w:rFonts w:ascii="Times New Roman" w:cs="Times New Roman" w:eastAsia="Times New Roman" w:hAnsi="Times New Roman"/>
          <w:sz w:val="18"/>
          <w:szCs w:val="18"/>
          <w:color w:val="auto"/>
        </w:rPr>
      </w:pPr>
    </w:p>
    <w:p>
      <w:pPr>
        <w:ind w:left="1560" w:hanging="272"/>
        <w:spacing w:after="0"/>
        <w:tabs>
          <w:tab w:leader="none" w:pos="156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any proxy to attend and vote at any meeting of the shareholders of the Company (or any class thereof);</w:t>
      </w:r>
    </w:p>
    <w:p>
      <w:pPr>
        <w:spacing w:after="0" w:line="117" w:lineRule="exact"/>
        <w:rPr>
          <w:rFonts w:ascii="Times New Roman" w:cs="Times New Roman" w:eastAsia="Times New Roman" w:hAnsi="Times New Roman"/>
          <w:sz w:val="18"/>
          <w:szCs w:val="18"/>
          <w:color w:val="auto"/>
        </w:rPr>
      </w:pPr>
    </w:p>
    <w:p>
      <w:pPr>
        <w:ind w:left="1600" w:hanging="312"/>
        <w:spacing w:after="0"/>
        <w:tabs>
          <w:tab w:leader="none" w:pos="160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meeting of the shareholders of the Company (or any class thereof) being held on short notice;</w:t>
      </w:r>
    </w:p>
    <w:p>
      <w:pPr>
        <w:spacing w:after="0" w:line="117" w:lineRule="exact"/>
        <w:rPr>
          <w:rFonts w:ascii="Times New Roman" w:cs="Times New Roman" w:eastAsia="Times New Roman" w:hAnsi="Times New Roman"/>
          <w:sz w:val="18"/>
          <w:szCs w:val="18"/>
          <w:color w:val="auto"/>
        </w:rPr>
      </w:pPr>
    </w:p>
    <w:p>
      <w:pPr>
        <w:ind w:left="1600" w:hanging="312"/>
        <w:spacing w:after="0"/>
        <w:tabs>
          <w:tab w:leader="none" w:pos="160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variation of any rights attaching to any class of Sale Share;</w:t>
      </w:r>
    </w:p>
    <w:p>
      <w:pPr>
        <w:spacing w:after="0" w:line="117" w:lineRule="exact"/>
        <w:rPr>
          <w:rFonts w:ascii="Times New Roman" w:cs="Times New Roman" w:eastAsia="Times New Roman" w:hAnsi="Times New Roman"/>
          <w:sz w:val="18"/>
          <w:szCs w:val="18"/>
          <w:color w:val="auto"/>
        </w:rPr>
      </w:pPr>
    </w:p>
    <w:p>
      <w:pPr>
        <w:ind w:left="1540" w:hanging="252"/>
        <w:spacing w:after="0"/>
        <w:tabs>
          <w:tab w:leader="none" w:pos="154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resolution of the shareholders of the Company (or any class thereof) proposed by way of written resolution;</w:t>
      </w:r>
    </w:p>
    <w:p>
      <w:pPr>
        <w:spacing w:after="0" w:line="117" w:lineRule="exact"/>
        <w:rPr>
          <w:rFonts w:ascii="Times New Roman" w:cs="Times New Roman" w:eastAsia="Times New Roman" w:hAnsi="Times New Roman"/>
          <w:sz w:val="18"/>
          <w:szCs w:val="18"/>
          <w:color w:val="auto"/>
        </w:rPr>
      </w:pPr>
    </w:p>
    <w:p>
      <w:pPr>
        <w:ind w:left="340" w:firstLine="948"/>
        <w:spacing w:after="0" w:line="282" w:lineRule="auto"/>
        <w:tabs>
          <w:tab w:leader="none" w:pos="159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give directions in respect of, any dividends, moneys, securities, benefits, notices or communications (in whatever form) in respect of the Sale Shares,</w:t>
      </w:r>
    </w:p>
    <w:p>
      <w:pPr>
        <w:spacing w:after="0" w:line="53" w:lineRule="exact"/>
        <w:rPr>
          <w:rFonts w:ascii="Times New Roman" w:cs="Times New Roman" w:eastAsia="Times New Roman" w:hAnsi="Times New Roman"/>
          <w:sz w:val="18"/>
          <w:szCs w:val="18"/>
          <w:color w:val="auto"/>
        </w:rPr>
      </w:pPr>
    </w:p>
    <w:p>
      <w:pPr>
        <w:ind w:left="1140" w:hanging="253"/>
        <w:spacing w:after="0"/>
        <w:tabs>
          <w:tab w:leader="none" w:pos="11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Closing the Seller undertakes:</w:t>
      </w:r>
    </w:p>
    <w:p>
      <w:pPr>
        <w:spacing w:after="0" w:line="117" w:lineRule="exact"/>
        <w:rPr>
          <w:rFonts w:ascii="Times New Roman" w:cs="Times New Roman" w:eastAsia="Times New Roman" w:hAnsi="Times New Roman"/>
          <w:sz w:val="18"/>
          <w:szCs w:val="18"/>
          <w:color w:val="auto"/>
        </w:rPr>
      </w:pPr>
    </w:p>
    <w:p>
      <w:pPr>
        <w:ind w:left="1500" w:hanging="212"/>
        <w:spacing w:after="0"/>
        <w:tabs>
          <w:tab w:leader="none" w:pos="150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exercise any rights attaching to its Sale Shares other than on the express written instruction of Buyer;</w:t>
      </w:r>
    </w:p>
    <w:p>
      <w:pPr>
        <w:spacing w:after="0" w:line="117" w:lineRule="exact"/>
        <w:rPr>
          <w:rFonts w:ascii="Times New Roman" w:cs="Times New Roman" w:eastAsia="Times New Roman" w:hAnsi="Times New Roman"/>
          <w:sz w:val="18"/>
          <w:szCs w:val="18"/>
          <w:color w:val="auto"/>
        </w:rPr>
      </w:pPr>
    </w:p>
    <w:p>
      <w:pPr>
        <w:jc w:val="both"/>
        <w:ind w:left="340" w:right="120" w:firstLine="948"/>
        <w:spacing w:after="0" w:line="312" w:lineRule="auto"/>
        <w:tabs>
          <w:tab w:leader="none" w:pos="1557"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hold on trust for Buyer and to notify promptly Buyer of anything received by it after Closing in its capacity as holder of any Sale Shares, and to act promptly in accordance with Buyer’s instructions to the fullest extent permitted by law in relation to any such thing; and</w:t>
      </w:r>
    </w:p>
    <w:p>
      <w:pPr>
        <w:spacing w:after="0" w:line="31" w:lineRule="exact"/>
        <w:rPr>
          <w:rFonts w:ascii="Times New Roman" w:cs="Times New Roman" w:eastAsia="Times New Roman" w:hAnsi="Times New Roman"/>
          <w:sz w:val="17"/>
          <w:szCs w:val="17"/>
          <w:color w:val="auto"/>
        </w:rPr>
      </w:pPr>
    </w:p>
    <w:p>
      <w:pPr>
        <w:ind w:left="340" w:right="80" w:firstLine="948"/>
        <w:spacing w:after="0" w:line="282" w:lineRule="auto"/>
        <w:tabs>
          <w:tab w:leader="none" w:pos="160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whatever Buyer lawfully does or causes to be done under the authority or purported authority of the power of attorney conferred by Section 4.3(a).</w:t>
      </w:r>
    </w:p>
    <w:p>
      <w:pPr>
        <w:spacing w:after="0" w:line="53" w:lineRule="exact"/>
        <w:rPr>
          <w:rFonts w:ascii="Times New Roman" w:cs="Times New Roman" w:eastAsia="Times New Roman" w:hAnsi="Times New Roman"/>
          <w:sz w:val="18"/>
          <w:szCs w:val="18"/>
          <w:color w:val="auto"/>
        </w:rPr>
      </w:pPr>
    </w:p>
    <w:p>
      <w:pPr>
        <w:ind w:left="-100" w:firstLine="987"/>
        <w:spacing w:after="0" w:line="261" w:lineRule="auto"/>
        <w:tabs>
          <w:tab w:leader="none" w:pos="113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of attorney conferred by Section 4.3(a) are given to secure the proprietary interests of Buyer in the Sale Shares with effect from Closing and are irrevocable unless revoked with the prior written consent of Buyer. Such power of attorney shall terminate (without prejudice to anything done by Buyer before termination) on the date on which Buyer (or its nominee) is entered in the register of members of the Company as the legal holder of the relevant Sale Shares.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Company Share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 w:right="180" w:firstLine="987"/>
        <w:spacing w:after="0" w:line="266" w:lineRule="auto"/>
        <w:tabs>
          <w:tab w:leader="none" w:pos="113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permit any Company Share Option that is outstanding and is not exercised at or immediately prior to the Relevant Time, whether or not vested, to be exercised following the Relevant Time, and no consideration shall be delivered in exchange for any such Company Share Option.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00"/>
          </w:cols>
          <w:pgMar w:left="540" w:top="269" w:right="559" w:bottom="1440" w:gutter="0" w:footer="0" w:header="0"/>
        </w:sectPr>
      </w:pPr>
    </w:p>
    <w:bookmarkStart w:id="585" w:name="page586"/>
    <w:bookmarkEnd w:id="5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Consideration Shares and Share Certificate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66" w:lineRule="auto"/>
        <w:tabs>
          <w:tab w:leader="none" w:pos="12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issue to the Seller the number and type of Consideration Shares comprising the Share Consideration to which the Seller is entitled pursuant to Section 4.2(b)(i) with respect to its Sale Shares as set out in the Consideration Schedule,. All shares of Buyer A Preferred Stock issued to the Seller hereunder shall be recorded in book entry form in Buyer’s electronic stock ledger.</w:t>
      </w:r>
    </w:p>
    <w:p>
      <w:pPr>
        <w:spacing w:after="0" w:line="67"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Buyer shall be permitted to rely, without further inquiry, on the Consideration Schedule in delivering any Consideration Shares to the Seller under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Seller’s Representatives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irrevocably approves the constitution and appointment of, and hereby irrevocably constitutes and appoints Robert Ian Horobin and Miriam Cha as the exclusive, true and lawful agents, representatives and attorneys-in-fact of the Seller (the “</w:t>
      </w:r>
      <w:r>
        <w:rPr>
          <w:rFonts w:ascii="Times New Roman" w:cs="Times New Roman" w:eastAsia="Times New Roman" w:hAnsi="Times New Roman"/>
          <w:sz w:val="18"/>
          <w:szCs w:val="18"/>
          <w:i w:val="1"/>
          <w:iCs w:val="1"/>
          <w:color w:val="auto"/>
        </w:rPr>
        <w:t>Seller’s Representatives</w:t>
      </w:r>
      <w:r>
        <w:rPr>
          <w:rFonts w:ascii="Times New Roman" w:cs="Times New Roman" w:eastAsia="Times New Roman" w:hAnsi="Times New Roman"/>
          <w:sz w:val="18"/>
          <w:szCs w:val="18"/>
          <w:color w:val="auto"/>
        </w:rPr>
        <w:t>”) with authority, for and on behalf of the Seller to take such actions and exercise such discretions as may be required pursuant to the terms of this Agreement and any related document or instrument, including but not limited to the following:</w:t>
      </w:r>
    </w:p>
    <w:p>
      <w:pPr>
        <w:spacing w:after="0" w:line="71"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60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for the Seller with regard to all matters pertaining to indemnification under this Agreement, including the power to defend, compromise, or settle any claims and to otherwise prosecute or pursue any litigation claims;</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5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amendments, waivers, ancillary agreements, certificates and documents that the Seller’s Representatives deem necessary or appropriate in connection with the consummation of the transactions contemplated by this Agreement;</w:t>
      </w:r>
    </w:p>
    <w:p>
      <w:pPr>
        <w:spacing w:after="0" w:line="53" w:lineRule="exact"/>
        <w:rPr>
          <w:rFonts w:ascii="Times New Roman" w:cs="Times New Roman" w:eastAsia="Times New Roman" w:hAnsi="Times New Roman"/>
          <w:sz w:val="18"/>
          <w:szCs w:val="18"/>
          <w:color w:val="auto"/>
        </w:rPr>
      </w:pPr>
    </w:p>
    <w:p>
      <w:pPr>
        <w:ind w:left="440" w:right="80" w:firstLine="948"/>
        <w:spacing w:after="0" w:line="312" w:lineRule="auto"/>
        <w:tabs>
          <w:tab w:leader="none" w:pos="1707" w:val="left"/>
        </w:tabs>
        <w:numPr>
          <w:ilvl w:val="1"/>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or refrain from doing any further act or deed on behalf of the Seller that the Seller’s Representatives deem necessary or appropriate in their discretion relating to the subject matter of this Agreement as fully and completely as the Seller could do if personally present;</w:t>
      </w:r>
    </w:p>
    <w:p>
      <w:pPr>
        <w:spacing w:after="0" w:line="31" w:lineRule="exact"/>
        <w:rPr>
          <w:rFonts w:ascii="Times New Roman" w:cs="Times New Roman" w:eastAsia="Times New Roman" w:hAnsi="Times New Roman"/>
          <w:sz w:val="17"/>
          <w:szCs w:val="17"/>
          <w:color w:val="auto"/>
        </w:rPr>
      </w:pPr>
    </w:p>
    <w:p>
      <w:pPr>
        <w:ind w:left="1700" w:hanging="312"/>
        <w:spacing w:after="0"/>
        <w:tabs>
          <w:tab w:leader="none" w:pos="170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or receive notices to be given or received by the Seller under this Agreement;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service of process in connection with any claims under this Agreement;</w:t>
      </w:r>
    </w:p>
    <w:p>
      <w:pPr>
        <w:spacing w:after="0" w:line="117"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provided that, the Seller’s Representatives shall not have the authority, for or on behalf of the Seller, to take any actions or exercise any discretion with respect to a claim by Buyer against the Seller relating to a breach by the Seller of any of its representations or warranties set forth in Article 7 including any indemnification of such breach under Section 9.2 or for any breach by the Seller of the covenants given by the Seller in Section 8.4 or Section 8.5.</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69" w:right="479" w:bottom="1440" w:gutter="0" w:footer="0" w:header="0"/>
        </w:sectPr>
      </w:pPr>
    </w:p>
    <w:bookmarkStart w:id="586" w:name="page587"/>
    <w:bookmarkEnd w:id="586"/>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stated above in relation to Article 7, all actions, notices, communications and determinations by or on behalf of the Seller in connection with this Agreement shall be given or made by the Seller’s Representatives and all such actions, notices, communications and determinations by the Seller’s Representatives shall conclusively be deemed to have been authorized by, and shall be binding upon, the Seller, and the Seller shall not have the right to object, dissent, protest or otherwise contest the same.</w:t>
      </w:r>
    </w:p>
    <w:p>
      <w:pPr>
        <w:spacing w:after="0" w:line="72" w:lineRule="exact"/>
        <w:rPr>
          <w:sz w:val="20"/>
          <w:szCs w:val="20"/>
          <w:color w:val="auto"/>
        </w:rPr>
      </w:pPr>
    </w:p>
    <w:p>
      <w:pPr>
        <w:ind w:right="40" w:firstLine="987"/>
        <w:spacing w:after="0" w:line="256" w:lineRule="auto"/>
        <w:tabs>
          <w:tab w:leader="none" w:pos="12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the Seller’s Representatives resigns, dies or becomes legally incapacitated, a majority of the Seller and the Previous Sellers, based on their Pro Rata Percentages, promptly shall designate in writing to Buyer a Person to fill the vacancy as the successor Seller’s Representative. If at any time there shall not be any Person serving as the Seller’s Representatives and the Seller fails to designate a successor in accordance with the foregoing provisions within thirty (30) calendar days, then Buyer may have a court of competent jurisdiction appoint a Seller’s Representative hereunder. A majority of the Seller and the Previous Sellers, based on their Pro Rata Percentages, may also replace any Person comprising the Seller’s Representatives from time to time and for any reason upon at least ten days’ prior written notice to Buyer.</w:t>
      </w:r>
    </w:p>
    <w:p>
      <w:pPr>
        <w:spacing w:after="0" w:line="79"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Representatives shall not be paid any fee for services to be rendered hereunder but shall be entitled to reimbursement from the Seller (in an amount equal to its Pro Rata Percentage) of all of its out-of-pocket costs and expenses incurred as the Seller’s Representatives. In connection with this Agreement and any other Contract, certificate or other document in connection with this Agreement, and in exercising or failing to exercise all or any of the powers conferred on the Seller’s Representatives under this Agreement, (i) to the extent consistent with the scope if his powers set forth herein, the Seller’s Representatives shall incur no responsibility or liability whatsoever to the Seller by reason of any error in judgment or other act or omission performed or omitted under this Agreement, or any other Contract, certificate or other document in connection with this Agreement, except for responsibility or liability directly resulting from a Seller’s Representative’s gross negligence or fraud, and (ii) the Seller’s Representatives shall be entitled to rely on the advice of counsel, public accountants or other independent experts, in each case experienced in the matter at issue, and any error in judgment or other act or omission of the Seller’s Representatives pursuant to such advice shall in no event subject the Seller’s Representatives to Liability to the Seller. The Seller shall indemnify the Seller’s Representatives from and against its Pro Rata Percentage of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i w:val="1"/>
          <w:iCs w:val="1"/>
          <w:color w:val="auto"/>
        </w:rPr>
        <w:t>Representative Losses</w:t>
      </w:r>
      <w:r>
        <w:rPr>
          <w:rFonts w:ascii="Times New Roman" w:cs="Times New Roman" w:eastAsia="Times New Roman" w:hAnsi="Times New Roman"/>
          <w:sz w:val="18"/>
          <w:szCs w:val="18"/>
          <w:color w:val="auto"/>
        </w:rPr>
        <w:t xml:space="preserve">”) arising out of or in connection with the Seller’s Representatives’ execution and performance of this Agreement and any agreements ancillary hereto, in each case as such Representative Losses are suffered or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such Representative Losses are finally adjudicated to have been directly caused by the gross negligence or fraud of a Seller’s Representative, the Seller’s Representative will reimburse the Seller the amount of such indemnified Representative Loss to the extent attributable to such gross negligence or fraud. Notwithstanding anything in this Agreement to the contrary, any restrictions or limitations on liability or indemnification obligations of the Seller set forth</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9" w:right="459" w:bottom="1440" w:gutter="0" w:footer="0" w:header="0"/>
        </w:sectPr>
      </w:pPr>
    </w:p>
    <w:bookmarkStart w:id="587" w:name="page588"/>
    <w:bookmarkEnd w:id="58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elsewhere in this Agreement are not intended to be applicable to the indemnities provided to the Seller’s Representatives under this Section 4.6(c). The foregoing indemnities will survive the Closing, the resignation or removal of the Seller’s Representatives or the termination of this Agreement. The Seller’s Representatives shall not be obliged to incur any fees, expenses or other liabilities in their capacity as Seller’s Representatives under this Section 4.6 unless the Seller has contributed to its Pro Rata Percentage of such fees, expenses or other liabilities unless the Seller’s Representatives agree otherwise in writing.</w:t>
      </w:r>
    </w:p>
    <w:p>
      <w:pPr>
        <w:spacing w:after="0" w:line="75" w:lineRule="exact"/>
        <w:rPr>
          <w:sz w:val="20"/>
          <w:szCs w:val="20"/>
          <w:color w:val="auto"/>
        </w:rPr>
      </w:pPr>
    </w:p>
    <w:p>
      <w:pPr>
        <w:ind w:firstLine="987"/>
        <w:spacing w:after="0" w:line="253" w:lineRule="auto"/>
        <w:tabs>
          <w:tab w:leader="none" w:pos="124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Seller’s Representatives shall treat confidentially any nonpublic information disclosed to it pursuant to this Agreement and shall not use such nonpublic information other than in the performance of its duties as the Seller’s Representative. In addition, each of the Seller’s Representatives shall not disclose any nonpublic information disclosed to it pursuant to this Agreement to anyone except as required by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Seller’s Representatives may disclose such nonpublic information to legal counsel and other advisors under an obligation of confidentiality and non-use in its capacity as such (for the purpose of advising the Seller on any information disclosed to the Seller’s Representative pursuant to this Agreement), (ii) the Seller’s Representatives (or legal counsel or other advisor to whom information is disclosed pursuant to clause (i) above) may disclose such nonpublic information in any Action or investigation relating to this Agreement or the transactions contemplated hereby (or, in either case, discussion in preparation therefor) any information disclosed to the Seller’s Representatives pursuant to this Agreement and (iii) the Seller’s Representatives may disclose to the Seller any information disclosed to the Seller’s Representatives subject to the Seller agreeing with the Seller’s Representatives in writing to restrictions on the disclosure and use of such information consistent with the restrictions to which the Seller’s Representatives is subject.</w:t>
      </w:r>
    </w:p>
    <w:p>
      <w:pPr>
        <w:spacing w:after="0" w:line="83"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entitled to rely on the authority of the Seller’s Representatives (as evidenced by an instrument in writing signed by the Seller’s Representatives) as the agent, representative and attorney-in-fact of the Seller for all purposes under this Agreement and shall have no Liability for any such reliance. No Seller may revoke the authority of the Seller’s Representatives. Each Seller hereby ratifies and confirms, and hereby agrees to ratify and confirm, any action taken by the Seller’s Representatives in the exercise of the power-of-attorney granted to the Seller’s Representatives pursuant to this Section 4.6, which power-of-attorney, being coupled with an interest, is irrevocable and shall survive the death, incapacity or incompetence of the Seller.</w:t>
      </w:r>
    </w:p>
    <w:p>
      <w:pPr>
        <w:spacing w:after="0" w:line="18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Notwithstanding anything herein to the contrary, the Buyer will be entitled to deduct and withhold from any consideration otherwise payable pursuant to this Agreement, such amounts as may be required to be deducted and withheld with respect to the making of such payment under applicable Law. To the extent that amounts are so deducted or withheld, such deducted or withheld amounts shall be remitted by Buyer to the applicable Governmental Entity and will be treated for all purposes of this Agreement as having been paid hereunder.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9" w:right="479" w:bottom="1440" w:gutter="0" w:footer="0" w:header="0"/>
        </w:sectPr>
      </w:pPr>
    </w:p>
    <w:bookmarkStart w:id="588" w:name="page589"/>
    <w:bookmarkEnd w:id="58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4.8. </w:t>
      </w:r>
      <w:r>
        <w:rPr>
          <w:rFonts w:ascii="Times New Roman" w:cs="Times New Roman" w:eastAsia="Times New Roman" w:hAnsi="Times New Roman"/>
          <w:sz w:val="18"/>
          <w:szCs w:val="18"/>
          <w:u w:val="single" w:color="auto"/>
          <w:color w:val="auto"/>
        </w:rPr>
        <w:t>Closing Statement Adjustment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66" w:lineRule="auto"/>
        <w:tabs>
          <w:tab w:leader="none" w:pos="124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thirty (30) days after the Relevant Time, Buyer shall deliver to the Seller’s Representatives a draft Closing Statement as at the Relevant Time (“</w:t>
      </w:r>
      <w:r>
        <w:rPr>
          <w:rFonts w:ascii="Times New Roman" w:cs="Times New Roman" w:eastAsia="Times New Roman" w:hAnsi="Times New Roman"/>
          <w:sz w:val="18"/>
          <w:szCs w:val="18"/>
          <w:i w:val="1"/>
          <w:iCs w:val="1"/>
          <w:color w:val="auto"/>
        </w:rPr>
        <w:t>Draft Closing Statement</w:t>
      </w:r>
      <w:r>
        <w:rPr>
          <w:rFonts w:ascii="Times New Roman" w:cs="Times New Roman" w:eastAsia="Times New Roman" w:hAnsi="Times New Roman"/>
          <w:sz w:val="18"/>
          <w:szCs w:val="18"/>
          <w:color w:val="auto"/>
        </w:rPr>
        <w:t>”) or a Final Closing Statement as at the Relevant Time if this has been agreed or determined as between the Buyer and the Seller’s Representative following the consummation of the C/C Transaction.</w:t>
      </w:r>
    </w:p>
    <w:p>
      <w:pPr>
        <w:spacing w:after="0" w:line="67"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delivers a Draft Closing Statement, the Draft Closing Statement shall become final and binding upon Buyer and the Seller on the date (the “</w:t>
      </w:r>
      <w:r>
        <w:rPr>
          <w:rFonts w:ascii="Times New Roman" w:cs="Times New Roman" w:eastAsia="Times New Roman" w:hAnsi="Times New Roman"/>
          <w:sz w:val="18"/>
          <w:szCs w:val="18"/>
          <w:i w:val="1"/>
          <w:iCs w:val="1"/>
          <w:color w:val="auto"/>
        </w:rPr>
        <w:t>Settlement Date</w:t>
      </w:r>
      <w:r>
        <w:rPr>
          <w:rFonts w:ascii="Times New Roman" w:cs="Times New Roman" w:eastAsia="Times New Roman" w:hAnsi="Times New Roman"/>
          <w:sz w:val="18"/>
          <w:szCs w:val="18"/>
          <w:color w:val="auto"/>
        </w:rPr>
        <w:t>”) that is the earlier of (i) the date that the Seller’s Representatives deliver written notice to Buyer that they agree to the contents of the Draft Closing Statement and accept the Draft Closing Statement as final; and (ii) the date that is thirty (30) days following receipt of the Draft Closing Statement by the Seller’s Representatives, in each case, unless the Seller’s Representatives give written notice of the Seller’s Representatives’ disagreement (“</w:t>
      </w:r>
      <w:r>
        <w:rPr>
          <w:rFonts w:ascii="Times New Roman" w:cs="Times New Roman" w:eastAsia="Times New Roman" w:hAnsi="Times New Roman"/>
          <w:sz w:val="18"/>
          <w:szCs w:val="18"/>
          <w:i w:val="1"/>
          <w:iCs w:val="1"/>
          <w:color w:val="auto"/>
        </w:rPr>
        <w:t>Notice of Disagreement</w:t>
      </w:r>
      <w:r>
        <w:rPr>
          <w:rFonts w:ascii="Times New Roman" w:cs="Times New Roman" w:eastAsia="Times New Roman" w:hAnsi="Times New Roman"/>
          <w:sz w:val="18"/>
          <w:szCs w:val="18"/>
          <w:color w:val="auto"/>
        </w:rPr>
        <w:t>”) which shall specify in reasonable detail (A) each matter or item in dispute and (B) each matter or item not in dispute and any adjustments which the Seller’s Representatives consider should be made to the Draft Closing Statement to Buyer prior to such date. At all times, the Seller’s Representatives shall be entitled to have reasonable access to the books and records of the Company and the working papers of Buyer prepared specifically in connection with calculations set forth in the Draft Closing Statement and, upon reasonable prior notice, shall be entitled to discuss such books and records and working papers, and the calculation thereof, with Buyer and those Persons responsible for the preparation thereof.</w:t>
      </w:r>
    </w:p>
    <w:p>
      <w:pPr>
        <w:spacing w:after="0" w:line="86" w:lineRule="exact"/>
        <w:rPr>
          <w:rFonts w:ascii="Times New Roman" w:cs="Times New Roman" w:eastAsia="Times New Roman" w:hAnsi="Times New Roman"/>
          <w:sz w:val="18"/>
          <w:szCs w:val="18"/>
          <w:color w:val="auto"/>
        </w:rPr>
      </w:pPr>
    </w:p>
    <w:p>
      <w:pPr>
        <w:ind w:left="4" w:firstLine="987"/>
        <w:spacing w:after="0" w:line="267" w:lineRule="auto"/>
        <w:tabs>
          <w:tab w:leader="none" w:pos="1240" w:val="left"/>
        </w:tabs>
        <w:numPr>
          <w:ilvl w:val="1"/>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Notice of Disagreement is tendered in accordance with the terms hereof, then the Draft Closing Statement (as revised in accordance with this Section 4.8(c), if applicable) shall become final and binding on Buyer and the Seller on, and the Settlement Date shall be, the earlier of: (i) the date upon which the Seller’s Representatives and Buyer agree in writing with respect to all matters specified in the Notice of Disagreement; and (ii) the date upon which the Draft Closing Statement (as revised in accordance with this Section 4.8(c), if applicable) is issued by the Independent Accounting Firm. During the first thirty (30) days following the date upon which Buyer receives a Notice of Disagreement, the Seller’s Representatives and Buyer shall attempt in good faith to resolve the differences that they may have with respect to the matters set forth in the Notice of Disagreement. If at the end of such thirty (30) day period Buyer and the Seller’s Representatives have not reached agreement on such matters unless the period has been extended in writing by Buyer and the Seller’s Representatives, the matters that remain in dispute shall be submitted to the Independent Accounting Firm for determination. Except for the purpose of engaging the Independent Accounting Firm, none of Buyer, Seller, the Seller’s Representatives, the Company, or their Affiliates shall make any ex parte contact with the Independent Accounting Firm. As promptly as practicable (but in no event more than thirty</w:t>
      </w:r>
    </w:p>
    <w:p>
      <w:pPr>
        <w:spacing w:after="0" w:line="3" w:lineRule="exact"/>
        <w:rPr>
          <w:rFonts w:ascii="Times New Roman" w:cs="Times New Roman" w:eastAsia="Times New Roman" w:hAnsi="Times New Roman"/>
          <w:sz w:val="17"/>
          <w:szCs w:val="17"/>
          <w:color w:val="auto"/>
        </w:rPr>
      </w:pPr>
    </w:p>
    <w:p>
      <w:pPr>
        <w:ind w:left="4" w:right="160" w:hanging="4"/>
        <w:spacing w:after="0" w:line="265" w:lineRule="auto"/>
        <w:tabs>
          <w:tab w:leader="none" w:pos="349"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retention of the Independent Accounting Firm, Buyer and the Seller’s Representatives shall each prepare and submit a presentation to the Independent Accounting Firm regarding their positions on the disputed matters. As soon as practicable thereafter, but in any event within thirty</w:t>
      </w:r>
    </w:p>
    <w:p>
      <w:pPr>
        <w:ind w:left="4" w:right="120" w:hanging="4"/>
        <w:spacing w:after="0" w:line="252" w:lineRule="auto"/>
        <w:tabs>
          <w:tab w:leader="none" w:pos="349"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Seller’s Representatives and Buyer submit in writing (or have had the opportunity to submit in writing but have not submitted) their positions as to the disputed matters, the Independent Accounting Firm shall determine the amount of each item in dispute, which shall include an explanation in writing of the Independent Accounting Firm’s reasons for the determinations set forth therein. In making their determination, the Independent Accounting Firm shall act as an expert and not as an arbitrator and shall address only those matters in dispute, which such matters shall be determined on the merits of the matters submitted. The decision of the Independent Accounting Firm shall be final and binding on Buyer and the Seller except in the case of manifest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9" w:right="459" w:bottom="1440" w:gutter="0" w:footer="0" w:header="0"/>
        </w:sectPr>
      </w:pPr>
    </w:p>
    <w:bookmarkStart w:id="589" w:name="page590"/>
    <w:bookmarkEnd w:id="58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error. The costs, fees and expenses of the Independent Accounting Firm in connection with the Independent Accounting Firm’s review pursuant to this Section 4.8(c), shall be borne equally by Buyer on the one hand and the Previous Sellers and the Sellers on the other hand. The “</w:t>
      </w:r>
      <w:r>
        <w:rPr>
          <w:rFonts w:ascii="Times New Roman" w:cs="Times New Roman" w:eastAsia="Times New Roman" w:hAnsi="Times New Roman"/>
          <w:sz w:val="18"/>
          <w:szCs w:val="18"/>
          <w:i w:val="1"/>
          <w:iCs w:val="1"/>
          <w:color w:val="auto"/>
        </w:rPr>
        <w:t>Final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shall be (i) if a Draft Closing Statement is delivered to the Seller in accordance with Section 4.8(a), the Closing Statement, as finally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pursuant to Sections 4.8(a) to (c) or (ii) if a Final Closing Statement is delivered to the Buyer in accordance with Section 4.8(a), that Final Closing Statement. The Independent Accounting Firm shall conduct its determination in a manner wherein all materials submitted to it are held in confidence and shall not be disclosed to third parties. The Parties agree that the determination of the Independent Accounting Firm shall be final and binding on the Parties and the Settlement Date shall be the date on which the Final Closing Statement has been finalized by the Independent Accounting Firm.</w:t>
      </w:r>
    </w:p>
    <w:p>
      <w:pPr>
        <w:spacing w:after="0" w:line="19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Final Closing Statement</w:t>
      </w:r>
      <w:r>
        <w:rPr>
          <w:rFonts w:ascii="Times New Roman" w:cs="Times New Roman" w:eastAsia="Times New Roman" w:hAnsi="Times New Roman"/>
          <w:sz w:val="18"/>
          <w:szCs w:val="18"/>
          <w:color w:val="auto"/>
        </w:rPr>
        <w:t xml:space="preserve">. In the event that the difference of (x) the Net Current Asset Consideration reflected in the Final Closing Statement,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Estimated Net Current Asset Consideration:</w:t>
      </w:r>
    </w:p>
    <w:p>
      <w:pPr>
        <w:spacing w:after="0" w:line="52" w:lineRule="exact"/>
        <w:rPr>
          <w:sz w:val="20"/>
          <w:szCs w:val="20"/>
          <w:color w:val="auto"/>
        </w:rPr>
      </w:pPr>
    </w:p>
    <w:p>
      <w:pPr>
        <w:ind w:right="140" w:firstLine="987"/>
        <w:spacing w:after="0" w:line="284" w:lineRule="auto"/>
        <w:tabs>
          <w:tab w:leader="none" w:pos="123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negative number (the “</w:t>
      </w:r>
      <w:r>
        <w:rPr>
          <w:rFonts w:ascii="Times New Roman" w:cs="Times New Roman" w:eastAsia="Times New Roman" w:hAnsi="Times New Roman"/>
          <w:sz w:val="18"/>
          <w:szCs w:val="18"/>
          <w:i w:val="1"/>
          <w:iCs w:val="1"/>
          <w:color w:val="auto"/>
        </w:rPr>
        <w:t>Shortfall</w:t>
      </w:r>
      <w:r>
        <w:rPr>
          <w:rFonts w:ascii="Times New Roman" w:cs="Times New Roman" w:eastAsia="Times New Roman" w:hAnsi="Times New Roman"/>
          <w:sz w:val="18"/>
          <w:szCs w:val="18"/>
          <w:color w:val="auto"/>
        </w:rPr>
        <w:t>”), the Buyer shall be entitled to cancel a number of Seed Consideration Shares held by the Seller equal to the Seller’s Pro Rata Percentage of such Shortfall, divided by the Per Share Value; or</w:t>
      </w:r>
    </w:p>
    <w:p>
      <w:pPr>
        <w:spacing w:after="0" w:line="5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positive number (the “</w:t>
      </w:r>
      <w:r>
        <w:rPr>
          <w:rFonts w:ascii="Times New Roman" w:cs="Times New Roman" w:eastAsia="Times New Roman" w:hAnsi="Times New Roman"/>
          <w:sz w:val="18"/>
          <w:szCs w:val="18"/>
          <w:i w:val="1"/>
          <w:iCs w:val="1"/>
          <w:color w:val="auto"/>
        </w:rPr>
        <w:t>Excess</w:t>
      </w:r>
      <w:r>
        <w:rPr>
          <w:rFonts w:ascii="Times New Roman" w:cs="Times New Roman" w:eastAsia="Times New Roman" w:hAnsi="Times New Roman"/>
          <w:sz w:val="18"/>
          <w:szCs w:val="18"/>
          <w:color w:val="auto"/>
        </w:rPr>
        <w:t>”), the Buyer shall pay the Seller’s Pro Rata Percentage of the Excess to the Seller in accordance with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within 5 Business Days after agreement or determination of the Final Closing Statement in accordance with Section 4.8.</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Buyer as of the Relevant Time, except as disclosed by the Company in the disclosure letter delivered to the Buyer by the Previous Sellers in connection with the C/C Transaction (the “</w:t>
      </w:r>
      <w:r>
        <w:rPr>
          <w:rFonts w:ascii="Times New Roman" w:cs="Times New Roman" w:eastAsia="Times New Roman" w:hAnsi="Times New Roman"/>
          <w:sz w:val="18"/>
          <w:szCs w:val="18"/>
          <w:i w:val="1"/>
          <w:iCs w:val="1"/>
          <w:color w:val="auto"/>
        </w:rPr>
        <w:t>Disclosure Letter</w:t>
      </w:r>
      <w:r>
        <w:rPr>
          <w:rFonts w:ascii="Times New Roman" w:cs="Times New Roman" w:eastAsia="Times New Roman" w:hAnsi="Times New Roman"/>
          <w:sz w:val="18"/>
          <w:szCs w:val="18"/>
          <w:color w:val="auto"/>
        </w:rPr>
        <w:t>”), as follows: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and Standing; No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4" w:lineRule="auto"/>
        <w:tabs>
          <w:tab w:leader="none" w:pos="123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 corporation duly incorporated and validly existing under the Laws of England and Wales; (ii) has all requisite corporate power and authority and possesses all governmental licenses, permits, authorizations and approvals necessary to enable it to use its corporate or other name and to own or lease or otherwise hold and operate its assets and properties and to carry on its business as being conducted as of the Relevant Time and (iii) is duly qualified, licensed or registered to do business in each jurisdiction in which the nature of its business or the ownership, leasing or operation of its properties makes such qualification, licensing or registration necessary (except where such failure to be so qualified, licensed or registered would not reasonably be expected to result in a Material Adverse Change). The Company has made available to Buyer true, complete and correct copies of its Constitutive Documents, as amended. The Company has made available to Buyer true, complete and correct copies of the stock certificates, statutory books and the minute books of the Company. The Company is not in violation of any of the provisions of its Constitutive Documents.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69" w:right="499" w:bottom="1440" w:gutter="0" w:footer="0" w:header="0"/>
        </w:sectPr>
      </w:pPr>
    </w:p>
    <w:bookmarkStart w:id="590" w:name="page591"/>
    <w:bookmarkEnd w:id="590"/>
    <w:p>
      <w:pPr>
        <w:ind w:right="720" w:firstLine="987"/>
        <w:spacing w:after="0" w:line="282" w:lineRule="auto"/>
        <w:tabs>
          <w:tab w:leader="none" w:pos="124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 does not own any Capital Stock of, or any equity interest of any nature in, any other Person, and (ii) is not a participant in any joint venture, partnership or similar arrangement.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Power and Authority; Binding Agreement; Insolvency</w:t>
      </w:r>
      <w:r>
        <w:rPr>
          <w:rFonts w:ascii="Times New Roman" w:cs="Times New Roman" w:eastAsia="Times New Roman" w:hAnsi="Times New Roman"/>
          <w:sz w:val="18"/>
          <w:szCs w:val="18"/>
          <w:color w:val="auto"/>
        </w:rPr>
        <w:t>. The Company has all requisite corporate power and authority to execute, deliver and perform the C/C Agreements and to consummate the transactions contemplated thereby and to perform its obligations thereunder. The execution and delivery by the Company of the C/C Agreements and the consummation by the Company of the transactions contemplated thereby have been duly authorized by all necessary corporate action on the part of the Company, and no other proceedings on the part of the Company are necessary to authorize the C/C Transaction Agreements or to consummate the transactions contemplated thereby. The C/C Transaction Agreements have been duly executed and delivered by the Company and, assuming due authorization, execution and delivery by the other parties thereto, constitutes a valid, legal and binding obligation of the Company, enforceable against the Company in accordance with its terms, subject to applicable bankruptcy, insolvency, reorganization, fraudulent transfer, moratorium or similar Laws affecting creditors’ rights generally and general principles of equity. The Company is not insolvent under any Laws applicable to it, nor unable to pay its debts as they fall due, nor has it stopped paying its debts as they fall due, nor has any arrangement (whether by court proceedings or otherwise) been proposed under which its creditors (or any group of them) could receive less than the amounts due to them nor are any proceedings in relation to any compromise or arrangement with creditors, any winding up, bankruptcy or other insolvency proceedings concerning it (or any of its assets or interests) current, pending or threatened.</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of the allotted and issued Company Capital Stock as of the Relevant Time consists of (i)64,244 shares of Company Ordinary Shares and (ii) 17,898 shares of Seed Preferred Shares. The Sale Shares and the shares held by the Previous Sellers constitute the entire issued and to be issued share capital of the Company, are the whole of the allotted and issued shares of Company Capital Stock and have been duly authorized and validly issued, and are fully paid up and no sum is outstanding in respect of any Sale Share or share held by any Previous Seller. Save for the Sale Shares and the shares in the Company held by the Previous Sellers, no Relevant Securities exist in respect of the Company (nor is there any agreement or arrangement for the creation, constitution, grant or issuance of any Relevant Securities in respect of the Company (other than the Sale Shares and the A Pref Shares)).</w:t>
      </w:r>
    </w:p>
    <w:p>
      <w:pPr>
        <w:spacing w:after="0" w:line="80" w:lineRule="exact"/>
        <w:rPr>
          <w:rFonts w:ascii="Times New Roman" w:cs="Times New Roman" w:eastAsia="Times New Roman" w:hAnsi="Times New Roman"/>
          <w:sz w:val="18"/>
          <w:szCs w:val="18"/>
          <w:color w:val="auto"/>
        </w:rPr>
      </w:pPr>
    </w:p>
    <w:p>
      <w:pPr>
        <w:ind w:right="340" w:firstLine="987"/>
        <w:spacing w:after="0" w:line="258" w:lineRule="auto"/>
        <w:tabs>
          <w:tab w:leader="none" w:pos="124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5.3(b) of the Disclosure Letter sets forth as of the Relevant Time a complete and accurate list of the holders of Company Capital Stock, showing the number of shares of such Capital Stock, and the class or series of such shares, held by each such shareholder and, with respect to shares other than Company Ordinary Shares, the number of shares of Company Ordinary Shares (if any) into which such shares are convertible. The Company holds no shares of Company Capital Stock in its treasury. All of the allotted and issued shares of Company Capital Stock have been offered, validly issued and sold by the Company in compliance and accordance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9" w:right="459" w:bottom="1440" w:gutter="0" w:footer="0" w:header="0"/>
        </w:sectPr>
      </w:pPr>
    </w:p>
    <w:bookmarkStart w:id="591" w:name="page592"/>
    <w:bookmarkEnd w:id="591"/>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and no transfer (or purported transfer) of any shares of Company Capital Stock has been made at any time in breach of, all applicable securities Laws and the Company’s articles of association. To the Company’s knowledge, the shares of Company Capital Stock owned as of the Relevant Time by each record holder listed on Section 5.3(b) of the Disclosure Letter are owned free and clear of all Liens except for restrictions on transfer under customary shareholder agreements between the holder thereof and the Company and under applicable securities Laws.</w:t>
      </w:r>
    </w:p>
    <w:p>
      <w:pPr>
        <w:spacing w:after="0" w:line="72" w:lineRule="exact"/>
        <w:rPr>
          <w:sz w:val="20"/>
          <w:szCs w:val="20"/>
          <w:color w:val="auto"/>
        </w:rPr>
      </w:pPr>
    </w:p>
    <w:p>
      <w:pPr>
        <w:ind w:left="4" w:firstLine="987"/>
        <w:spacing w:after="0" w:line="253" w:lineRule="auto"/>
        <w:tabs>
          <w:tab w:leader="none" w:pos="124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5.3(c) of the Disclosure Letter sets forth as of the Relevant Time a complete and accurate list of all holders of outstanding Company Share Options, indicating, with respect to each Company Share Option, the Company Share Plan under which it was granted, the number of shares of Company Ordinary Shares subject to such Company Share Option, the exercise price, the date of grant, and the vesting schedule (including any acceleration provisions with respect thereto). Section 5.3(c) of the Disclosure Letter sets forth, as of the Relevant Time , a complete and accurate list of all Company Share Plans, indicating for each Company Share Plan the number of shares of Company Ordinary Shares issued thereunder, the number of shares of Company Ordinary Shares subject to outstanding options thereunder and the number of shares of Company Ordinary Shares reserved for future issuance thereunder. Except as set forth on Section 5.3(c) of the Disclosure Letter, there is no allotted or issued Company Share Option that has not been granted under a Company Share Plan. No Company Share Option is exercisable for any class or series of Company Capital Stock other than Company Ordinary Shares. Each Company Share Option (i) was granted in compliance with all applicable Laws and all terms and conditions of the applicable Company Share Plan and (ii) has an exercise price per share of Company Ordinary Share equal to or greater than the fair market value of a share of Company Ordinary Share on the date of such grant.</w:t>
      </w:r>
    </w:p>
    <w:p>
      <w:pPr>
        <w:spacing w:after="0" w:line="83" w:lineRule="exact"/>
        <w:rPr>
          <w:rFonts w:ascii="Times New Roman" w:cs="Times New Roman" w:eastAsia="Times New Roman" w:hAnsi="Times New Roman"/>
          <w:sz w:val="18"/>
          <w:szCs w:val="18"/>
          <w:color w:val="auto"/>
        </w:rPr>
      </w:pPr>
    </w:p>
    <w:p>
      <w:pPr>
        <w:jc w:val="both"/>
        <w:ind w:left="4" w:right="120" w:firstLine="987"/>
        <w:spacing w:after="0" w:line="272" w:lineRule="auto"/>
        <w:tabs>
          <w:tab w:leader="none" w:pos="1250"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this Section 5.3 or in Section 5.3(d) of the Disclosure Letter, (i) there are no allotted or issued options, warrants, rights (including conversion or preemptive rights and rights of first refusal or similar rights) or agreements, orally or in writing, to purchase or acquire from the Company any shares of Company Capital Stock, or any securities convertible into or exchangeable for shares of Company Capital Stock,</w:t>
      </w:r>
    </w:p>
    <w:p>
      <w:pPr>
        <w:spacing w:after="0" w:line="1" w:lineRule="exact"/>
        <w:rPr>
          <w:rFonts w:ascii="Times New Roman" w:cs="Times New Roman" w:eastAsia="Times New Roman" w:hAnsi="Times New Roman"/>
          <w:sz w:val="17"/>
          <w:szCs w:val="17"/>
          <w:color w:val="auto"/>
        </w:rPr>
      </w:pPr>
    </w:p>
    <w:p>
      <w:pPr>
        <w:ind w:left="4" w:right="240" w:hanging="4"/>
        <w:spacing w:after="0" w:line="252" w:lineRule="auto"/>
        <w:tabs>
          <w:tab w:leader="none" w:pos="26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obligation (contingent or otherwise) to purchase, redeem or otherwise acquire any shares of Capital Stock, or other equity or voting interest in, the Company or any other Person or to pay any dividend or to make any other distribution in respect of its Capital Stock, (iii) the Company has not at any time purchased, redeemed or repaid any of the Company Capital Stock or otherwise agreed to reduce any class of its issued share capital or carried out any transaction having the effect of a reduction of capital, and (iv) there are no allotted, issued or authorized stock appreciation rights, phantom stock awards or other rights that are linked in any way to the price of the Company Capital Stock or the value of the Company or any part thereof.</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987"/>
        <w:spacing w:after="0" w:line="261" w:lineRule="auto"/>
        <w:tabs>
          <w:tab w:leader="none" w:pos="12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C/C Transaction Agreements, the consummation of the transactions contemplated thereunder and the compliance by the Company with the provisions of the C/C Transaction Agreements, do not and will not conflict with, or result in any violation or breach of, or default (with or without notice or lapse of time or both) under, or give rise to a right of, or result in, termination, cancellation or acceleration of any obligation or to a loss of a benefit under, or result in the creation of any Lien other than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69" w:right="479" w:bottom="1440" w:gutter="0" w:footer="0" w:header="0"/>
        </w:sectPr>
      </w:pPr>
    </w:p>
    <w:bookmarkStart w:id="592" w:name="page593"/>
    <w:bookmarkEnd w:id="592"/>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Liens in or upon any of the properties or assets of the Company, or give rise to any increased, additional, accelerated or guaranteed rights or entitlements under, any provision of (i) the Constitutive Documents of the Company, (ii) any Contract to which the Company is a party or bound by or by which its assets or properties are bound or under which the Company has rights or benefits or (iii) any Law or Judgment applicable to the Company or its assets or properties, other than, in the case of clauses (ii) and (iii) above, any such items that, individually or in the aggregate, would not reasonably be expected to be material to the Company.</w:t>
      </w:r>
    </w:p>
    <w:p>
      <w:pPr>
        <w:spacing w:after="0" w:line="75" w:lineRule="exact"/>
        <w:rPr>
          <w:sz w:val="20"/>
          <w:szCs w:val="20"/>
          <w:color w:val="auto"/>
        </w:rPr>
      </w:pPr>
    </w:p>
    <w:p>
      <w:pPr>
        <w:ind w:right="40" w:firstLine="987"/>
        <w:spacing w:after="0" w:line="261" w:lineRule="auto"/>
        <w:tabs>
          <w:tab w:leader="none" w:pos="124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qualification, order or authorization of, registration, declaration or filing with, or notice to, any Governmental Entity is necessary or required by or with respect to the Company in connection with the execution and delivery by the Company of the C/C Transaction Agreements, the consummation by the Company of the transactions contemplated by the C/C Transaction Agreements or the compliance by the Company with the provisions of the C/C Transaction Agreements.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6" w:lineRule="auto"/>
        <w:tabs>
          <w:tab w:leader="none" w:pos="12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at all times conducted its business and affairs in all material respects in accordance and compliance with all Laws and Judgments of any Governmental Entity applicable to it or to the conduct by the Company of its business, or the ownership or use of any of its assets and properties. To the knowledge of the Company, there is no order, decree or judgment of any Governmental Entity or authority outstanding or pending against the Company (or any person for whose acts the Company is vicariously liable) and the Company has not received a written or oral notice or other communication alleging a possible violation by the Company of any applicable Law or Judgment of any Governmental Entity applicable to its businesses or operations.</w:t>
      </w:r>
    </w:p>
    <w:p>
      <w:pPr>
        <w:spacing w:after="0" w:line="7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validly holds and has in full force and effect all material Permits necessary for it to own, lease or operate its assets and properties and to carry on its businesses as now conducted, and there has occurred no material violation of, or default (with or without notice or lapse of time or both) under, or event giving to any Governmental Entity any right of termination, amendment or cancellation of, any such Permit. The Company has complied in all material respects with the terms and conditions of all Permits issued to or held by the Company, and such Permits will not be subject to suspension, modification, revocation or nonrenewal as a result of the execution and delivery of the C/C Transaction Agreements or the consummation of the transactions contemplated hereunder.</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Section 5.6 of the Disclosure Letter sets forth the unaudited balance sheet of the Company as of 31 December 2020 (such date, the “</w:t>
      </w:r>
      <w:r>
        <w:rPr>
          <w:rFonts w:ascii="Times New Roman" w:cs="Times New Roman" w:eastAsia="Times New Roman" w:hAnsi="Times New Roman"/>
          <w:sz w:val="18"/>
          <w:szCs w:val="18"/>
          <w:i w:val="1"/>
          <w:iCs w:val="1"/>
          <w:color w:val="auto"/>
        </w:rPr>
        <w:t>Most Recent Balance Sheet Date</w:t>
      </w:r>
      <w:r>
        <w:rPr>
          <w:rFonts w:ascii="Times New Roman" w:cs="Times New Roman" w:eastAsia="Times New Roman" w:hAnsi="Times New Roman"/>
          <w:sz w:val="18"/>
          <w:szCs w:val="18"/>
          <w:color w:val="auto"/>
        </w:rPr>
        <w:t>”), together with the related unaudited statements of income, profit and loss and changes in shareholders equity for the fiscal year then ended, together with the footnotes thereto (collectively, the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(a) have been prepared from the books and records of the Company and are consistent with the books and records of the Company in all material respects and (b) present fairly, in all material respects, the financial condition, results of operations, shareholders’ equity and cash flows of the Company as of the respective dates thereof and for the periods referred to therein except that the unaudited financial statements do not contain footnotes and are subject to normal year-end adjustments.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9" w:right="459" w:bottom="1440" w:gutter="0" w:footer="0" w:header="0"/>
        </w:sectPr>
      </w:pPr>
    </w:p>
    <w:bookmarkStart w:id="593" w:name="page594"/>
    <w:bookmarkEnd w:id="593"/>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5.7. </w:t>
      </w:r>
      <w:r>
        <w:rPr>
          <w:rFonts w:ascii="Times New Roman" w:cs="Times New Roman" w:eastAsia="Times New Roman" w:hAnsi="Times New Roman"/>
          <w:sz w:val="18"/>
          <w:szCs w:val="18"/>
          <w:u w:val="single" w:color="auto"/>
          <w:color w:val="auto"/>
        </w:rPr>
        <w:t>Absence of Changes or Events</w:t>
      </w:r>
      <w:r>
        <w:rPr>
          <w:rFonts w:ascii="Times New Roman" w:cs="Times New Roman" w:eastAsia="Times New Roman" w:hAnsi="Times New Roman"/>
          <w:sz w:val="18"/>
          <w:szCs w:val="18"/>
          <w:color w:val="auto"/>
        </w:rPr>
        <w:t>. Since the Most Recent Balance Sheet Date and through the Relevant Time, except as set forth in Section 5.7 of the Disclosure Letter, (a) the Company has conducted its businesses only in the Ordinary Course of Business, (b) there has occurred no Material Adverse Change, nor any change, effect, event, occurrence, state of facts or development that, individually or in the aggregate, would reasonably be expected to result in a Material Adverse Change.</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Except (a) as reflected or reserved against in the Most Recent Balance Sheet, (b) otherwise incurred by the Company in the Ordinary Course of Business since the Most Recent Balance Sheet Date or (c) Liabilities incurred in connection with the C/C Transaction Agreements and the transactions contemplated thereby, the Company has no Liabilities other than (i) Liabilities under the executory portion of any Contracts of the Company (other than obligations due to breaches or non-performance under such Contracts) and (ii) Liabilities which are not required by GAAP to be reflected on a balance sheet or disclosed in the notes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66" w:lineRule="auto"/>
        <w:tabs>
          <w:tab w:leader="none" w:pos="123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true and lawful owner and has good and valid title to all assets (tangible or intangible) reflected on the Most Recent Balance Sheet or thereafter acquired by the Company, other than those sold or otherwise disposed of for fair value or consumed in the Ordinary Course of Business since the Most Recent Balance Sheet Date, in each case, free and clear of all Liens, other than Permitted Liens.</w:t>
      </w:r>
    </w:p>
    <w:p>
      <w:pPr>
        <w:spacing w:after="0" w:line="67" w:lineRule="exact"/>
        <w:rPr>
          <w:rFonts w:ascii="Times New Roman" w:cs="Times New Roman" w:eastAsia="Times New Roman" w:hAnsi="Times New Roman"/>
          <w:sz w:val="18"/>
          <w:szCs w:val="18"/>
          <w:color w:val="auto"/>
        </w:rPr>
      </w:pPr>
    </w:p>
    <w:p>
      <w:pPr>
        <w:ind w:right="1180" w:firstLine="987"/>
        <w:spacing w:after="0" w:line="282" w:lineRule="auto"/>
        <w:tabs>
          <w:tab w:leader="none" w:pos="124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rights and assets of the Company are sufficient for the Company to conduct the research, development, commercialization and exploitation of the products and product candidates of the Company as currently conducted.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87"/>
        <w:spacing w:after="0" w:line="282" w:lineRule="auto"/>
        <w:tabs>
          <w:tab w:leader="none" w:pos="123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and has never owned, any title to any land, buildings, structures, easements or other rights and interests appurtenant thereto (“</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and has never been party to, any leases of Real Property.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60" w:firstLine="987"/>
        <w:spacing w:after="0" w:line="266" w:lineRule="auto"/>
        <w:tabs>
          <w:tab w:leader="none" w:pos="123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5.11(a) of the Disclosure Letter lists, as of the Relevant Time , the following Contracts that are in effect and to which the Company is a party or to which it, or any of its assets and properties, is bound (each such Contract and each Contract required to be listed in Section 5.11(a) of the Disclosure Letter, whether or not set forth in such section of the Disclosure Letter, a “</w:t>
      </w:r>
      <w:r>
        <w:rPr>
          <w:rFonts w:ascii="Times New Roman" w:cs="Times New Roman" w:eastAsia="Times New Roman" w:hAnsi="Times New Roman"/>
          <w:sz w:val="18"/>
          <w:szCs w:val="18"/>
          <w:i w:val="1"/>
          <w:iCs w:val="1"/>
          <w:color w:val="auto"/>
        </w:rPr>
        <w:t>Material Contract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07"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consulting Contracts with current and former Company Personnel, other than employment offer letters issued to Company Personnel on the Company’s standard form made available to Buyer without material deviation;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69" w:right="499" w:bottom="1440" w:gutter="0" w:footer="0" w:header="0"/>
        </w:sectPr>
      </w:pPr>
    </w:p>
    <w:bookmarkStart w:id="594" w:name="page595"/>
    <w:bookmarkEnd w:id="594"/>
    <w:p>
      <w:pPr>
        <w:ind w:left="1640" w:hanging="272"/>
        <w:spacing w:after="0"/>
        <w:tabs>
          <w:tab w:leader="none" w:pos="164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Contracts that limit the freedom of the Company or any Affiliate to compete in any line of business or geographic area;</w:t>
      </w:r>
    </w:p>
    <w:p>
      <w:pPr>
        <w:spacing w:after="0" w:line="117" w:lineRule="exact"/>
        <w:rPr>
          <w:rFonts w:ascii="Times New Roman" w:cs="Times New Roman" w:eastAsia="Times New Roman" w:hAnsi="Times New Roman"/>
          <w:sz w:val="18"/>
          <w:szCs w:val="18"/>
          <w:color w:val="auto"/>
        </w:rPr>
      </w:pPr>
    </w:p>
    <w:p>
      <w:pPr>
        <w:ind w:left="420" w:firstLine="948"/>
        <w:spacing w:after="0" w:line="282" w:lineRule="auto"/>
        <w:tabs>
          <w:tab w:leader="none" w:pos="1687"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or involving (A) the Seller or any Previous Seller or any Affiliate (other than the Company) of the Company or of the Seller or any Previous Seller or (B) any former holder of Company Capital Stock or any Affiliate (other than the Company) thereof;</w:t>
      </w:r>
    </w:p>
    <w:p>
      <w:pPr>
        <w:spacing w:after="0" w:line="53" w:lineRule="exact"/>
        <w:rPr>
          <w:rFonts w:ascii="Times New Roman" w:cs="Times New Roman" w:eastAsia="Times New Roman" w:hAnsi="Times New Roman"/>
          <w:sz w:val="18"/>
          <w:szCs w:val="18"/>
          <w:color w:val="auto"/>
        </w:rPr>
      </w:pPr>
    </w:p>
    <w:p>
      <w:pPr>
        <w:ind w:left="420" w:right="140" w:firstLine="948"/>
        <w:spacing w:after="0" w:line="258" w:lineRule="auto"/>
        <w:tabs>
          <w:tab w:leader="none" w:pos="1677"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the purchase or sale of products or the furnishing or receipt of services (other than employment) (A) calling for performance over a period of more than one year, (B) requiring or otherwise involving payment by or to the Company of more than an aggregate of US$[***], (C) in which the Company has granted “most favored nation” pricing provisions or marketing or distribution rights relating to any products or territory or (D) in which the Company has agreed to purchase a minimum quantity of goods or services or has agreed to purchase goods or services exclusively from a certain party;</w:t>
      </w:r>
    </w:p>
    <w:p>
      <w:pPr>
        <w:spacing w:after="0" w:line="75"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any joint venture, partnership, joint product development, strategic alliance or co-marketing arrangement;</w:t>
      </w:r>
    </w:p>
    <w:p>
      <w:pPr>
        <w:spacing w:after="0" w:line="117" w:lineRule="exact"/>
        <w:rPr>
          <w:rFonts w:ascii="Times New Roman" w:cs="Times New Roman" w:eastAsia="Times New Roman" w:hAnsi="Times New Roman"/>
          <w:sz w:val="18"/>
          <w:szCs w:val="18"/>
          <w:color w:val="auto"/>
        </w:rPr>
      </w:pPr>
    </w:p>
    <w:p>
      <w:pPr>
        <w:ind w:left="420" w:right="220" w:firstLine="948"/>
        <w:spacing w:after="0" w:line="282" w:lineRule="auto"/>
        <w:tabs>
          <w:tab w:leader="none" w:pos="1677"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 Company has borrowed (or may borrow) any money from, or issued (or may issue) any note, bond, debenture or other evidence of Indebtedness to, any Person;</w:t>
      </w:r>
    </w:p>
    <w:p>
      <w:pPr>
        <w:spacing w:after="0" w:line="53" w:lineRule="exact"/>
        <w:rPr>
          <w:rFonts w:ascii="Times New Roman" w:cs="Times New Roman" w:eastAsia="Times New Roman" w:hAnsi="Times New Roman"/>
          <w:sz w:val="18"/>
          <w:szCs w:val="18"/>
          <w:color w:val="auto"/>
        </w:rPr>
      </w:pPr>
    </w:p>
    <w:p>
      <w:pPr>
        <w:ind w:left="1720" w:hanging="352"/>
        <w:spacing w:after="0"/>
        <w:tabs>
          <w:tab w:leader="none" w:pos="172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involving any mortgage or other Lien other than Permitted Liens upon any real property or other assets;</w:t>
      </w:r>
    </w:p>
    <w:p>
      <w:pPr>
        <w:spacing w:after="0" w:line="117" w:lineRule="exact"/>
        <w:rPr>
          <w:rFonts w:ascii="Times New Roman" w:cs="Times New Roman" w:eastAsia="Times New Roman" w:hAnsi="Times New Roman"/>
          <w:sz w:val="18"/>
          <w:szCs w:val="18"/>
          <w:color w:val="auto"/>
        </w:rPr>
      </w:pPr>
    </w:p>
    <w:p>
      <w:pPr>
        <w:ind w:left="1780" w:hanging="412"/>
        <w:spacing w:after="0"/>
        <w:tabs>
          <w:tab w:leader="none" w:pos="178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involving any resolution or settlement of any Action, investigation or other dispute;</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engagement letter or similar Contract with any broker, finder or investment banker;</w:t>
      </w:r>
    </w:p>
    <w:p>
      <w:pPr>
        <w:spacing w:after="0" w:line="117"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listed in Section 5.12(b)(i) of the Disclosure Letter; and</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Contracts involving future payments in excess of US$50,000 and not entered into in the Ordinary Course of Business.</w:t>
      </w:r>
    </w:p>
    <w:p>
      <w:pPr>
        <w:spacing w:after="0" w:line="117" w:lineRule="exact"/>
        <w:rPr>
          <w:rFonts w:ascii="Times New Roman" w:cs="Times New Roman" w:eastAsia="Times New Roman" w:hAnsi="Times New Roman"/>
          <w:sz w:val="18"/>
          <w:szCs w:val="18"/>
          <w:color w:val="auto"/>
        </w:rPr>
      </w:pPr>
    </w:p>
    <w:p>
      <w:pPr>
        <w:ind w:left="-20" w:right="160" w:firstLine="987"/>
        <w:spacing w:after="0" w:line="255" w:lineRule="auto"/>
        <w:tabs>
          <w:tab w:leader="none" w:pos="122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in full force and effect, and is valid and binding and enforceable in accordance with its terms against the Company and, to the Company’s knowledge, the other parties thereto, subject to applicable bankruptcy, insolvency, reorganization, fraudulent transfer, moratorium or similar Laws affecting creditors’ rights generally and general principles of equity, and has been negotiated in good faith on an “arm’s length” transaction basis. A true, correct and complete copy of each written Material Contract and a true, correct and complete summary of each oral Material Contract have been made available to Buyer. There is no material violation, breach (including anticipatory breach) or default under any Material Contract by the Company or, to the knowledge of the Company, by any other party thereto, and no event has occurred or condition exists that with the lapse of time or the giving of notice or both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60" w:top="269" w:right="459" w:bottom="1440" w:gutter="0" w:footer="0" w:header="0"/>
        </w:sectPr>
      </w:pPr>
    </w:p>
    <w:bookmarkStart w:id="595" w:name="page596"/>
    <w:bookmarkEnd w:id="595"/>
    <w:p>
      <w:pPr>
        <w:jc w:val="both"/>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constitute a default thereunder by the Company or, to the knowledge of the Company, any other party thereto, and the Company has not received or given notice of any default or claimed or purported or alleged default or state of facts which, with notice or lapse of time or both, would constitute a default on the part of any party in the performance or payment of any Material Contract. No notice, waiver, consent or approval is required (or the lack of which would give rise to a right of termination, cancellation or acceleration of, or entitle any party to accelerate, whether after the giving of notice or lapse of time or both, any obligation under the Material Contracts) under or relating to any Material Contract in connection with the execution, delivery and performance of the C/C Transaction Agreements or the consummation of the transactions contemplated thereby.</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Intellectual Property is either solely and exclusively owned by the Company free and clear of all Liens or validly licensed to the Company. Without limiting the generality of the foregoing, except as set forth in Section 5.12(a) of the Disclosure Letter: (i) no founder of the Company and, to the knowledge of the Company, no current or former Company Personnel has any claim, license, right (whether or not currently exercisable) or interest in or to any Company Intellectual Property that has not been validly and effectively assigned to the Company except, in the case of contractors, for Company Intellectual Property to which the Company has been granted an irrevocable perpetual license by such contractors and</w:t>
      </w:r>
    </w:p>
    <w:p>
      <w:pPr>
        <w:spacing w:after="0" w:line="3" w:lineRule="exact"/>
        <w:rPr>
          <w:rFonts w:ascii="Times New Roman" w:cs="Times New Roman" w:eastAsia="Times New Roman" w:hAnsi="Times New Roman"/>
          <w:sz w:val="18"/>
          <w:szCs w:val="18"/>
          <w:color w:val="auto"/>
        </w:rPr>
      </w:pPr>
    </w:p>
    <w:p>
      <w:pPr>
        <w:ind w:left="4" w:right="160" w:hanging="4"/>
        <w:spacing w:after="0" w:line="255" w:lineRule="auto"/>
        <w:tabs>
          <w:tab w:leader="none" w:pos="26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Company Personnel are in breach of any Contract with any former employer or other Person concerning Intellectual Property or confidentiality, where the cause or nature of the breach arises out of the performance of any services on behalf of the Company related to the development of any Company Intellectual Property.</w:t>
      </w:r>
    </w:p>
    <w:p>
      <w:pPr>
        <w:spacing w:after="0" w:line="77"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5.12(b)(i) of the Disclosure Letter sets forth, as of the Relevant Time , a true and accurate list of all Contracts relating to any right in, to or under any Company Intellectual Property (including all licenses, options, settlement agreements, coexistence agreements, consent agreements, covenants not to sue and similar rights and immunities, assignments and security interests with respect to Company Intellectual Property) that have been granted to the Company (other than non-exclusive “shrink wrap” or “clickwrap” software licenses for Standard Software). Except as identified on Section 5.12(b)(ii) of the Disclosure Letter, the Company is not a party to or obligated under any Contract, and to Company’s knowledge is not otherwise obligated, to make payments or provide other consideration (in any form, including royalties, milestone payments, and other contingent payments) with respect to any exercise of rights by the Company in, to or under any Company Intellectual Property (other than salaries payable to employees, fees payable to consultants and independent contractors not contingent on or related to use of their work product, fees payable in respect of non-exclusive “shrink wrap” or “clickwrap” software licenses for Standard Software). All monies currently due and payable in connection with such Contracts or other obligations set forth in Section 5.12(b)(ii) of the Disclosure Letter, if any, have been paid in a timely manner.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69" w:right="439" w:bottom="1440" w:gutter="0" w:footer="0" w:header="0"/>
        </w:sectPr>
      </w:pPr>
    </w:p>
    <w:bookmarkStart w:id="596" w:name="page597"/>
    <w:bookmarkEnd w:id="596"/>
    <w:p>
      <w:pPr>
        <w:ind w:right="60" w:firstLine="987"/>
        <w:spacing w:after="0" w:line="254" w:lineRule="auto"/>
        <w:tabs>
          <w:tab w:leader="none" w:pos="123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5.12(c) of the Disclosure Letter sets forth, as of the Relevant Time , a complete and accurate list of all Registered Company IP, indicating for each item (as applicable): (i) all current assignees and owners, (ii) all registration numbers, issuance numbers, grant numbers, serial numbers and application numbers, (iii) all filing, registration, issuance, and grant dates, (iv) all jurisdictions in which such Registered Company IP has been or is registered, granted, issued or in which registrations, grants or issuances have been applied for (and in the case of domain names, the registrar and registrant of such domain names), and (v) all filing, maintenance and other deadlines occurring within 120 days of the Relevant Time .</w:t>
      </w:r>
    </w:p>
    <w:p>
      <w:pPr>
        <w:spacing w:after="0" w:line="3" w:lineRule="exact"/>
        <w:rPr>
          <w:rFonts w:ascii="Times New Roman" w:cs="Times New Roman" w:eastAsia="Times New Roman" w:hAnsi="Times New Roman"/>
          <w:sz w:val="18"/>
          <w:szCs w:val="18"/>
          <w:color w:val="auto"/>
        </w:rPr>
      </w:pPr>
    </w:p>
    <w:p>
      <w:pPr>
        <w:ind w:righ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5.12(c) of the Disclosure Letter additionally sets forth, as of the Relevant Time , an accurate and complete list of all Company Intellectual Property for which an application for registration, filing, certification, grant or issuance is in preparation by or in the name of the Company as of the Relevant Time</w:t>
      </w:r>
    </w:p>
    <w:p>
      <w:pPr>
        <w:spacing w:after="0" w:line="77"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patent and patent application listed in Section 5.12(c) of the Disclosure Letter properly identifies all inventors thereof, (ii) each inventor of each such patent or patent application has executed a valid and enforceable written agreement assigning all of such inventor’s rights, title, and interests in and to such patent or patent application (and the inventions and discoveries claimed or otherwise disclosed therein) to the Company or applicable licensor of the Company and all such assignments have been timely and properly filed with the appropriate Governmental Entity, and (iii) to the Company’s knowledge, the compliance by each such inventor with each such written agreement does not conflict with any of such inventor’s obligations to third Persons.</w:t>
      </w:r>
    </w:p>
    <w:p>
      <w:pPr>
        <w:spacing w:after="0" w:line="79" w:lineRule="exact"/>
        <w:rPr>
          <w:rFonts w:ascii="Times New Roman" w:cs="Times New Roman" w:eastAsia="Times New Roman" w:hAnsi="Times New Roman"/>
          <w:sz w:val="18"/>
          <w:szCs w:val="18"/>
          <w:color w:val="auto"/>
        </w:rPr>
      </w:pPr>
    </w:p>
    <w:p>
      <w:pPr>
        <w:ind w:right="400" w:firstLine="987"/>
        <w:spacing w:after="0" w:line="312" w:lineRule="auto"/>
        <w:tabs>
          <w:tab w:leader="none" w:pos="1236"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Registered Company IP, all filing, issuance, extension, renewal, and maintenance fees and other fees have been timely paid, and, with respect to all material Registered Company IP, all filings to date have been timely filed (taking into account extensions).</w:t>
      </w:r>
    </w:p>
    <w:p>
      <w:pPr>
        <w:spacing w:after="0" w:line="31" w:lineRule="exact"/>
        <w:rPr>
          <w:rFonts w:ascii="Times New Roman" w:cs="Times New Roman" w:eastAsia="Times New Roman" w:hAnsi="Times New Roman"/>
          <w:sz w:val="17"/>
          <w:szCs w:val="17"/>
          <w:color w:val="auto"/>
        </w:rPr>
      </w:pPr>
    </w:p>
    <w:p>
      <w:pPr>
        <w:ind w:right="160" w:firstLine="987"/>
        <w:spacing w:after="0" w:line="254" w:lineRule="auto"/>
        <w:tabs>
          <w:tab w:leader="none" w:pos="121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Registered Company IP is (i) subsisting in all applicable jurisdictions where such Registered Company IP Rights have been registered, filed, certified, granted or issued and (ii) to the Company’s knowledge, valid and enforceable. To the Company’s knowledge, there are no facts or circumstances that would reasonably be likely to provide a basis for an abandonment, invalidity, unenforceability or inventorship claim by a third Person with respect to the Registered Company IP. None of the Registered Company IP has expired, lapsed, been abandoned or forfeited, or been declared invalid or unenforceable, in whole or in part, by any Governmental Entity. No Registered Company IP is subject to any pending or to the knowledge of the Company threatened interference, inventorship dispute, reissue, reexamination, opposition, concurrent use, cancellation, invalidity,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post-grant or other similar proceeding. None of the Company Intellectual Property is subject to any outstanding Judgment,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or other disposition of any dispute where the Company is a party.</w:t>
      </w:r>
    </w:p>
    <w:p>
      <w:pPr>
        <w:spacing w:after="0" w:line="83"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third Person is or has been Infringing any Company Intellectual Property. No claims, complaints, suits, or proceedings regarding any matter described in the preceding sentence have been asserted in writing or threatened against any Person by the Company. The Company has taken all reasonable measures commensurate with the age, size and resources of the Company to maintain, protect, and preserve the security, confidentiality, value and ownership of all confidential information included in the Company Intellectual Property and all other non-public Company Intellectual Property, including Company Intellectual Property that is or is intended to be a trade secret (“</w:t>
      </w:r>
      <w:r>
        <w:rPr>
          <w:rFonts w:ascii="Times New Roman" w:cs="Times New Roman" w:eastAsia="Times New Roman" w:hAnsi="Times New Roman"/>
          <w:sz w:val="18"/>
          <w:szCs w:val="18"/>
          <w:i w:val="1"/>
          <w:iCs w:val="1"/>
          <w:color w:val="auto"/>
        </w:rPr>
        <w:t>Confidential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including by requiring all current and former employees and consultants, and any other Person who has had Company authorized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to any Confidential Company Information to execute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9" w:right="459" w:bottom="1440" w:gutter="0" w:footer="0" w:header="0"/>
        </w:sectPr>
      </w:pPr>
    </w:p>
    <w:bookmarkStart w:id="597" w:name="page598"/>
    <w:bookmarkEnd w:id="597"/>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to the Company a written Contract that includes customary confidentiality and restriction on use terms (collectively,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To the Company’s knowledge, no current or former employees or consultants are, and no other Person is, in violation in any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such Confidentiality Agreements. The Company has obtained from (i) each of its current Company Personnel and (ii) all former Company Personnel or other Persons who are or were involved in, or who have participated in or contributed to, the conception, creation, development, reduction to practice, improvement to or modification of any of the Company Intellectual Property, a written Contract that, to the extent is legally possible, assigns solely and exclusively to the Company all rights, title and interests in and to any and all Intellectual Property arising out of or relating to such Person’s activities with respect to the Company’s business. To the Company’s knowledge, no Company Personnel are, and no other Person is, in violation in any material respect of any such invention assignment agreements.</w:t>
      </w:r>
    </w:p>
    <w:p>
      <w:pPr>
        <w:spacing w:after="0" w:line="79" w:lineRule="exact"/>
        <w:rPr>
          <w:sz w:val="20"/>
          <w:szCs w:val="20"/>
          <w:color w:val="auto"/>
        </w:rPr>
      </w:pPr>
    </w:p>
    <w:p>
      <w:pPr>
        <w:ind w:left="4" w:right="40" w:firstLine="987"/>
        <w:spacing w:after="0" w:line="254" w:lineRule="auto"/>
        <w:tabs>
          <w:tab w:leader="none" w:pos="125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conduct of the business of the Company as currently conducted and as currently proposed to be conducted by the Company, has not Infringed, does not infringe, and will not Infringe any Intellectual Property of any third Person. To the knowledge of the Company, the Company has not received any claim, notice, “cease and desist” letter, offer, invitation to obtain a license, threat or similar written correspondence from any Person (i) alleging that the conduct of the business of the Company as currently conducted and as currently proposed to be conducted by the Company, and the practice of the Company Intellectual Property in connection therewith, Infringes or will Infringe the Intellectual Property of any Person or (ii) challenging the inventorship, ownership, validity, enforceability, priority, scope, use, right to use, or registrability, right to register, right or use, transferability, or ownership of any of the Company Intellectual Property and, to the Company’s knowledge, there are no grounds for the same.</w:t>
      </w:r>
    </w:p>
    <w:p>
      <w:pPr>
        <w:spacing w:after="0" w:line="83" w:lineRule="exact"/>
        <w:rPr>
          <w:rFonts w:ascii="Times New Roman" w:cs="Times New Roman" w:eastAsia="Times New Roman" w:hAnsi="Times New Roman"/>
          <w:sz w:val="18"/>
          <w:szCs w:val="18"/>
          <w:color w:val="auto"/>
        </w:rPr>
      </w:pPr>
    </w:p>
    <w:p>
      <w:pPr>
        <w:ind w:left="4" w:firstLine="987"/>
        <w:spacing w:after="0" w:line="253" w:lineRule="auto"/>
        <w:tabs>
          <w:tab w:leader="none" w:pos="12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commercially reasonable steps commensurate with the age, size and resources of the Company to ensure the continued operation of the Software and Business Data material to the operation of the Company’s business as currently conducted, as well as all of its computers and other information technology infrastructure and assets material to the operation of the Company’s business (collectively, the “</w:t>
      </w:r>
      <w:r>
        <w:rPr>
          <w:rFonts w:ascii="Times New Roman" w:cs="Times New Roman" w:eastAsia="Times New Roman" w:hAnsi="Times New Roman"/>
          <w:sz w:val="18"/>
          <w:szCs w:val="18"/>
          <w:i w:val="1"/>
          <w:iCs w:val="1"/>
          <w:color w:val="auto"/>
        </w:rPr>
        <w:t>IT Assets</w:t>
      </w:r>
      <w:r>
        <w:rPr>
          <w:rFonts w:ascii="Times New Roman" w:cs="Times New Roman" w:eastAsia="Times New Roman" w:hAnsi="Times New Roman"/>
          <w:sz w:val="18"/>
          <w:szCs w:val="18"/>
          <w:color w:val="auto"/>
        </w:rPr>
        <w:t>”), and to protect the security and confidentiality of its IT Assets and the information and records stored on or accessed or transmitted using the IT Assets. The IT Assets of the Company operate and perform in all material respects as is necessary and sufficient for the conduct of the business of the Company as currently conducted. To the Company’s knowledge, the material IT Assets are free from malicious code and do not contain any bugs, errors, vulnerabilities or problems that, in each case, would be expected to materially adversely affect the operation or use of any such material IT Assets.</w:t>
      </w:r>
    </w:p>
    <w:p>
      <w:pPr>
        <w:spacing w:after="0" w:line="2" w:lineRule="exact"/>
        <w:rPr>
          <w:rFonts w:ascii="Times New Roman" w:cs="Times New Roman" w:eastAsia="Times New Roman" w:hAnsi="Times New Roman"/>
          <w:sz w:val="18"/>
          <w:szCs w:val="18"/>
          <w:color w:val="auto"/>
        </w:rPr>
      </w:pPr>
    </w:p>
    <w:p>
      <w:pPr>
        <w:ind w:left="4" w:right="20" w:hanging="4"/>
        <w:spacing w:after="0" w:line="252" w:lineRule="auto"/>
        <w:tabs>
          <w:tab w:leader="none" w:pos="259"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5.12(i)(1) of the Disclosure Letter, no open source or public library code was used in the development or modification of any Software owned by the Company. (2) No Company Intellectual Property is, or shall become, subject to any obligation to be licensed, conveyed, distributed or made available to a third party (and the Company is not, and shall not become, otherwise under any duty or otherwise legally compelled to license, convey, distribute or otherwise make available any Company Intellectual Property) under the terms of any existing open source license (whether in source code or object code form) as a result of any action or omission of the Company or, to the Company’s knowledge, any action or omission of any third party (in each case, including without limitation, disclosing or otherwise making available any of the Company Intellectual Property to a third party). The Company has implemented commercially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67" w:right="439" w:bottom="1440" w:gutter="0" w:footer="0" w:header="0"/>
        </w:sectPr>
      </w:pPr>
    </w:p>
    <w:bookmarkStart w:id="598" w:name="page599"/>
    <w:bookmarkEnd w:id="59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backups and security measures, commensurate with the age, size and resources of the Company, to duplicate, store, and protect its material information that is stored in electronic form or media. Information related to the Company’s business is not recorded, stored, maintained, operated, or otherwise wholly or partly dependent upon or held by any means which will not be available to the Company or to Buyer after the Closing. Immediately following the Closing, the Business Data of the Company will have at least the same data, content, information and functionality as they do immediately prior to the Closing, subject to changes to the data, content and information in the databases made in the Ordinary Course of Business..</w:t>
      </w:r>
    </w:p>
    <w:p>
      <w:pPr>
        <w:spacing w:after="0" w:line="75" w:lineRule="exact"/>
        <w:rPr>
          <w:sz w:val="20"/>
          <w:szCs w:val="20"/>
          <w:color w:val="auto"/>
        </w:rPr>
      </w:pPr>
    </w:p>
    <w:p>
      <w:pPr>
        <w:ind w:right="280" w:firstLine="987"/>
        <w:spacing w:after="0" w:line="258" w:lineRule="auto"/>
        <w:tabs>
          <w:tab w:leader="none" w:pos="120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5.12(j) of the Disclosure Letter, no college, university or other educational or research institution or agency, Governmental Entity, or other organization which sponsored research and development conducted by the Company has any claim of right or license to, or ownership of, or other encumbrance upon the Company Intellectual Property. The Company has complied with any and all obligations applicable to it as a result of the use of funding, facilities, personnel or other resources of any college, university or other educational or research institution or agency, or other organization.</w:t>
      </w:r>
    </w:p>
    <w:p>
      <w:pPr>
        <w:spacing w:after="0" w:line="75"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appropriate data security policies, processes, and controls, all of which meet any requirements under applicable Law. The Company’s collection, receipt, sharing, processing, use, recording, storage, transfer, disclosure and disposal of Personal Data (including through the Company Intellectual Property) is, and has been, (i) compliant with all applicable privacy policies, terms of use and public statements of the Company (including as published on its websites), (ii) in compliance with Privacy Laws and (iii) consistent with the authorizations given by the relevant individual natural persons. There are no litigation, dispute or legal proceedings pending (or to the Company’ knowledge, threatened) and there has not been any litigation, dispute or legal proceedings in the past, against the Company alleging that the Company has failed to comply with any of the foregoing clauses (i) through (iii). There has been no, and no allegation of, loss, theft, misuse, unauthorized disclosure of, or unauthorized access to, any Business Data (including any Personal Data) held by or on behalf of the Company or otherwise under its control. No disclosure of any data breach or security breach of the IT Assets has been or should have been made by the Company under applicable Law or to any Governmental Entity. The Company has implemented and maintained measures sufficient to provide reasonable assurance that it complies with Privacy Laws.</w:t>
      </w:r>
    </w:p>
    <w:p>
      <w:pPr>
        <w:spacing w:after="0" w:line="83" w:lineRule="exact"/>
        <w:rPr>
          <w:rFonts w:ascii="Times New Roman" w:cs="Times New Roman" w:eastAsia="Times New Roman" w:hAnsi="Times New Roman"/>
          <w:sz w:val="18"/>
          <w:szCs w:val="18"/>
          <w:color w:val="auto"/>
        </w:rPr>
      </w:pPr>
    </w:p>
    <w:p>
      <w:pPr>
        <w:ind w:right="20" w:firstLine="987"/>
        <w:spacing w:after="0" w:line="253" w:lineRule="auto"/>
        <w:tabs>
          <w:tab w:leader="none" w:pos="120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Business Data (including all Personal Data) held by or on behalf of the Company, or otherwise under their control, the Company has taken the steps required and reasonably necessary to protect such Business Data (including all Personal Data) against loss and against unauthorized access, use, modification, disclosure or other misuse (including by the Company’ officers, employees, independent contractors and consultants), including implementing and maintaining administrative, physical, and technical measures commensurate with the age, size, business and resources of the Company to protect the confidentiality, integrity, availability, and security of Confidential Company Information and the IT Assets against unauthorized control, use, access, interruption, modification, or corruption related to the Company’s business and to ensure continued, uninterrupted, and error-free operation of the IT Assets. The Company has contractually obligated any Persons that Process Business Data (including all Personal Data) on its behalf to (i) comply with applicable Laws, (ii) take reasonable steps to protect and secure Business Data (including all Personal Data) from unauthorized access, acquisition, modification, or disclosure, and (iii) take reasonable measures to restrict Processing of Business Data (including all Personal Data) to purposes authorized or required pursuant to the agreement or contract with such Persons.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9" w:right="479" w:bottom="1440" w:gutter="0" w:footer="0" w:header="0"/>
        </w:sectPr>
      </w:pPr>
    </w:p>
    <w:bookmarkStart w:id="599" w:name="page600"/>
    <w:bookmarkEnd w:id="599"/>
    <w:p>
      <w:pPr>
        <w:ind w:left="4" w:right="360" w:firstLine="987"/>
        <w:spacing w:after="0" w:line="282" w:lineRule="auto"/>
        <w:tabs>
          <w:tab w:leader="none" w:pos="13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execution, delivery or performance of the C/C Transaction Agreements nor the transactions contemplated thereby will result in the Company being in breach of any applicable Privacy Laws or the privacy policies of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Anti-Corruption</w:t>
      </w:r>
    </w:p>
    <w:p>
      <w:pPr>
        <w:spacing w:after="0" w:line="117" w:lineRule="exact"/>
        <w:rPr>
          <w:sz w:val="20"/>
          <w:szCs w:val="20"/>
          <w:color w:val="auto"/>
        </w:rPr>
      </w:pPr>
    </w:p>
    <w:p>
      <w:pPr>
        <w:ind w:left="4" w:firstLine="987"/>
        <w:spacing w:after="0" w:line="253" w:lineRule="auto"/>
        <w:tabs>
          <w:tab w:leader="none" w:pos="124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to the knowledge of the Company, none of the past or present directors, officers, agents, employees, contractors or persons acting for or on behalf of the Company (in each case, in his/her/its capacity as such) have, directly or indirectly: (i) paid, promised to pay or offered to pay, or authorized the payment of, any contribution, gratuity, gift, commission, bribe, raft, rebate, pay-off, kickback or any other payment to any person, private or public, regardless of form and whether in money, property or services in relation to any activities of the Company (“</w:t>
      </w:r>
      <w:r>
        <w:rPr>
          <w:rFonts w:ascii="Times New Roman" w:cs="Times New Roman" w:eastAsia="Times New Roman" w:hAnsi="Times New Roman"/>
          <w:sz w:val="18"/>
          <w:szCs w:val="18"/>
          <w:i w:val="1"/>
          <w:iCs w:val="1"/>
          <w:color w:val="auto"/>
        </w:rPr>
        <w:t>Gratuity</w:t>
      </w:r>
      <w:r>
        <w:rPr>
          <w:rFonts w:ascii="Times New Roman" w:cs="Times New Roman" w:eastAsia="Times New Roman" w:hAnsi="Times New Roman"/>
          <w:sz w:val="18"/>
          <w:szCs w:val="18"/>
          <w:color w:val="auto"/>
        </w:rPr>
        <w:t>”) to: (A) seek to obtain favourable treatment in securing business; or (B) pay for favourable treatment for business secured which violates any applicable Law, or has entered into any agreement pursuant to which any such Gratuity may or shall at any time be paid; or (C) obtain special concessions or for special concessions already obtained, for or in respect of the Company; or (ii) offered or given anything of value to influence (or that could be construed as seeking to influence) the action of a public official, political party, party official, candidate for public office, or official of any public international organization, or threatened injury to any person, property or reputation in connection with the activities of the Company in relation to the matters set out in this Section 5.13(a).</w:t>
      </w:r>
    </w:p>
    <w:p>
      <w:pPr>
        <w:spacing w:after="0" w:line="8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is not dependent in any manner upon the making or receipt of any Gratuity.</w:t>
      </w:r>
    </w:p>
    <w:p>
      <w:pPr>
        <w:spacing w:after="0" w:line="117" w:lineRule="exact"/>
        <w:rPr>
          <w:rFonts w:ascii="Times New Roman" w:cs="Times New Roman" w:eastAsia="Times New Roman" w:hAnsi="Times New Roman"/>
          <w:sz w:val="18"/>
          <w:szCs w:val="18"/>
          <w:color w:val="auto"/>
        </w:rPr>
      </w:pPr>
    </w:p>
    <w:p>
      <w:pPr>
        <w:jc w:val="both"/>
        <w:ind w:left="4" w:right="40" w:firstLine="987"/>
        <w:spacing w:after="0" w:line="272" w:lineRule="auto"/>
        <w:tabs>
          <w:tab w:leader="none" w:pos="1240" w:val="left"/>
        </w:tabs>
        <w:numPr>
          <w:ilvl w:val="1"/>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and, to the knowledge of the Company, the past and present directors, officers, agents, employees, contractors or other persons acting for or on behalf of the Company (in each case, in his/her/its capacity as such) have, complied in all material respects with: (i) the Bribery Act 2010 (and all similar Laws in any jurisdiction outside the United Kingdom if and to the extent applicable to the Company or its operations);</w:t>
      </w:r>
    </w:p>
    <w:p>
      <w:pPr>
        <w:spacing w:after="0" w:line="1" w:lineRule="exact"/>
        <w:rPr>
          <w:rFonts w:ascii="Times New Roman" w:cs="Times New Roman" w:eastAsia="Times New Roman" w:hAnsi="Times New Roman"/>
          <w:sz w:val="17"/>
          <w:szCs w:val="17"/>
          <w:color w:val="auto"/>
        </w:rPr>
      </w:pPr>
    </w:p>
    <w:p>
      <w:pPr>
        <w:ind w:left="4" w:right="240" w:hanging="4"/>
        <w:spacing w:after="0" w:line="255" w:lineRule="auto"/>
        <w:tabs>
          <w:tab w:leader="none" w:pos="269"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Crime Act 2002 (and all similar anti-money laundering laws in any jurisdiction outside the United Kingdom if and to the extent applicable to the Company or its operations); (iii) the Company’s anti-bribery and corruption policy; and (iv) any relevant third party anti-bribery and corruption obligations pursuant to any contract with any third party.</w:t>
      </w:r>
    </w:p>
    <w:p>
      <w:pPr>
        <w:spacing w:after="0" w:line="77"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5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conducted or initiated any internal investigation or made a voluntary, directed or involuntary disclosure to any government entity or similar agency with respect to any alleged act or omission arising under, or relating to any non-compliance with, the Bribery Act 2010 or any anti-bribery, anti-corruption and anti-money laundering Laws by the Company or any directors, officers, agents, employees, contractors or other persons acting for or on behalf of the Company. The Company has not received any notice, request or citation for any actual or potential non-compliance with any anti-bribery, anti-corruption or anti-money laundering Laws.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9" w:right="459" w:bottom="1440" w:gutter="0" w:footer="0" w:header="0"/>
        </w:sectPr>
      </w:pPr>
    </w:p>
    <w:bookmarkStart w:id="600" w:name="page601"/>
    <w:bookmarkEnd w:id="600"/>
    <w:p>
      <w:pPr>
        <w:ind w:firstLine="987"/>
        <w:spacing w:after="0" w:line="282" w:lineRule="auto"/>
        <w:tabs>
          <w:tab w:leader="none" w:pos="123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officer, director, employee or contractor of the Company is a government or political official and no government or political official or government or political entity has any interest (whether directly or indirectly) in the Company.</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that is pending or, to the knowledge of the Company, threatened and, to the knowledge of the Company, no investigation is pending or threatened, against the Company (or any holders of Company Capital Stock or directors, officers, agents or employees of the Company, to the extent such Actions or investigations relate to the Company) or any assets or properties of the Company. There are no Judgments outstanding against the Company (or to the knowledge of the Company, any holders of Company Capital Stock or directors, officers, agents or employees of the Company, to the extent such Judgments relate to the Company) or any assets or properties of the Company. In the last five (5) years, there has not been any Action or, to the Company’s knowledge, investigation in respect of the Company that (a) resulted in a Judgment against or settlement by the Company (whether or not such Judgment or settlement was paid, in whole or in part, by an insurer of the Company or other third party), (b) resulted in any equitable relief or (c) relates to the transactions contemplated by the C/C Transaction Agreements. There is no Action or investigation pending by the Company, or which the Company intends to initiate, against any other Person. To the knowledge of the Company, there is no fact or circumstance that would reasonably be expected to serve as a basis for any Action or investigation against the Company.</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(after giving effect to any extensions of time in which to make such filings) all corporation Tax Returns and other material Tax Returns that it was required to file, and all such Tax Returns that the Company has filed were true, correct and complete in all material respects. The Company has paid on a timely basis all Taxes due and owing by it (whether or not shown to be due on any such Tax Returns). No penalties, fines, surcharges or interest with respect to such Taxes have been or will be incurred. All Taxes that the Company was required by any Tax Law to withhold or collect have been duly withheld or collected and, to the extent required, have been properly paid to the appropriate Taxing Authority. No claim has ever been made by a Taxing Authority in a jurisdiction where the Company does not file Tax Returns that the Company is or may be subject to taxation by, or required to file Tax Returns in, that jurisdiction.</w:t>
      </w:r>
    </w:p>
    <w:p>
      <w:pPr>
        <w:spacing w:after="0" w:line="80"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dispute, investigation, proceeding, claim, examination or audit relating to any Tax Return of the Company or any Liability for Taxes of the Company has been raised by any Taxing Authority, and no Tax dispute or litigation with respect to the Company is currently pending or in progress or, to the Company’s knowledge, threatened or contemplated. Since the Company’s formation, the Company has not received any written notice, proposal, assessment, injunction or written request for payment or deficiencies of Taxes from any Taxing Authority except for those requests for payments as reflected in the Tax Returns made available to Buyer.</w:t>
      </w:r>
    </w:p>
    <w:p>
      <w:pPr>
        <w:spacing w:after="0" w:line="75"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never been, a member of an affiliated group of corporations filing a consolidated federal income Tax Return (other than an affiliated group for which the common parent is the Company). The Company has no Liability for the Taxes of any Person under Treasury Regulations Section 1.1502-6 (or comparable provision of domestic or foreign Tax Law), as a transferee or successor, by contract, or otherwise.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69" w:right="479" w:bottom="1440" w:gutter="0" w:footer="0" w:header="0"/>
        </w:sectPr>
      </w:pPr>
    </w:p>
    <w:bookmarkStart w:id="601" w:name="page602"/>
    <w:bookmarkEnd w:id="601"/>
    <w:p>
      <w:pPr>
        <w:ind w:left="-40" w:right="740" w:firstLine="987"/>
        <w:spacing w:after="0" w:line="312" w:lineRule="auto"/>
        <w:tabs>
          <w:tab w:leader="none" w:pos="1206"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not a party to, or otherwise bound by or subject to, any Tax sharing, allocation or indemnification or similar agreement, provision or arrangement, other than ordinary-course commercial contracts the primary purpose of which do not relate to Taxes.</w:t>
      </w:r>
    </w:p>
    <w:p>
      <w:pPr>
        <w:spacing w:after="0" w:line="31" w:lineRule="exact"/>
        <w:rPr>
          <w:rFonts w:ascii="Times New Roman" w:cs="Times New Roman" w:eastAsia="Times New Roman" w:hAnsi="Times New Roman"/>
          <w:sz w:val="17"/>
          <w:szCs w:val="17"/>
          <w:color w:val="auto"/>
        </w:rPr>
      </w:pPr>
    </w:p>
    <w:p>
      <w:pPr>
        <w:ind w:left="-40" w:right="100" w:firstLine="987"/>
        <w:spacing w:after="0" w:line="282" w:lineRule="auto"/>
        <w:tabs>
          <w:tab w:leader="none" w:pos="119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joint venture, partnership or other arrangement or Contract which could be treated as a partnership for Tax purposes.</w:t>
      </w:r>
    </w:p>
    <w:p>
      <w:pPr>
        <w:spacing w:after="0" w:line="53"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Interest, as defined in Section 897(c) of the Code.</w:t>
      </w:r>
    </w:p>
    <w:p>
      <w:pPr>
        <w:spacing w:after="0" w:line="117"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reportable transaction within the meaning of Treasury Regulation Section 1.6011-4.</w:t>
      </w:r>
    </w:p>
    <w:p>
      <w:pPr>
        <w:spacing w:after="0" w:line="117" w:lineRule="exact"/>
        <w:rPr>
          <w:rFonts w:ascii="Times New Roman" w:cs="Times New Roman" w:eastAsia="Times New Roman" w:hAnsi="Times New Roman"/>
          <w:sz w:val="18"/>
          <w:szCs w:val="18"/>
          <w:color w:val="auto"/>
        </w:rPr>
      </w:pPr>
    </w:p>
    <w:p>
      <w:pPr>
        <w:ind w:left="-40" w:right="480" w:firstLine="987"/>
        <w:spacing w:after="0" w:line="282" w:lineRule="auto"/>
        <w:tabs>
          <w:tab w:leader="none" w:pos="120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either a “distributing corporation” or a “controlled corporation” in a distribution of stock intended to qualify for tax free treatment under Section 355 of the Code.</w:t>
      </w:r>
    </w:p>
    <w:p>
      <w:pPr>
        <w:spacing w:after="0" w:line="53" w:lineRule="exact"/>
        <w:rPr>
          <w:rFonts w:ascii="Times New Roman" w:cs="Times New Roman" w:eastAsia="Times New Roman" w:hAnsi="Times New Roman"/>
          <w:sz w:val="18"/>
          <w:szCs w:val="18"/>
          <w:color w:val="auto"/>
        </w:rPr>
      </w:pPr>
    </w:p>
    <w:p>
      <w:pPr>
        <w:ind w:left="-40" w:right="40" w:firstLine="987"/>
        <w:spacing w:after="0" w:line="266" w:lineRule="auto"/>
        <w:tabs>
          <w:tab w:leader="none" w:pos="116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nor has it ever had (during any Tax Period remaining open for the assessment of Tax by any applicable Governmental Entity under its applicable statute of limitations), any place of business or permanent establishment in any jurisdiction outside the United Kingdom.</w:t>
      </w:r>
    </w:p>
    <w:p>
      <w:pPr>
        <w:spacing w:after="0" w:line="67" w:lineRule="exact"/>
        <w:rPr>
          <w:rFonts w:ascii="Times New Roman" w:cs="Times New Roman" w:eastAsia="Times New Roman" w:hAnsi="Times New Roman"/>
          <w:sz w:val="18"/>
          <w:szCs w:val="18"/>
          <w:color w:val="auto"/>
        </w:rPr>
      </w:pPr>
    </w:p>
    <w:p>
      <w:pPr>
        <w:ind w:left="-40" w:firstLine="987"/>
        <w:spacing w:after="0" w:line="261" w:lineRule="auto"/>
        <w:tabs>
          <w:tab w:leader="none" w:pos="116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amount in taxable income or exclude any item of deduction or loss from taxable income for any taxable period (or portion thereof) ending after the Relevant Time as a result of (i) any change in method of accounting on or prior to the Relevant Time, (ii) any agreement or arrangement with a Taxing Authority executed or made on or prior to the Relevant Time or (iii) any prepaid amount received on or prior to the Relevant Time.</w:t>
      </w:r>
    </w:p>
    <w:p>
      <w:pPr>
        <w:spacing w:after="0" w:line="71" w:lineRule="exact"/>
        <w:rPr>
          <w:rFonts w:ascii="Times New Roman" w:cs="Times New Roman" w:eastAsia="Times New Roman" w:hAnsi="Times New Roman"/>
          <w:sz w:val="18"/>
          <w:szCs w:val="18"/>
          <w:color w:val="auto"/>
        </w:rPr>
      </w:pPr>
    </w:p>
    <w:p>
      <w:pPr>
        <w:ind w:left="-40" w:right="180" w:firstLine="987"/>
        <w:spacing w:after="0" w:line="282" w:lineRule="auto"/>
        <w:tabs>
          <w:tab w:leader="none" w:pos="120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will it become liable to make to any person (including any Taxing Authority) any payment in respect of any liability for Tax that is primarily or directly chargeable against, or attributable to, any other person.</w:t>
      </w:r>
    </w:p>
    <w:p>
      <w:pPr>
        <w:spacing w:after="0" w:line="53" w:lineRule="exact"/>
        <w:rPr>
          <w:rFonts w:ascii="Times New Roman" w:cs="Times New Roman" w:eastAsia="Times New Roman" w:hAnsi="Times New Roman"/>
          <w:sz w:val="18"/>
          <w:szCs w:val="18"/>
          <w:color w:val="auto"/>
        </w:rPr>
      </w:pPr>
    </w:p>
    <w:p>
      <w:pPr>
        <w:ind w:left="-40" w:right="340" w:firstLine="987"/>
        <w:spacing w:after="0" w:line="312" w:lineRule="auto"/>
        <w:tabs>
          <w:tab w:leader="none" w:pos="1166"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been involved in any transaction or series of transactions the main purpose, or one of the main purposes of which, was the avoidance of Taxes, or any transaction that produced a loss for Taxes purposes with no corresponding commercial or economic loss.</w:t>
      </w:r>
    </w:p>
    <w:p>
      <w:pPr>
        <w:spacing w:after="0" w:line="31" w:lineRule="exact"/>
        <w:rPr>
          <w:rFonts w:ascii="Times New Roman" w:cs="Times New Roman" w:eastAsia="Times New Roman" w:hAnsi="Times New Roman"/>
          <w:sz w:val="17"/>
          <w:szCs w:val="17"/>
          <w:color w:val="auto"/>
        </w:rPr>
      </w:pPr>
    </w:p>
    <w:p>
      <w:pPr>
        <w:ind w:left="-40" w:firstLine="987"/>
        <w:spacing w:after="0" w:line="261" w:lineRule="auto"/>
        <w:tabs>
          <w:tab w:leader="none" w:pos="125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taxable person and is registered for the purposes of any applicable Indirect Tax (including value added tax or any similar Tax). All supplies made by the Company are subject to Indirect Tax. The Company has not been, nor will be, denied full credit or allowance for Indirect Tax paid or suffered by it. The Company is not and has not been, in the period of six years ending with the Relevant Time, a member of a group for the purposes of any applicable Indirect Tax.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480" w:top="269" w:right="499" w:bottom="1440" w:gutter="0" w:footer="0" w:header="0"/>
        </w:sectPr>
      </w:pPr>
    </w:p>
    <w:bookmarkStart w:id="602" w:name="page603"/>
    <w:bookmarkEnd w:id="602"/>
    <w:p>
      <w:pPr>
        <w:ind w:left="4" w:right="80" w:firstLine="987"/>
        <w:spacing w:after="0" w:line="261" w:lineRule="auto"/>
        <w:tabs>
          <w:tab w:leader="none" w:pos="125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complied with all requirements in respect of any research and development Tax credit regime and any Tax holiday. There are no circumstances under which any amount of payment, relief or allowance could reasonably be expected to be disallowed or required to be repaid to a Tax Authority and no tax holidays or similar benefits that the Company currently enjoys that it will not be able to enjoy as a result of the transactions contemplated by the C/C Transaction Agreements.</w:t>
      </w:r>
    </w:p>
    <w:p>
      <w:pPr>
        <w:spacing w:after="0" w:line="7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that may be necessary or desirable in proving the title of the Company to any asset which is owned by the Company at Closing is duly stamped for stamp duty purposes or has had the Transfer Tax due in respect of it paid.</w:t>
      </w:r>
    </w:p>
    <w:p>
      <w:pPr>
        <w:spacing w:after="0" w:line="53"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Tax Group has at any time been obliged to make a notification to a relevant Tax Authority under section 92 of the United Kingdom Finance Act 2015 or any similar legislation outside the United Kingdom, nor has received a preliminary notice under section 93 of the United Kingdom Finance Act 2015 or any similar legislation outside the United Kingdom.</w:t>
      </w:r>
    </w:p>
    <w:p>
      <w:pPr>
        <w:spacing w:after="0" w:line="67"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or arrangements made by the Company have been made on fully arm’s length terms. There are no circumstances in which Part 4 of Taxation (International and Other Provisions) Act 2010 (“</w:t>
      </w:r>
      <w:r>
        <w:rPr>
          <w:rFonts w:ascii="Times New Roman" w:cs="Times New Roman" w:eastAsia="Times New Roman" w:hAnsi="Times New Roman"/>
          <w:sz w:val="18"/>
          <w:szCs w:val="18"/>
          <w:i w:val="1"/>
          <w:iCs w:val="1"/>
          <w:color w:val="auto"/>
        </w:rPr>
        <w:t>TIOPA 2010</w:t>
      </w:r>
      <w:r>
        <w:rPr>
          <w:rFonts w:ascii="Times New Roman" w:cs="Times New Roman" w:eastAsia="Times New Roman" w:hAnsi="Times New Roman"/>
          <w:sz w:val="18"/>
          <w:szCs w:val="18"/>
          <w:color w:val="auto"/>
        </w:rPr>
        <w:t>”) or any similar legislation in any jurisdiction outside the United Kingdom could apply causing any Taxing Authority to make an adjustment to the terms on which such transaction or arrangement is treated as being made for Tax purposes. The Company has retained sufficient information, contemporaneous documents and records to enable it to comply with, or establish that it is not subject to the operation of Part 4 TIOPA 2010 or any similar legislation in any jurisdiction outside the United Kingdom.</w:t>
      </w:r>
    </w:p>
    <w:p>
      <w:pPr>
        <w:spacing w:after="0" w:line="73"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made any transfer of value within sections 94 and 202 of Inheritance Tax Act 1984 (“</w:t>
      </w:r>
      <w:r>
        <w:rPr>
          <w:rFonts w:ascii="Times New Roman" w:cs="Times New Roman" w:eastAsia="Times New Roman" w:hAnsi="Times New Roman"/>
          <w:sz w:val="18"/>
          <w:szCs w:val="18"/>
          <w:i w:val="1"/>
          <w:iCs w:val="1"/>
          <w:color w:val="auto"/>
        </w:rPr>
        <w:t>IHTA 1984</w:t>
      </w:r>
      <w:r>
        <w:rPr>
          <w:rFonts w:ascii="Times New Roman" w:cs="Times New Roman" w:eastAsia="Times New Roman" w:hAnsi="Times New Roman"/>
          <w:sz w:val="18"/>
          <w:szCs w:val="18"/>
          <w:color w:val="auto"/>
        </w:rPr>
        <w:t>”); or</w:t>
      </w:r>
    </w:p>
    <w:p>
      <w:pPr>
        <w:spacing w:after="0" w:line="29" w:lineRule="exact"/>
        <w:rPr>
          <w:rFonts w:ascii="Times New Roman" w:cs="Times New Roman" w:eastAsia="Times New Roman" w:hAnsi="Times New Roman"/>
          <w:sz w:val="18"/>
          <w:szCs w:val="18"/>
          <w:color w:val="auto"/>
        </w:rPr>
      </w:pPr>
    </w:p>
    <w:p>
      <w:pPr>
        <w:ind w:left="4" w:right="460" w:hanging="4"/>
        <w:spacing w:after="0" w:line="260" w:lineRule="auto"/>
        <w:tabs>
          <w:tab w:leader="none" w:pos="26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any value such that liability might arise under section 199 of IHTA 1984; or (iii) been a party to associated operations in relation to a transfer of value as defined by section 268 of IHTA 1984.</w:t>
      </w:r>
    </w:p>
    <w:p>
      <w:pPr>
        <w:spacing w:after="0" w:line="73"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3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unsatisfied liability to inheritance tax attached to, or attributable to, the Shares or any asset of the Company. None of them are subject to any Inland Revenue charge as mentioned in sections 237 and 238 of IHTA 1984.</w:t>
      </w:r>
    </w:p>
    <w:p>
      <w:pPr>
        <w:spacing w:after="0" w:line="53" w:lineRule="exact"/>
        <w:rPr>
          <w:rFonts w:ascii="Times New Roman" w:cs="Times New Roman" w:eastAsia="Times New Roman" w:hAnsi="Times New Roman"/>
          <w:sz w:val="18"/>
          <w:szCs w:val="18"/>
          <w:color w:val="auto"/>
        </w:rPr>
      </w:pPr>
    </w:p>
    <w:p>
      <w:pPr>
        <w:ind w:left="4" w:firstLine="987"/>
        <w:spacing w:after="0" w:line="258" w:lineRule="auto"/>
        <w:tabs>
          <w:tab w:leader="none" w:pos="12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entitled to benefit from, and has complied with any and all requirements of, any measures introduced by the United Kingdom government to assist businesses with their tax affairs in response to the COVID-19 pandemic from which it has benefitted. The Company has not: (i) deferred the payment of any VAT liability due where that VAT liability has not yet been settled with HMRC; (ii) deferred the payment of any income tax or corporation tax self-assessment payment on account where that payment on account has not yet been made to HMRC; or (iii) entered into a “time to pay” arrangement with HMRC.</w:t>
      </w:r>
    </w:p>
    <w:p>
      <w:pPr>
        <w:spacing w:after="0" w:line="75"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5.15(s) of the Disclosure Letter identifies all subsisting EMI Options and Non-Qualifying Options at the Relevant Time. There are no agreements, schemes or promises to grant any other EMI Options or Non-Qualifying Options.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4"/>
          </w:cols>
          <w:pgMar w:left="436" w:top="269" w:right="519" w:bottom="1440" w:gutter="0" w:footer="0" w:header="0"/>
        </w:sectPr>
      </w:pPr>
    </w:p>
    <w:bookmarkStart w:id="603" w:name="page604"/>
    <w:bookmarkEnd w:id="603"/>
    <w:p>
      <w:pPr>
        <w:ind w:left="4" w:right="700" w:firstLine="987"/>
        <w:spacing w:after="0" w:line="282" w:lineRule="auto"/>
        <w:tabs>
          <w:tab w:leader="none" w:pos="125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have been no: (i) disqualifying events in respect of any EMI Options under section 534 of ITEPA 2003; or (ii) material amendments to any of the terms of any EMI Options.</w:t>
      </w:r>
    </w:p>
    <w:p>
      <w:pPr>
        <w:spacing w:after="0" w:line="53" w:lineRule="exact"/>
        <w:rPr>
          <w:rFonts w:ascii="Times New Roman" w:cs="Times New Roman" w:eastAsia="Times New Roman" w:hAnsi="Times New Roman"/>
          <w:sz w:val="18"/>
          <w:szCs w:val="18"/>
          <w:color w:val="auto"/>
        </w:rPr>
      </w:pPr>
    </w:p>
    <w:p>
      <w:pPr>
        <w:ind w:left="4" w:right="80" w:firstLine="987"/>
        <w:spacing w:after="0" w:line="272" w:lineRule="auto"/>
        <w:tabs>
          <w:tab w:leader="none" w:pos="1290" w:val="left"/>
        </w:tabs>
        <w:numPr>
          <w:ilvl w:val="1"/>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employment-related securities (as defined in sections 420 and 421B(8) of ITEPA 2003), including, without limitation, any shares acquired under section 205A of the Employment Rights Act 2003, have been issued or transferred (other than under any Tax-advantaged Scheme or EMI Option) and there are no agreements, schemes or promises to make any such issues or transfers (other than options falling within section 5.15(v)):</w:t>
      </w:r>
    </w:p>
    <w:p>
      <w:pPr>
        <w:spacing w:after="0" w:line="1" w:lineRule="exact"/>
        <w:rPr>
          <w:rFonts w:ascii="Times New Roman" w:cs="Times New Roman" w:eastAsia="Times New Roman" w:hAnsi="Times New Roman"/>
          <w:sz w:val="17"/>
          <w:szCs w:val="17"/>
          <w:color w:val="auto"/>
        </w:rPr>
      </w:pPr>
    </w:p>
    <w:p>
      <w:pPr>
        <w:ind w:left="4" w:right="240" w:hanging="4"/>
        <w:spacing w:after="0" w:line="260" w:lineRule="auto"/>
        <w:tabs>
          <w:tab w:leader="none" w:pos="21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(ii) under any arrangements established by the Company; or (iii) by a holding company or other shareholder of the Company (or under arrangements established by such a person).</w:t>
      </w:r>
    </w:p>
    <w:p>
      <w:pPr>
        <w:spacing w:after="0" w:line="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options (as defined in section 420(8) of ITEPA 2003) (other than EMI Options or options granted under any</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Tax-advantaged Scheme) have been granted to any current, former or proposed employees or directors of the Company (or to any nominees or associates of such employees or directors) and there are no agreements, schemes or promises to make any such grant: (i) by the Company; (ii) under any arrangements established by the Company; or (iii) by a holding company or other shareholder of the Company (or under arrangements established by such a person).</w:t>
      </w:r>
    </w:p>
    <w:p>
      <w:pPr>
        <w:spacing w:after="0" w:line="81" w:lineRule="exact"/>
        <w:rPr>
          <w:sz w:val="20"/>
          <w:szCs w:val="20"/>
          <w:color w:val="auto"/>
        </w:rPr>
      </w:pPr>
    </w:p>
    <w:p>
      <w:pPr>
        <w:ind w:left="4" w:right="300" w:firstLine="987"/>
        <w:spacing w:after="0" w:line="282" w:lineRule="auto"/>
        <w:tabs>
          <w:tab w:leader="none" w:pos="125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or options over shares falling within Section 5.15(s), Section 5.15(u) and Section 5.15(v) meet the requirements for the Company to obtain a deduction for corporation tax under Part 12 of the Corporation Tax Act 2009.</w:t>
      </w:r>
    </w:p>
    <w:p>
      <w:pPr>
        <w:spacing w:after="0" w:line="53" w:lineRule="exact"/>
        <w:rPr>
          <w:rFonts w:ascii="Times New Roman" w:cs="Times New Roman" w:eastAsia="Times New Roman" w:hAnsi="Times New Roman"/>
          <w:sz w:val="18"/>
          <w:szCs w:val="18"/>
          <w:color w:val="auto"/>
        </w:rPr>
      </w:pPr>
    </w:p>
    <w:p>
      <w:pPr>
        <w:jc w:val="both"/>
        <w:ind w:left="4" w:right="420" w:firstLine="987"/>
        <w:spacing w:after="0" w:line="266" w:lineRule="auto"/>
        <w:tabs>
          <w:tab w:leader="none" w:pos="12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knowledge of: (i) any failure to notify the grant of any EMI Options to HM Revenue &amp; Customs within the required time limit under paragraph 44 of Schedule 5 of ITEPA 2003; or (ii) any dispute (or potential dispute) with HM Revenue &amp; Customs as to whether any EMI Options are qualifying options for the purposes of paragraph 1(2) of Schedule 5 of ITEPA 2003.</w:t>
      </w:r>
    </w:p>
    <w:p>
      <w:pPr>
        <w:spacing w:after="0" w:line="68" w:lineRule="exact"/>
        <w:rPr>
          <w:sz w:val="20"/>
          <w:szCs w:val="20"/>
          <w:color w:val="auto"/>
        </w:rPr>
      </w:pPr>
    </w:p>
    <w:p>
      <w:pPr>
        <w:ind w:left="4" w:right="660" w:firstLine="987"/>
        <w:spacing w:after="0" w:line="282" w:lineRule="auto"/>
        <w:tabs>
          <w:tab w:leader="none" w:pos="132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fully complied with all of its reporting obligations in respect of the operation of any Company Share Plan, including any obligation to file annual share scheme returns with HM Revenue &amp; Customs.</w:t>
      </w:r>
    </w:p>
    <w:p>
      <w:pPr>
        <w:spacing w:after="0" w:line="162"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Section 5.16 of the Disclosure Letter identifies each insurance policy maintained by, at the expense of or for the benefit of the Company as of the Relevant Time and identifies any material claims made thereunder as of the date of this Agreement within the past three (3) years. All premiums due on such policies have been paid, and the Company is otherwise in compliance with the terms of such policies. Since December 31, 2016, the Company has not received any written notice or to the knowledge of the Company any other communication regarding any actual or possible: (i) cancellation or invalidation of any insurance policy; (ii) refusal of any coverage or rejection of any material claim under any insurance policy; or (iii) material adjustment in the amount of the premiums payable with respect to any insurance policy.</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64"/>
          </w:cols>
          <w:pgMar w:left="436" w:top="269" w:right="499" w:bottom="1440" w:gutter="0" w:footer="0" w:header="0"/>
        </w:sectPr>
      </w:pPr>
    </w:p>
    <w:bookmarkStart w:id="604" w:name="page605"/>
    <w:bookmarkEnd w:id="60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5.17. </w:t>
      </w:r>
      <w:r>
        <w:rPr>
          <w:rFonts w:ascii="Times New Roman" w:cs="Times New Roman" w:eastAsia="Times New Roman" w:hAnsi="Times New Roman"/>
          <w:sz w:val="18"/>
          <w:szCs w:val="18"/>
          <w:u w:val="single" w:color="auto"/>
          <w:color w:val="auto"/>
        </w:rPr>
        <w:t>Benefit Plans; 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54" w:lineRule="auto"/>
        <w:tabs>
          <w:tab w:leader="none" w:pos="124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5.17(a) of the Disclosure Letter sets forth a true and complete list of each retirement, pension, lump sum, life assurance or insurance, permanent health insurance or income replacement, deferred compensation, equity-based compensation, incentive, bonus, paid time off, employment, independent contractor, consulting, change in control, severance or redundancy, termination, retention, accident, ill-health, disability, death, health, welfare, flexible spending account, and any other employee benefit plan, agreement, arrangement, program or policy that is maintained, contributed to or required to be contributed to by the Company or with respect to which the Company has or could have any Liability (each a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Company Plans</w:t>
      </w:r>
      <w:r>
        <w:rPr>
          <w:rFonts w:ascii="Times New Roman" w:cs="Times New Roman" w:eastAsia="Times New Roman" w:hAnsi="Times New Roman"/>
          <w:sz w:val="18"/>
          <w:szCs w:val="18"/>
          <w:color w:val="auto"/>
        </w:rPr>
        <w:t>”). No Company Plan is subject to the Laws of any jurisdiction outside of the United Kingdom or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or benefits to any Company Personnel that are subject to the Laws of any jurisdiction outside of the United Kingdom. No Company Plan is a defined benefit pension plan, and no Company Personnel have any entitlements under a defined benefit pension plan.</w:t>
      </w:r>
    </w:p>
    <w:p>
      <w:pPr>
        <w:spacing w:after="0" w:line="83"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in all material respects, established, maintained, and administered in accordance with its terms and with all applicable Laws, including pension auto enrolment and funding obligations as required by the Pensions Act 2008 and associated legislation. No notices, fines, or other sanctions have been issued by the Pensions Regulator and no instances of non-compliance with the automatic enrolment obligations have been notified to the Pension Regulator in respect of the Company. No actions, investigations, suits, or claims with respect to any Company Plan are pending or, to the Company’s knowledge, threatened.</w:t>
      </w:r>
    </w:p>
    <w:p>
      <w:pPr>
        <w:spacing w:after="0" w:line="75" w:lineRule="exact"/>
        <w:rPr>
          <w:rFonts w:ascii="Times New Roman" w:cs="Times New Roman" w:eastAsia="Times New Roman" w:hAnsi="Times New Roman"/>
          <w:sz w:val="18"/>
          <w:szCs w:val="18"/>
          <w:color w:val="auto"/>
        </w:rPr>
      </w:pPr>
    </w:p>
    <w:p>
      <w:pPr>
        <w:ind w:left="4" w:right="20" w:firstLine="987"/>
        <w:spacing w:after="0" w:line="289" w:lineRule="auto"/>
        <w:tabs>
          <w:tab w:leader="none" w:pos="1240" w:val="left"/>
        </w:tabs>
        <w:numPr>
          <w:ilvl w:val="1"/>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Plan provides, and the Company has no Liability or obligation to provide to any Company Personnel (or their dependents of beneficiaries), postretirement medical or other welfare benefits. The Company has no plan, commitment, or proposal, whether legally binding or not, nor has made a commitment to Company Personnel, to create any additional Company Plans or modify or change any existing Company Plans.</w:t>
      </w:r>
    </w:p>
    <w:p>
      <w:pPr>
        <w:spacing w:after="0" w:line="49" w:lineRule="exact"/>
        <w:rPr>
          <w:rFonts w:ascii="Times New Roman" w:cs="Times New Roman" w:eastAsia="Times New Roman" w:hAnsi="Times New Roman"/>
          <w:sz w:val="17"/>
          <w:szCs w:val="17"/>
          <w:color w:val="auto"/>
        </w:rPr>
      </w:pPr>
    </w:p>
    <w:p>
      <w:pPr>
        <w:ind w:left="4" w:right="100" w:firstLine="987"/>
        <w:spacing w:after="0" w:line="269" w:lineRule="auto"/>
        <w:tabs>
          <w:tab w:leader="none" w:pos="1250" w:val="left"/>
        </w:tabs>
        <w:numPr>
          <w:ilvl w:val="1"/>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5.17(d) of the Disclosure Letter, neither the execution and delivery of the C/C Transaction Agreements nor the consummation of the transactions contemplated thereby will (either alone or in combination with another event): (i) result in any payment becoming due, or increase the amount of any compensation due, to any Company Personnel, or allow them to exercise or receive a shorter or longer notice period; (ii) increase any benefits under any Company Plan; (iii) result in the acceleration of the payment or vesting of any compensation or benefits; (v) result in the triggering or imposition of any restrictions or limitations on the Company’s right to amend or terminate any Company Plan; or</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309"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the recipient of any payment or benefit to receive a “gross up” payment for any income or other taxes that might be owed with respect to such payment or benefit.</w:t>
      </w:r>
    </w:p>
    <w:p>
      <w:pPr>
        <w:spacing w:after="0" w:line="73"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the Company Share Options described in Section 4.2(d) shall not violate the terms of the Company Share Plans or any agreement governing the terms of such Company Share Plan. Each Company Plan has been maintained and operated in documentary and operational compliance with applicable Law.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69" w:right="459" w:bottom="1440" w:gutter="0" w:footer="0" w:header="0"/>
        </w:sectPr>
      </w:pPr>
    </w:p>
    <w:bookmarkStart w:id="605" w:name="page606"/>
    <w:bookmarkEnd w:id="605"/>
    <w:p>
      <w:pPr>
        <w:ind w:left="4" w:right="240" w:firstLine="987"/>
        <w:spacing w:after="0" w:line="312" w:lineRule="auto"/>
        <w:tabs>
          <w:tab w:leader="none" w:pos="1220"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Relevant Time, the Company shall have made all contributions required to be made to or with respect to each Company Plan as of the Relevant Time and paid or accrued all Liabilities on account of any Company Plan in existence on or before the Relevant Time.</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Labor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70" w:lineRule="auto"/>
        <w:tabs>
          <w:tab w:leader="none" w:pos="1240"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5.18(a) of the Disclosure Letter contains a list of all current Company employees and other persons who personally perform work for the Company but who are not in business on their own account or in a client/customer relationship as of the Relevant Time, and: (i) their dates of employment; (ii) their current positions; (iii) their current salaries; (iv) any other compensation payable to them (including housing allowances, compensation payable pursuant to bonus, deferred compensation or commission arrangements or other compensation), (v) annual vacation days; and</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notice periods.</w:t>
      </w:r>
    </w:p>
    <w:p>
      <w:pPr>
        <w:spacing w:after="0" w:line="98"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5.18(b) of the Disclosure Letter contains details of all persons who are not employees or workers and who are providing services to the Company under an agreement that is not a contract of employment with the Company (including consultants and secondees), and particulars of the terms on which such persons provide their services, including (but not limited to): (i) the term of the engagement; (ii) the start date of the engagement; (iii) a description of the services provided; and (iv) the fee payable in respect of the service provision.</w:t>
      </w:r>
    </w:p>
    <w:p>
      <w:pPr>
        <w:spacing w:after="0" w:line="71" w:lineRule="exact"/>
        <w:rPr>
          <w:rFonts w:ascii="Times New Roman" w:cs="Times New Roman" w:eastAsia="Times New Roman" w:hAnsi="Times New Roman"/>
          <w:sz w:val="18"/>
          <w:szCs w:val="18"/>
          <w:color w:val="auto"/>
        </w:rPr>
      </w:pPr>
    </w:p>
    <w:p>
      <w:pPr>
        <w:ind w:left="4" w:right="600" w:firstLine="987"/>
        <w:spacing w:after="0" w:line="282" w:lineRule="auto"/>
        <w:tabs>
          <w:tab w:leader="none" w:pos="124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Letter includes anonymized details of all employees and workers who are on secondment, maternity, paternity, adoption, shared parental or other leave or absent due to ill-health or for any other reason.</w:t>
      </w:r>
    </w:p>
    <w:p>
      <w:pPr>
        <w:spacing w:after="0" w:line="53"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or will have no later than the Relevant Time, paid all accrued fees, salaries, bonuses, commissions, wages and severance of the employees and independent contractors due to be paid through the Relevant Time (other than with respect to such amounts payable with respect to payroll period in which the Closing occurs. There are no loans to any Company Personnel. The Company is and has been in compliance in all material respects with all applicable Laws (including Tax Laws) regarding employment, employment practices, immigration, employee benefits and compensation, terms and conditions of employment, including wages and hours, the classification of employees and independent contractors, withholding of Taxes and insurance payments, and payment of employment Taxes, compensation and benefits.</w:t>
      </w:r>
    </w:p>
    <w:p>
      <w:pPr>
        <w:spacing w:after="0" w:line="79"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offer of employment or engagement has been made by the Company that is outstanding for acceptance, or that has been accepted but not yet commenced.</w:t>
      </w:r>
    </w:p>
    <w:p>
      <w:pPr>
        <w:spacing w:after="0" w:line="53"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2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to terminate the contract of employment of any Company Personnel is pending, outstanding or threatened, and to the knowledge of the Company, there are no circumstances likely to give rise to such notice.</w:t>
      </w:r>
    </w:p>
    <w:p>
      <w:pPr>
        <w:spacing w:after="0" w:line="53"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bound by or proposing to introduce in respect of any Company Personnel, any redundancy payment scheme (in addition to statutory redundancy pay), or any incentive arrangement or scheme (including, without limitation, any share option or share award plan, and commission, profit sharing or bonus scheme), other than the Company’s 2019 Share Option Plan.</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4"/>
          </w:cols>
          <w:pgMar w:left="436" w:top="269" w:right="539" w:bottom="1440" w:gutter="0" w:footer="0" w:header="0"/>
        </w:sectPr>
      </w:pPr>
    </w:p>
    <w:bookmarkStart w:id="606" w:name="page607"/>
    <w:bookmarkEnd w:id="606"/>
    <w:p>
      <w:pPr>
        <w:ind w:right="20" w:firstLine="987"/>
        <w:spacing w:after="0" w:line="282" w:lineRule="auto"/>
        <w:tabs>
          <w:tab w:leader="none" w:pos="124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incurred any actual or contingent liability in connection with any termination of employment of its employees or workers, or for failing to comply with any order for the reinstatement or re-engagement of any employee or worker.</w:t>
      </w:r>
    </w:p>
    <w:p>
      <w:pPr>
        <w:spacing w:after="0" w:line="53"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or provided, or agreed to make or provide, any payment or benefit to any Company Personnel (or their dependents) in connection with the actual or proposed termination or suspension of employment or variation of an employment contract.</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offered, promised or agreed to any future variation in the terms of employment or engagement of any employee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worker.</w:t>
      </w:r>
    </w:p>
    <w:p>
      <w:pPr>
        <w:spacing w:after="0" w:line="98"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Letter includes copies of all contracts, handbooks, policies and other documents which apply to the employees and workers, identifying which applies to which individual.</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agreement or arrangement (whether or not binding) with any trade union, staff association, staff council, works council, information and consultation body or any other worker representatives relating to any Company Personnel and is not involved in any industrial or trade dispute or negotiation regarding a claim with any employee representative body and there is nothing likely to give rise to such a dispute or claim. No Company Personnel is subject to a current disciplinary warning or procedure and as far the Company is aware, there are no disputes or claims threatened or pending in respect of any Company Personnel.</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74" w:lineRule="auto"/>
        <w:tabs>
          <w:tab w:leader="none" w:pos="1236"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conducted its business in all material respects, in compliance with applicable Law, including all applicable Laws regarding developing, testing, manufacturing, marketing, distributing or promoting the products of the Company, or complaint handling or adverse event reporting. The Company has not received any notice or other communication from any Governmental Entity alleging any violation of applicable Law by the Company. The Company has not received any notices of inspectional observations, establishment inspection reports, warning letters, untitled letters, or any other documents received from or issued by any Governmental Entity that indicate or suggest lack of compliance with any applicable Law or regulatory requirements, or other applicable Law by the Company or by persons who are performing services for the benefit of the Company.</w:t>
      </w:r>
    </w:p>
    <w:p>
      <w:pPr>
        <w:spacing w:after="0" w:line="64" w:lineRule="exact"/>
        <w:rPr>
          <w:rFonts w:ascii="Times New Roman" w:cs="Times New Roman" w:eastAsia="Times New Roman" w:hAnsi="Times New Roman"/>
          <w:sz w:val="17"/>
          <w:szCs w:val="17"/>
          <w:color w:val="auto"/>
        </w:rPr>
      </w:pPr>
    </w:p>
    <w:p>
      <w:pPr>
        <w:ind w:right="160" w:firstLine="987"/>
        <w:spacing w:after="0" w:line="282" w:lineRule="auto"/>
        <w:tabs>
          <w:tab w:leader="none" w:pos="124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products have been and are being developed, researched, manufactured, labeled, stored, distributed, imported, exported and tested in compliance in all material respects with all applicable requirements under all applicable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9" w:right="459" w:bottom="1440" w:gutter="0" w:footer="0" w:header="0"/>
        </w:sectPr>
      </w:pPr>
    </w:p>
    <w:bookmarkStart w:id="607" w:name="page608"/>
    <w:bookmarkEnd w:id="607"/>
    <w:p>
      <w:pPr>
        <w:ind w:right="40" w:firstLine="987"/>
        <w:spacing w:after="0" w:line="254" w:lineRule="auto"/>
        <w:tabs>
          <w:tab w:leader="none" w:pos="123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studies, tests, preclinical development and clinical trials, if any, conducted by or on behalf of the Company are being conducted in all material respects in accordance with experimental protocols, procedures and controls pursuant to accepted professional and scientific standards for products or product candidates comparable to those being developed by the Company and all applicable Laws and regulations. The descriptions of, protocols for, and data and other results of, the studies, tests, development and trials conducted by or on behalf of the Company that have been furnished or made available to Buyer are accurate and complete. The Company is not aware of any studies, tests, development or trials the results of which reasonably call into question the results of the studies, tests, development and trials conducted by or on behalf of the Company, and the Company has not received any notices or correspondence from any Governmental Entity or any institutional review board or comparable authority requiring the termination, suspension or material modification of any studies, tests, preclinical development or clinical trials conducted by or on behalf of the Company.</w:t>
      </w:r>
    </w:p>
    <w:p>
      <w:pPr>
        <w:spacing w:after="0" w:line="80" w:lineRule="exact"/>
        <w:rPr>
          <w:rFonts w:ascii="Times New Roman" w:cs="Times New Roman" w:eastAsia="Times New Roman" w:hAnsi="Times New Roman"/>
          <w:sz w:val="18"/>
          <w:szCs w:val="18"/>
          <w:color w:val="auto"/>
        </w:rPr>
      </w:pPr>
    </w:p>
    <w:p>
      <w:pPr>
        <w:ind w:right="120" w:firstLine="987"/>
        <w:spacing w:after="0" w:line="254" w:lineRule="auto"/>
        <w:tabs>
          <w:tab w:leader="none" w:pos="124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all permits, licenses, registrations, certificates, authorizations, orders and approvals from the appropriate Governmental Entity necessary to conduct its business, including all such permits, licenses, registrations, certificates, authorizations, orders and approvals required by any applicable Governmental Entity engaged in the regulation of drugs, pharmaceuticals, medical devices or biohazardous materials. The Company has not received any notice of proceedings relating to the suspension, modification, revocation or cancellation of any such permit, license, registration, certificate, authorization, order or approval. Neither the Company nor any of its officers, employees, or, to the Company’s knowledge, any of its contractors or agents is the subject of any pending or threatened investigation by any Governmental Entity. Neither the Company nor any of its officers, employees, or to the Company’s knowledge, any of its contractors or agents has made any materially false statements on, or material omissions from, any notifications, applications, approvals, reports and other submissions to any Governmental Entity.</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Registers, Books and Records</w:t>
      </w:r>
      <w:r>
        <w:rPr>
          <w:rFonts w:ascii="Times New Roman" w:cs="Times New Roman" w:eastAsia="Times New Roman" w:hAnsi="Times New Roman"/>
          <w:sz w:val="18"/>
          <w:szCs w:val="18"/>
          <w:color w:val="auto"/>
        </w:rPr>
        <w:t>. All statutory books and registers (including minute books) of the Company have been properly kept, are written up to date and contain a true, complete and accurate record in all respects of all matters which it is required by CA 2006 to record, and accurately reflect all transactions effected in Company Capital Stock through and including the Relevant Time. The copies of such statutory books and registers made available to Buyer are true, correct and complete copies of the original books and registers. In relation to its register of persons with significant control (to the extent it is required to keep the same), the Company has at all times complied with its duties under section 790D (Duty to investigate and obtain information) and section 790E (Duty to keep information up-to-date) of CA 2006. The meeting minutes, written resolutions in lieu of a meeting, and all such other records and resolutions of the shareholders and Board of Directors of the Company made available to Buyer are up to date, complete and accurately reflect in all material respects all action previously taken by the shareholders, Board of Directors and committees of the Board of Directors of the Company.</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xml:space="preserve"> All returns, particulars, resolutions and other documents that the Company is required by applicable Law to file with, or deliver to, any authority in any jurisdiction (including, in particular, the Registrar of Companies in England and Wales) have been correctly made up and duly filed or delivered (as the case may be). No warning notice or restrictions notice has been issued under Schedule 1B (Enforcement of disclosure requirements) of CA 2006 in respect of any shares or voting rights in, or any right to appoint or remove any member of the board of directors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9" w:right="459" w:bottom="1440" w:gutter="0" w:footer="0" w:header="0"/>
        </w:sectPr>
      </w:pPr>
    </w:p>
    <w:bookmarkStart w:id="608" w:name="page609"/>
    <w:bookmarkEnd w:id="60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set forth on Section 5.22 of the Disclosure Letter, the Company has no Liability to any investment banker, broker, finder, consultant or intermediary in connection with the C/C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BUYER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Buyer represents and warrants to the Seller, as of the date hereof (unless an alternative date is expressly specified in this ARTICLE 6),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Buyer is a corporation duly organized, validly existing and in good standing under the Laws of its jurisdiction of incorporation, and has all requisite power and authority to own, lease and operate its assets and properties and to carry on its business as now being conducted and as presently proposed to be conducted by it. Buyer is duly qualified or licensed to conduct its business as currently conducted and, to the extent applicable, is in good standing, in each jurisdiction in which the character or location of the property owned, leased or operated by it or the nature of its business makes such qualification necessary except where the failure to be so qualified would not reasonably be expected to result in material adverse effect on Buyer or its business taken as a whole.</w:t>
      </w:r>
    </w:p>
    <w:p>
      <w:pPr>
        <w:spacing w:after="0" w:line="18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Power and Authority; Binding Agreement</w:t>
      </w:r>
      <w:r>
        <w:rPr>
          <w:rFonts w:ascii="Times New Roman" w:cs="Times New Roman" w:eastAsia="Times New Roman" w:hAnsi="Times New Roman"/>
          <w:sz w:val="18"/>
          <w:szCs w:val="18"/>
          <w:color w:val="auto"/>
        </w:rPr>
        <w:t>. Buyer has all requisite corporate power and authority to execute and deliver this Agreement, to consummate the transactions contemplated hereunder, and to perform its obligations hereunder and thereunder. The execution and delivery by Buyer of this Agreement, and the consummation by Buyer of the transactions contemplated hereunder, have been duly authorized by all necessary corporate action on the part of Buyer, and no other proceedings on the part of Buyer are necessary to authorize this Agreement or to consummate the transactions contemplated hereunder. This Agreement has been duly executed and delivered by Buyer and, assuming the due execution of this Agreement by the other parties thereto, constitutes a valid and binding obligation of Buyer, enforceable against Buyer in accordance with its terms, subject to applicable bankruptcy, insolvency, reorganization, fraudulent transfer, moratorium or similar Laws affecting creditors’ rights generally and general principles of equity.</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Buyer as of the Relevant Time consists of 49,000,000 shares of Buyer Common Stock, 5,432,976 of which are issued and outstanding, 30,106,078 shares of Buyer A Preferred Stock, 14,308,714 of which are issued and outstanding. All such outstanding shares of Buyer Common Stock and Buyer A Preferred Stock have been duly authorized and validly issued, and are fully paid and nonassessable. Buyer has reserved 3,685,212 shares of Buyer Common Stock for issuance to officers, directors, employees and consultants of the Company pursuant to its 2021 Equity Incentive Plan (the “</w:t>
      </w:r>
      <w:r>
        <w:rPr>
          <w:rFonts w:ascii="Times New Roman" w:cs="Times New Roman" w:eastAsia="Times New Roman" w:hAnsi="Times New Roman"/>
          <w:sz w:val="18"/>
          <w:szCs w:val="18"/>
          <w:i w:val="1"/>
          <w:iCs w:val="1"/>
          <w:color w:val="auto"/>
        </w:rPr>
        <w:t>Buyer Plan</w:t>
      </w:r>
      <w:r>
        <w:rPr>
          <w:rFonts w:ascii="Times New Roman" w:cs="Times New Roman" w:eastAsia="Times New Roman" w:hAnsi="Times New Roman"/>
          <w:sz w:val="18"/>
          <w:szCs w:val="18"/>
          <w:color w:val="auto"/>
        </w:rPr>
        <w:t>”). Other than options granted under the Buyer Plan, there are no outstanding options, warrants, rights (including conversion or preemptive rights and rights of first refusal or similar rights) or agreements, orally or in writing, to purchase or acquire from Buyer any shares of Buyer Common Stock, Buyer A Preferred Stock or any securities convertible into or exchangeable for shares of either Buyer Common Stock or Buyer A Preferred Stock. The rights and privileges of each class of Buyer’s capital stock are set forth in the certificate of incorporation of Buyer, as amended or restated from time to time. All the Buyer Common Stock and Buyer A Preferred Stock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1" w:right="459" w:bottom="1440" w:gutter="0" w:footer="0" w:header="0"/>
        </w:sectPr>
      </w:pPr>
    </w:p>
    <w:bookmarkStart w:id="609" w:name="page610"/>
    <w:bookmarkEnd w:id="60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issued in connection with the Share Consideration will be, when issued on the terms and conditions of this Agreement, duly authorized, validly issued, fully paid and nonassessable and not subject to or issued in violation of any purchase option, call option, right of first refusal, preemptive right, subscription right or any similar right under any provision of the certificate of incorporation or bylaws of Buyer, as amended or restated from time to time, or any agreement to which Buyer is a party or is otherwise bound. Buyer has reserved out of its authorized capital stock a sufficient number of shares of Buyer Common Stock and Buyer A Preferred Stock to issue such Buyer Common Stock and Buyer A Preferred Stock (as the case may be) at the Closing.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5" w:lineRule="auto"/>
        <w:tabs>
          <w:tab w:leader="none" w:pos="123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Buyer of this Agreement, the consummation of the transactions contemplated hereunder and the compliance by Buyer with the provisions of this Agreement will not (i) result in the breach of any of the terms or conditions of, or constitute a default under or violate (in each case, with or without due notice or lapse of time or both), as the case may be, the Constitutive Documents of Buyer, or any material Contract to which Buyer is bound, or by which any of its assets or properties may be affected or (ii) violate any Law or Judgment applicable to Buyer, prevent or materially delay the consummation of any of the transactions contemplated hereunder, result in a material adverse change to the business, financial condition or operations of Buyer, or (iii) result in the imposition or creation of any Lien upon or with respect to any of its assets or properties.</w:t>
      </w:r>
    </w:p>
    <w:p>
      <w:pPr>
        <w:spacing w:after="0" w:line="80" w:lineRule="exact"/>
        <w:rPr>
          <w:rFonts w:ascii="Times New Roman" w:cs="Times New Roman" w:eastAsia="Times New Roman" w:hAnsi="Times New Roman"/>
          <w:sz w:val="18"/>
          <w:szCs w:val="18"/>
          <w:color w:val="auto"/>
        </w:rPr>
      </w:pPr>
    </w:p>
    <w:p>
      <w:pPr>
        <w:ind w:right="400" w:firstLine="987"/>
        <w:spacing w:after="0" w:line="266" w:lineRule="auto"/>
        <w:tabs>
          <w:tab w:leader="none" w:pos="124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registration, declaration or filing with, or notice to, any Governmental Entity is required by or with respect to Buyer in connection with the execution and delivery by Buyer of this Agreement, the consummation by Buyer of the transactions contemplated by this Agreement or the compliance by Buyer with the provisions of this Agreement.</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Buyer has not employed or entered into any Contract with any investment banker, broker, finder, consultant or intermediary in connection with the transactions contemplated by this Agreement, pursuant to which the Seller could be liable for the fee or commission of such investment banker, broker, finder, consultant or intermediary, or for any similar fee or commission in connection with this Agreement or the transactions contemplated hereunder.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are no Actions pending against, or to the knowledge of Buyer’s officers, threatened against, Buyer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Series A Preferred Stock Representations</w:t>
      </w:r>
      <w:r>
        <w:rPr>
          <w:rFonts w:ascii="Times New Roman" w:cs="Times New Roman" w:eastAsia="Times New Roman" w:hAnsi="Times New Roman"/>
          <w:sz w:val="18"/>
          <w:szCs w:val="18"/>
          <w:color w:val="auto"/>
        </w:rPr>
        <w:t xml:space="preserve">. In relation to the A Pref Share Consideration only, Buyer represents and warrants to Seller that, except as set forth on the Disclosure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Stock Purchase Agreement, which exceptions shall be deemed to be part of the representations and warranties made under the Stock Purchase Agreement, the representations set out in Section 2 of the Stock Purchase Agreement were true and complete as of the date of the Initial Closing (as defined in the Stock Purchase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610" w:name="page611"/>
    <w:bookmarkEnd w:id="6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SELLER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Seller represents and warrants to Buyer as of the date hereof, except as disclosed in the Disclosure Letter, as follows: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Power and Authority; Binding Agreement; Bankruptcy</w:t>
      </w:r>
      <w:r>
        <w:rPr>
          <w:rFonts w:ascii="Times New Roman" w:cs="Times New Roman" w:eastAsia="Times New Roman" w:hAnsi="Times New Roman"/>
          <w:sz w:val="18"/>
          <w:szCs w:val="18"/>
          <w:color w:val="auto"/>
        </w:rPr>
        <w:t>. The Seller has all requisite corporate power and authority to execute and deliver this Agreement, to consummate the transactions contemplated hereunder, and to perform its obligations hereunder (including to sell, transfer, assign and deliver its Sale Shares as provided in this Agreement). The execution and delivery by the Seller of this Agreement, and the consummation by the Seller of the transactions contemplated hereunder, have been duly authorized on the part of the Seller or the Seller’s securityholders, and no other proceedings on the part of the Seller are necessary to authorize this Agreement or to consummate the transactions contemplated hereunder. This Agreement has been duly executed and delivered by the Seller and, assuming the due execution of this Agreement by the other parties thereto, constitutes a valid and binding obligation of the Seller, enforceable against the Seller in accordance with its terms, subject to applicable bankruptcy, insolvency, reorganization, fraudulent transfer, moratorium or similar Laws affecting creditors’ rights generally and general principles of equity. If the Seller is an individual, it is not insolvent or bankrupt under any Laws applicable to it/him/her, nor is it unable to pay its debts as they fall due, nor has any arrangement (whether by court proceedings or otherwise) been proposed under which its creditors (or any group of them) could receive less than the amounts due to them nor are any proceedings in relation to any compromise or arrangement with creditors, any winding up, bankruptcy or other insolvency proceedings concerning it/him/her (or any of its assets or interests) current, pending or threatened.</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5" w:lineRule="auto"/>
        <w:tabs>
          <w:tab w:leader="none" w:pos="123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Seller of this Agreement, the consummation of the transactions contemplated hereunder and the compliance by the Seller with the provisions of this Agreement will not (i) result in the breach of any of the terms or conditions of, or constitute a default under or violate, as the case may be, the Constitutive Documents of the Seller (if applicable), or any material Contract to which the Seller is bound, or by which any of its assets or properties may be affected or (ii) violate any Law or Judgment applicable to the Seller, other than any such breaches, defaults or violations that individually or in the aggregate are not likely to impair in any material respect the ability of the Seller to perform its obligations under this Agreement, prevent or materially delay the consummation of any of the transactions contemplated hereunder, or result in a material adverse change to the business, financial condition or operations of the Seller.</w:t>
      </w:r>
    </w:p>
    <w:p>
      <w:pPr>
        <w:spacing w:after="0" w:line="80"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registration, declaration or filing with, or notice to, any Governmental Entity is required by or with respect to the Seller in connection with the execution and delivery by the Seller of this Agreement, the consummation by the Seller of the transactions contemplated by this Agreement or the compliance by the Seller with the provisions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1" w:right="459" w:bottom="1440" w:gutter="0" w:footer="0" w:header="0"/>
        </w:sectPr>
      </w:pPr>
    </w:p>
    <w:bookmarkStart w:id="611" w:name="page612"/>
    <w:bookmarkEnd w:id="6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7.3. </w:t>
      </w:r>
      <w:r>
        <w:rPr>
          <w:rFonts w:ascii="Times New Roman" w:cs="Times New Roman" w:eastAsia="Times New Roman" w:hAnsi="Times New Roman"/>
          <w:sz w:val="18"/>
          <w:szCs w:val="18"/>
          <w:u w:val="single" w:color="auto"/>
          <w:color w:val="auto"/>
        </w:rPr>
        <w:t>Sale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87"/>
        <w:spacing w:after="0" w:line="277" w:lineRule="auto"/>
        <w:tabs>
          <w:tab w:leader="none" w:pos="1236"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is the registered and sole legal and beneficial owner of its Sale Shares, free and clear of all Liens (other than Permitted Liens), and the transfer of such Sale Shares to Buyer under this Agreement at the Closing constitutes the transfer of the whole of the right, title and interest (including all legal title to, and all beneficial interest in) such Sale Shares free from all and clear of all Liens (other than Permitted Liens) and that it is entitled to so transfer such Sale Shares to Buyer pursuant to this Agreement. Save for the Sale Shares to be transferred to Buyer by it at the Closing in accordance with this Agreement, it does not hold any right, title or interest in respect of any further Relevant Securities of the Company.</w:t>
      </w:r>
    </w:p>
    <w:p>
      <w:pPr>
        <w:spacing w:after="0" w:line="59" w:lineRule="exact"/>
        <w:rPr>
          <w:rFonts w:ascii="Times New Roman" w:cs="Times New Roman" w:eastAsia="Times New Roman" w:hAnsi="Times New Roman"/>
          <w:sz w:val="17"/>
          <w:szCs w:val="17"/>
          <w:color w:val="auto"/>
        </w:rPr>
      </w:pPr>
    </w:p>
    <w:p>
      <w:pPr>
        <w:ind w:right="60" w:firstLine="987"/>
        <w:spacing w:after="0" w:line="266" w:lineRule="auto"/>
        <w:tabs>
          <w:tab w:leader="none" w:pos="124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P&amp;CA, there is no existing option, warrant, call, right or contract to which the Seller is a party requiring the issuance, sale or transfer of any additional Capital Stock of the Company or evidencing the right to subscribe to or purchase any Capital Stock of the Company other than as disclosed in writing to the Buyer.</w:t>
      </w:r>
    </w:p>
    <w:p>
      <w:pPr>
        <w:spacing w:after="0" w:line="67"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of its associates) has any right, title or interest in the business of, or any assets owned or used by, the Company, nor is it (nor any of its associates) party to any contract, agreement or arrangement with the Company in respect of his/her employment with the Company other than as set out in Section 7.3(c) of the Disclosure Letter.</w:t>
      </w:r>
    </w:p>
    <w:p>
      <w:pPr>
        <w:spacing w:after="0" w:line="67"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or indebtedness is outstanding from the Company to the Seller (or any of its associates), nor does it/he/she (nor any of its associates) benefit from any guarantee, indemnity or other surety given by the Company (save, where applicable, in respect of pensions, benefits, insurances and indemnities concerning current and prior officers, employees and consultants of the Company and arising under the terms, or otherwise by reason, of their employment), nor is any loan or indebtedness outstanding from, or otherwise payable (whether or not subject to any contingency) by, it/him/her (or any of its associates) to the Company.</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(nor any of its associates) has no outstanding or pending litigation, dispute or legal proceedings against the Company (or any officer, employee, consultant, auditor or professional adviser of the Company), nor is any litigation, dispute or legal proceedings threatened against the Company (or any officer, employee, consultant, auditor or professional adviser of the Company) by it (or any of its associates) and, so far as it/he/she is aware, no matter, fact or circumstance exists which entitles (or so far as the relevant Seller is aware which is reasonably likely to entitle) it (or any of its associates) to bring any litigation, dispute or legal proceedings against the Company (or any officer, employee, consultant, auditor or professional adviser of the Company).</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 Seller has not employed or entered into any Contract with any investment banker, broker, finder, consultant or intermediary in connection with the transactions contemplated by this Agreement, pursuant to which Buyer could be liable for the fee or commission of such investment banker, broker, finder, consultant or intermediary, or for any similar fee or commission in connection with this Agreement or the transactions contemplated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12" w:name="page613"/>
    <w:bookmarkEnd w:id="612"/>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Seller is either (a) an “accredited investor” as that term is defined in Rule 501 of Regulation D under the Securities Act or (b) not a US Person and located outside of the United States.</w:t>
      </w:r>
    </w:p>
    <w:p>
      <w:pPr>
        <w:spacing w:after="0" w:line="37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55" w:lineRule="auto"/>
        <w:tabs>
          <w:tab w:leader="none" w:pos="124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make available for inspection by Buyer and its Representatives such of its properties, assets, books of accounts, records (including the work papers of its independent accountants), data and Intellectual Property, and Contracts and any other materials to the extent reasonably requested by Buyer relating to the Company and its existing and prospective businesses and assets and Liabilities, in each case, upon reasonable notice and at such times as Buyer may reasonably request, and (ii) make available to Buyer and its Representatives, the officers, other senior management and Representatives of the Company for interviews, upon reasonable notice at such times as Buyer and its Representatives may reasonably request, to verify and discuss the information furnished to Buyer and its Representatives and otherwise discuss the Company’s existing and prospective businesses and assets and Liabilities.</w:t>
      </w:r>
    </w:p>
    <w:p>
      <w:pPr>
        <w:spacing w:after="0" w:line="80"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such inspections, interviews, and access for investigations shall be conducted in compliance with applicable Law (including any applicable competition, antitrust or trade regulation Law), in accordance with the terms of any applicable lease or other applicable agreements, during normal business hours and in a manner that does not unreasonably interfere with the conduct of the business of the Company. Notwithstanding anything herein to the contrary, no such access or examination shall be permitted to the extent that it would require the Company or the Seller to disclose information if such disclosure (i) would result in the waiver of any attorney-client privilege or attorney work product privilege,</w:t>
      </w:r>
    </w:p>
    <w:p>
      <w:pPr>
        <w:spacing w:after="0" w:line="3" w:lineRule="exact"/>
        <w:rPr>
          <w:rFonts w:ascii="Times New Roman" w:cs="Times New Roman" w:eastAsia="Times New Roman" w:hAnsi="Times New Roman"/>
          <w:sz w:val="18"/>
          <w:szCs w:val="18"/>
          <w:color w:val="auto"/>
        </w:rPr>
      </w:pPr>
    </w:p>
    <w:p>
      <w:pPr>
        <w:jc w:val="both"/>
        <w:ind w:left="4" w:right="40" w:hanging="4"/>
        <w:spacing w:after="0" w:line="255" w:lineRule="auto"/>
        <w:tabs>
          <w:tab w:leader="none" w:pos="269"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breach any third party confidentiality obligations to which the Company is bound, or (iii) would violate any applicable Law; provided that, in each case, the Company shall use its commercially reasonable efforts to communicate to Buyer the requested information in a way that would not result in any waiver, breach, or violation contemplated by clauses (i) through (iii), respectively.</w:t>
      </w:r>
    </w:p>
    <w:p>
      <w:pPr>
        <w:spacing w:after="0" w:line="77"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and shall procure that the Company (or the relevant Group Company) shall, for a seven year period after Closing, retain and permit the Seller to have reasonable access to (with the right to take copies at the Seller’s expense) the books, records, documents and information of the Company to the extent they relate to periods prior to Closing and with the exception of Seller Excluded Materials (“</w:t>
      </w:r>
      <w:r>
        <w:rPr>
          <w:rFonts w:ascii="Times New Roman" w:cs="Times New Roman" w:eastAsia="Times New Roman" w:hAnsi="Times New Roman"/>
          <w:sz w:val="18"/>
          <w:szCs w:val="18"/>
          <w:i w:val="1"/>
          <w:iCs w:val="1"/>
          <w:color w:val="auto"/>
        </w:rPr>
        <w:t>Transferred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Records</w:t>
      </w:r>
      <w:r>
        <w:rPr>
          <w:rFonts w:ascii="Times New Roman" w:cs="Times New Roman" w:eastAsia="Times New Roman" w:hAnsi="Times New Roman"/>
          <w:sz w:val="18"/>
          <w:szCs w:val="18"/>
          <w:color w:val="auto"/>
        </w:rPr>
        <w:t>”). Without prejudice to the foregoing, the Buyer shall permit the Seller to seek the reasonable assistance of the persons who were employees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at the Relevant Time, whilst they remain so, to answer queries or otherwise assist the Seller with respect to the Transferred Records. For the purposes of this Section 8.1(c), “</w:t>
      </w:r>
      <w:r>
        <w:rPr>
          <w:rFonts w:ascii="Times New Roman" w:cs="Times New Roman" w:eastAsia="Times New Roman" w:hAnsi="Times New Roman"/>
          <w:sz w:val="18"/>
          <w:szCs w:val="18"/>
          <w:i w:val="1"/>
          <w:iCs w:val="1"/>
          <w:color w:val="auto"/>
        </w:rPr>
        <w:t>Seller Excluded Materials”</w:t>
      </w:r>
      <w:r>
        <w:rPr>
          <w:rFonts w:ascii="Times New Roman" w:cs="Times New Roman" w:eastAsia="Times New Roman" w:hAnsi="Times New Roman"/>
          <w:sz w:val="18"/>
          <w:szCs w:val="18"/>
          <w:color w:val="auto"/>
        </w:rPr>
        <w:t xml:space="preserve"> shall mean such documentation and materials (or parts thereof) the disclosure of which would cause a risk of loss or waiver of privilege for the Buyer or any of the Buyer Group Companies, where disclosure would be in breach of law or regulation or that involve any trade secrets or other highly confidential information of the Buyer or any of the Buyer Group Companies.</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71" w:right="479" w:bottom="1440" w:gutter="0" w:footer="0" w:header="0"/>
        </w:sectPr>
      </w:pPr>
    </w:p>
    <w:bookmarkStart w:id="613" w:name="page614"/>
    <w:bookmarkEnd w:id="6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6" w:lineRule="auto"/>
        <w:tabs>
          <w:tab w:leader="none" w:pos="12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timely prepare and file any Tax Return required to be filed by the Company on or before the Relevant Time (not including any extensions thereof), and timely pay any Tax reflected thereon. The Company will prepare such Tax Returns in accordance with applicable Law, and consistent with past custom and practice unless otherwise required by applicable Law.</w:t>
      </w:r>
    </w:p>
    <w:p>
      <w:pPr>
        <w:spacing w:after="0" w:line="67" w:lineRule="exact"/>
        <w:rPr>
          <w:rFonts w:ascii="Times New Roman" w:cs="Times New Roman" w:eastAsia="Times New Roman" w:hAnsi="Times New Roman"/>
          <w:sz w:val="18"/>
          <w:szCs w:val="18"/>
          <w:color w:val="auto"/>
        </w:rPr>
      </w:pPr>
    </w:p>
    <w:p>
      <w:pPr>
        <w:ind w:right="60" w:firstLine="987"/>
        <w:spacing w:after="0" w:line="255" w:lineRule="auto"/>
        <w:tabs>
          <w:tab w:leader="none" w:pos="124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will prepare any Tax Return of the Company (i) required to be filed after the Relevant Time or (ii) which Buyer determines was required to be filed prior to the Relevant Time but which was not filed prior to the Relevant Time. In respect of Section 8.2 (b)(ii) all such Tax Returns shall be prepared in a manner consistent with past custom and practice, in accordance with GAAP, except as otherwise required by applicable Law. The Buyer shall furnish a completed copy of such Tax Returns to the Seller’s Representatives for review not later than twenty (20) days before the Buyer intends to file such Tax Returns. The Seller’s Representatives shall provide any comments no later than ten (10) days prior to such filing date and Buyer shall consider in good faith and reflect in such Tax Return any reasonable comments made by Seller’s Representatives prior to the filing of such Tax Returns.</w:t>
      </w:r>
    </w:p>
    <w:p>
      <w:pPr>
        <w:spacing w:after="0" w:line="80" w:lineRule="exact"/>
        <w:rPr>
          <w:rFonts w:ascii="Times New Roman" w:cs="Times New Roman" w:eastAsia="Times New Roman" w:hAnsi="Times New Roman"/>
          <w:sz w:val="18"/>
          <w:szCs w:val="18"/>
          <w:color w:val="auto"/>
        </w:rPr>
      </w:pPr>
    </w:p>
    <w:p>
      <w:pPr>
        <w:ind w:right="140" w:firstLine="987"/>
        <w:spacing w:after="0" w:line="277" w:lineRule="auto"/>
        <w:tabs>
          <w:tab w:leader="none" w:pos="1236"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shall be responsible for all transfer, documentary, sales, use, recordation, registration and other such Taxes (including any stamp duty and all applicable real estate transfer or gains Taxes), Indirect Taxes and related fees (including any penalties, interest and additions to Tax) incurred in connection with the consummation of the transactions contemplated by this Agreement as required by applicable Law (“</w:t>
      </w:r>
      <w:r>
        <w:rPr>
          <w:rFonts w:ascii="Times New Roman" w:cs="Times New Roman" w:eastAsia="Times New Roman" w:hAnsi="Times New Roman"/>
          <w:sz w:val="17"/>
          <w:szCs w:val="17"/>
          <w:i w:val="1"/>
          <w:iCs w:val="1"/>
          <w:color w:val="auto"/>
        </w:rPr>
        <w:t>Transfer Taxes</w:t>
      </w:r>
      <w:r>
        <w:rPr>
          <w:rFonts w:ascii="Times New Roman" w:cs="Times New Roman" w:eastAsia="Times New Roman" w:hAnsi="Times New Roman"/>
          <w:sz w:val="17"/>
          <w:szCs w:val="17"/>
          <w:color w:val="auto"/>
        </w:rPr>
        <w:t>”), save that the Seller shall reimburse Buyer for 100% of the stamp duty payable by the Buyer in respect of the sale and purchase of the A Pref Shares. Buyer and the Seller will reasonably cooperate with each other to timely file such Tax Returns and lawfully minimize any such Transfer Taxes.</w:t>
      </w:r>
    </w:p>
    <w:p>
      <w:pPr>
        <w:spacing w:after="0" w:line="59" w:lineRule="exact"/>
        <w:rPr>
          <w:rFonts w:ascii="Times New Roman" w:cs="Times New Roman" w:eastAsia="Times New Roman" w:hAnsi="Times New Roman"/>
          <w:sz w:val="17"/>
          <w:szCs w:val="17"/>
          <w:color w:val="auto"/>
        </w:rPr>
      </w:pPr>
    </w:p>
    <w:p>
      <w:pPr>
        <w:ind w:firstLine="987"/>
        <w:spacing w:after="0" w:line="253" w:lineRule="auto"/>
        <w:tabs>
          <w:tab w:leader="none" w:pos="124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the Seller, the Seller’s Representatives and the Company shall cooperate fully, as and to the extent reasonably requested by the Buyer, in connection with the filing of Tax Returns pursuant to this Agreement and any audit, administrative proceeding or judicial proceeding involving Taxes. Such cooperation shall include the retention and (upon the Buyer’s request) the provision of records and information which are reasonably relevant to any such Tax Returns, audits, or administrative or judicial proceedings related to Taxes, including all records and information reasonably capable of being obtained or created, and making employees available on a mutually convenient basis to provide additional information and explanation of any material provided hereunder through the applicable statute of limitations. Buyer, the Company, and the Seller’s Representatives (to the extent it is lawfully within its powers to do so) agree (A) to retain all books and records with respect to Tax matters pertinent to the Company relating to any Taxable Period beginning before the Relevant Time until the expiration of the statute of limitations (including any extensions thereof) of the respective Taxable Periods, and to abide by all record retention Laws of, and agreements entered into with, any Governmental Entity; (B) to deliver or make available to Buyer, within 60 calendar days after the Relevant Time, copies of all such books and records; and (C) to give the Buyer reasonable written notice prior to transferring, destroying or discarding any such books and records and, if the other Party so requests, Buyer, the Company, and the Seller’s Representatives, as the case may be, will allow the other Party to prepare copies of such books and records at such other party’s expense.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14" w:name="page615"/>
    <w:bookmarkEnd w:id="61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30" w:lineRule="auto"/>
        <w:tabs>
          <w:tab w:leader="none" w:pos="121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9.8, from and after the Effective Time until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thereof, Buyer shall, and shall cause the Company to, fulfill and honor in all respects the obligations of the Company pursuant to any indemnification provisions under the Constitutive Documents of the Company as in effect on the date of this Agreement and pursuant to any indemnity agreements between the Company and any Person as in effect on the date of this Agreement (the Persons entitled to be indemnified pursuant to such provisions, and all other current and former directors and officers of the Company, being referred to collectively as the “</w:t>
      </w:r>
      <w:r>
        <w:rPr>
          <w:rFonts w:ascii="Times New Roman" w:cs="Times New Roman" w:eastAsia="Times New Roman" w:hAnsi="Times New Roman"/>
          <w:sz w:val="18"/>
          <w:szCs w:val="18"/>
          <w:i w:val="1"/>
          <w:iCs w:val="1"/>
          <w:color w:val="auto"/>
        </w:rPr>
        <w:t>D&amp;O Indemnified Parties</w:t>
      </w:r>
      <w:r>
        <w:rPr>
          <w:rFonts w:ascii="Times New Roman" w:cs="Times New Roman" w:eastAsia="Times New Roman" w:hAnsi="Times New Roman"/>
          <w:sz w:val="18"/>
          <w:szCs w:val="18"/>
          <w:color w:val="auto"/>
        </w:rPr>
        <w:t>”). From and after the Effective Time until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thereof, Buyer shall cause the Constitutive Documents of the Company to contain the same (or substantially similar) provisions with respect to indemnification and exculpation from liability set forth in the Company’s Constitutive Documents on the date of this Agreement, which provisions shall not be amended, repealed or otherwise modified after the Effective Time in any manner that could adversely affect the rights thereunder of any D&amp;O Indemnified Party.</w:t>
      </w:r>
    </w:p>
    <w:p>
      <w:pPr>
        <w:spacing w:after="0" w:line="90"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2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8.2(b) shall survive the consummation of the Closing and the Effective Time, is intended to benefit and may be enforced by the Company, Buyer, and the D&amp;O Indemnified Parties, and shall be binding on all successors and assigns of Buyer and the Company.</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Securities Laws; Restrictions on Transfer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61" w:lineRule="auto"/>
        <w:tabs>
          <w:tab w:leader="none" w:pos="121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and understands that the Sale Shares have not been, and will not be, registered under the Securities Act or the securities laws of any state or other Governmental Entity and that the Sale Shares may be sold or disposed of only in one or more transactions (i) registered under the Securities Act, applicable state securities laws and/or the laws of any other applicable Governmental Entity or (ii) as to which an exemption from the registration requirements of the Securities Act, applicable state securities laws or the laws of any other applicable Governmental Entity is available.</w:t>
      </w:r>
    </w:p>
    <w:p>
      <w:pPr>
        <w:spacing w:after="0" w:line="71"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agrees and understands that the Consideration Shares have not been, and will not be, registered under the Securities Act or the securities laws of any state or other Governmental Entity and that the Consideration Shares may be sold or disposed of only in one or more transactions (i) registered under the Securities Act, applicable state securities laws and/or the laws of any other applicable Governmental Entity or (ii) as to which an exemption from the registration requirements of the Securities Act, applicable state securities laws or the laws of any other applicable Governmental Entity is available.</w:t>
      </w:r>
    </w:p>
    <w:p>
      <w:pPr>
        <w:spacing w:after="0" w:line="75" w:lineRule="exact"/>
        <w:rPr>
          <w:rFonts w:ascii="Times New Roman" w:cs="Times New Roman" w:eastAsia="Times New Roman" w:hAnsi="Times New Roman"/>
          <w:sz w:val="18"/>
          <w:szCs w:val="18"/>
          <w:color w:val="auto"/>
        </w:rPr>
      </w:pPr>
    </w:p>
    <w:p>
      <w:pPr>
        <w:jc w:val="both"/>
        <w:ind w:left="-20" w:right="200" w:firstLine="987"/>
        <w:spacing w:after="0" w:line="261" w:lineRule="auto"/>
        <w:tabs>
          <w:tab w:leader="none" w:pos="121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agrees that for so long as any Consideration Shares are “restricted securities” within the meaning of Rule 144(a)(3) under the Securities Act, it will not, and will procure that its Affiliates do not, resell in the United States or to any US Person, or to any person acting for the benefit or account of any US Person, any Consideration Shares that have been acquired by any of them unless pursuant to registration under the Securities Act or pursuant to an available exemption from registration.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60" w:top="271" w:right="479" w:bottom="1440" w:gutter="0" w:footer="0" w:header="0"/>
        </w:sectPr>
      </w:pPr>
    </w:p>
    <w:bookmarkStart w:id="615" w:name="page616"/>
    <w:bookmarkEnd w:id="615"/>
    <w:p>
      <w:pPr>
        <w:ind w:right="220" w:firstLine="987"/>
        <w:spacing w:after="0" w:line="255" w:lineRule="auto"/>
        <w:tabs>
          <w:tab w:leader="none" w:pos="124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Seller agrees that it shall only sell, assign, transfer or otherwise dispose of shares of Buyer A Preferred Stock that it acquires in connection with this Agreement or subsequently acquires (i) in compliance with the Constitutive Documents of Buyer, any stockholder or other agreements to which the Seller is bound and this Agreement, and (ii) if, prior to such sale, assignment, transfer or other disposal, the applicable transferee signs a counterpart to this Agreement pursuant to which such transferee agrees to be bound by the terms of this Agreement and to be a “Seller” hereunder if the sale, assignment, transfer or other disposal is consummated prior to the expiration of all indemnification survival periods set out in Section 9.1;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subsequent transfer of the Buyer A Preferred Stock by any such transferee shall also be made pursuant to, and in accordance with, all of the provisions of this Section 8.4(c) to the same extent as if each such transferee were a Seller.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fifth anniversary of the Relevant Time, the Seller shall keep in confidence and shall not disclose, and shall cause its Affiliates and Representatives to keep in confidence and not disclose, the information or materials provided to it and its Affiliates or Representatives in connection with the consummation of the transactions contemplated by this Agreement, including any such information provided in connection with the negotiation of or discussions regarding this Agreement and the transactions contemplated herein, as well as the terms and conditions of this Agreement and the other documents and agreements contemplated herein and any terms and conditions arising out of or relating thereto (collectively, the “</w:t>
      </w:r>
      <w:r>
        <w:rPr>
          <w:rFonts w:ascii="Times New Roman" w:cs="Times New Roman" w:eastAsia="Times New Roman" w:hAnsi="Times New Roman"/>
          <w:sz w:val="18"/>
          <w:szCs w:val="18"/>
          <w:i w:val="1"/>
          <w:i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the Seller and its respective Affiliates and Representatives shall be permitted to disclose and use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 Materials (i) in order to comply with applicable Law and their respective regulatory, stock exchange, tax and financial reporting requirements, (ii) in connection with any Action and (iii) in order to perform their respective obligations or exercise their respective rights or remedies under this Agreement and provided that the Seller shall be entitled to disclose the terms of this Agreement and the transactions contemplated hereby to its investors and to its Affiliate funds and their respective investors to the extent necessary to comply with its reporting obligations to such parties.</w:t>
      </w:r>
    </w:p>
    <w:p>
      <w:pPr>
        <w:spacing w:after="0" w:line="86"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agreement or document contemplated herein, following the Closing, in no event shall Buyer or its Affiliates be subject to any restriction with respect to any use or disclosure of any Confidential Materials of the Company.</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None of the Parties shall, and each Party shall use commercially reasonable efforts to cause its officers, directors, employees, advisors and other Representatives not to, issue a press release or public announcement or otherwise make any public disclosure concerning the subject matter of this Agreement or the transactions contemplated hereby without the prior written approval of Buyer and the Company (or, after the Closing, the Seller’s Representatives).</w:t>
      </w:r>
    </w:p>
    <w:p>
      <w:pPr>
        <w:spacing w:after="0" w:line="18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in this Agreement, each of the Parties shall bear its own fees and expenses incurred or owed in connection with this Agreement and the transactions contemplated hereby and thereby.</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Payment of Company’s Indebtedness and Transaction Expenses</w:t>
      </w:r>
      <w:r>
        <w:rPr>
          <w:rFonts w:ascii="Times New Roman" w:cs="Times New Roman" w:eastAsia="Times New Roman" w:hAnsi="Times New Roman"/>
          <w:sz w:val="18"/>
          <w:szCs w:val="18"/>
          <w:color w:val="auto"/>
        </w:rPr>
        <w:t>. No later than ten (10) Business Days after the Relevant Time, Buyer shall pay (or cause to be paid) the Company’s Indebtedness and Transaction Expenses to the extent still outstanding following the Closing in the amounts and to the Persons set forth on the Estimated Closing Statement.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16" w:name="page617"/>
    <w:bookmarkEnd w:id="61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8.9.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1" w:lineRule="auto"/>
        <w:tabs>
          <w:tab w:leader="none" w:pos="123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inducement to Buyer to enter into this Agreement and any agreements ancillary hereto to which it will be a party and consummate the transactions contemplated hereby and thereby and for other good and sufficient consideration, the Seller, with the intention of binding itself and any other Person to the extent claiming through the Seller (including the Seller’s Affiliates, Representatives, heirs, executors, administrators and assigns) (the “</w:t>
      </w:r>
      <w:r>
        <w:rPr>
          <w:rFonts w:ascii="Times New Roman" w:cs="Times New Roman" w:eastAsia="Times New Roman" w:hAnsi="Times New Roman"/>
          <w:sz w:val="18"/>
          <w:szCs w:val="18"/>
          <w:i w:val="1"/>
          <w:iCs w:val="1"/>
          <w:u w:val="single" w:color="auto"/>
          <w:color w:val="auto"/>
        </w:rPr>
        <w:t>Releasors</w:t>
      </w:r>
      <w:r>
        <w:rPr>
          <w:rFonts w:ascii="Times New Roman" w:cs="Times New Roman" w:eastAsia="Times New Roman" w:hAnsi="Times New Roman"/>
          <w:sz w:val="18"/>
          <w:szCs w:val="18"/>
          <w:color w:val="auto"/>
        </w:rPr>
        <w:t>”), does hereby (effective as of and subject to the Closing) unconditionally and irrevocably release, acquit and forever discharge Buyer and each of its past, present and future Affiliates and Representatives, including the Company, and all Persons acting by, through, under, or in concert with any of such Persons (the “</w:t>
      </w:r>
      <w:r>
        <w:rPr>
          <w:rFonts w:ascii="Times New Roman" w:cs="Times New Roman" w:eastAsia="Times New Roman" w:hAnsi="Times New Roman"/>
          <w:sz w:val="18"/>
          <w:szCs w:val="18"/>
          <w:i w:val="1"/>
          <w:iCs w:val="1"/>
          <w:u w:val="single" w:color="auto"/>
          <w:color w:val="auto"/>
        </w:rPr>
        <w:t>Releasees</w:t>
      </w:r>
      <w:r>
        <w:rPr>
          <w:rFonts w:ascii="Times New Roman" w:cs="Times New Roman" w:eastAsia="Times New Roman" w:hAnsi="Times New Roman"/>
          <w:sz w:val="18"/>
          <w:szCs w:val="18"/>
          <w:color w:val="auto"/>
        </w:rPr>
        <w:t>”), of and from any and all Actions, causes of action, suits, arbitrations, other proceedings, demands, debts, Contracts, promises, Liabilities and Losses of any nature whatsoever, known or unknown, suspected or unsuspected, fixed or contingent, direct, derivative, vicarious or otherwise, whether based in contract, tort, or other legal, statutory, or equitable theory of recovery, each as though fully set forth at length herein (collectively, a “</w:t>
      </w:r>
      <w:r>
        <w:rPr>
          <w:rFonts w:ascii="Times New Roman" w:cs="Times New Roman" w:eastAsia="Times New Roman" w:hAnsi="Times New Roman"/>
          <w:sz w:val="18"/>
          <w:szCs w:val="18"/>
          <w:i w:val="1"/>
          <w:iCs w:val="1"/>
          <w:u w:val="single" w:color="auto"/>
          <w:color w:val="auto"/>
        </w:rPr>
        <w:t>Claim</w:t>
      </w:r>
      <w:r>
        <w:rPr>
          <w:rFonts w:ascii="Times New Roman" w:cs="Times New Roman" w:eastAsia="Times New Roman" w:hAnsi="Times New Roman"/>
          <w:sz w:val="18"/>
          <w:szCs w:val="18"/>
          <w:color w:val="auto"/>
        </w:rPr>
        <w:t>”), which the Releasors now have or may hereafter have against the Releasees, or any of them, by reason of any matter, cause, act, omission or thing whatsoever in any way arising out of, based upon, or relating to the Seller’s ownership of Sale Shares, the organization of the Company, or the operation of the Company’s business prior to the Closing (the “</w:t>
      </w:r>
      <w:r>
        <w:rPr>
          <w:rFonts w:ascii="Times New Roman" w:cs="Times New Roman" w:eastAsia="Times New Roman" w:hAnsi="Times New Roman"/>
          <w:sz w:val="18"/>
          <w:szCs w:val="18"/>
          <w:i w:val="1"/>
          <w:iCs w:val="1"/>
          <w:u w:val="single" w:color="auto"/>
          <w:color w:val="auto"/>
        </w:rPr>
        <w:t>Released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set forth in this Section 8.9 shall release or otherwise affect (i) the right or ability of any the Seller to fully enforce its rights and remedies under this Agreement or any ancillary agreements hereto to which it is a party in accordance with the terms hereof and thereof, (ii) the right of any Releasor to indemnification or insurance benefits under any insurance policy in effect as of the date hereof maintained by or covering the Company or its operations, or from the Company (under its Constitutive Documents or under a Contract), with respect to such Releasor’s service as a director, officer, employee or agent of the Company, (iii) the right of any Releasor to unpaid compensation or other payment for services as an employee of or independent contractor to the Company or to receive benefits under any Company Plan, (iv) any rights of any Releasor arising from or related to fraud or criminal activity committed by any Releasee, (v) any rights of a Releasor in respect of any unknown claims that a Releasor may have arising out of any contractual or commercial relationship such Releasor may have with a Releasee other than the Company that is unrelated to this Agreement or the transactions contemplated hereby, or (vi) any rights of any Releasor that, under applicable Law, cannot be waived. The Seller expressly consents that this general release shall be given full force and effect according to each and all of its express terms and provisions, including those relating to unknown and unsuspected Released Matters (notwithstanding any Law that expressly limits the effectiveness of a general release of unknown, unsuspected or unanticipated Claims).</w:t>
      </w:r>
    </w:p>
    <w:p>
      <w:pPr>
        <w:spacing w:after="0" w:line="9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represents and warrants to Buyer that there has been no assignment or other transfer of any interest in any Claim arising out of or based upon any of the Released Matters which the Seller may have against any of the Releasees, and the Seller agrees to indemnify and hold the Releasees harmless from, and compensate and reimburse them for, any Liabilities, Claims or Losses incurred as a result of any Person asserting any such assignment or transfer of any rights or Claims under any such assignment or transfer from such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1" w:right="439" w:bottom="1440" w:gutter="0" w:footer="0" w:header="0"/>
        </w:sectPr>
      </w:pPr>
    </w:p>
    <w:bookmarkStart w:id="617" w:name="page618"/>
    <w:bookmarkEnd w:id="617"/>
    <w:p>
      <w:pPr>
        <w:ind w:firstLine="987"/>
        <w:spacing w:after="0" w:line="255" w:lineRule="auto"/>
        <w:tabs>
          <w:tab w:leader="none" w:pos="123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Seller represents and warrants to Buyer that neither it nor its Affiliates has filed, and the Seller shall not, and shall cause its Affiliates not to, file or otherwise seek to assert or assist any other Person in filing or otherwise seeking to assert, nor as of the date hereof has, any Claim arising out of or based upon any of the Released Matters against any of the Releasees. The Seller agrees that if it hereafter commences, joins in, or in any manner seeks relief through any Action arising out of, based upon, or relating to any of the Claims released hereunder, or in any manner asserts against the Releasees any of the Claims released hereunder, including through any motion to reconsider, reopen or appeal the dismissal of the Action, and the Releasees are the prevailing party in such Action, then the Seller shall pay to the Releasees against whom such Claim(s) is asserted all Losses incurred by such Releasees in defending or otherwise responding to such Claim.</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as and when reasonably requested by any Party, the Parties shall execute and deliver, or cause to be executed and delivered, all such documents and instruments and shall take, or cause to be taken, all such further or other actions as a Party may reasonably deem necessary or desirable in order to carry out the intent and accomplish the purposes of this Agreement and, subject to the conditions of this Agreement, the consummation of the transactions contemplated 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ind w:right="14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xml:space="preserve">. Subject to the limitations on liability set out in this Agreement, the representations and warranties of the Parties contained in this Agreement shall survive the Closing until the date which is [***] months after the Relevant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 the representations and warranties of the Company contained in Section 5.15 (Taxes) and Section 5.12 (Intellectual Property) shall survive the Closing until the date which is [***] months after the Relevant Time, and (ii) the Fundamental Representations (other than the representation and warranties of the Company contained in Section 5.12 (Intellectual Property)) and each of the representations and warranties of each Seller contained in ARTICLE 7 shall survive the Closing until the expiration of [***] years from the Relevant Time; and (iii) the indemnities for Tax in Section 9.2(d), Section 9.2(e), Section 9.2(f) and Section 9.2(g) until the expiry of the statute of limitations. All of the other covenants and other agreements of the Parties contained in this Agreement shall survive until fully performed or fulfilled. As used in this ARTICLE 9, “fraud” means intentional fraud (i.e. with scienter). For the avoidance of doubt, no reference in this Agreement, or any certificate delivered pursuant hereto, to any applicable statute of limitations shall be deemed to refer to the Delaware extended breach of contract statute of limitations.</w:t>
      </w:r>
    </w:p>
    <w:p>
      <w:pPr>
        <w:spacing w:after="0" w:line="177"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 of Buyer</w:t>
      </w:r>
      <w:r>
        <w:rPr>
          <w:rFonts w:ascii="Times New Roman" w:cs="Times New Roman" w:eastAsia="Times New Roman" w:hAnsi="Times New Roman"/>
          <w:sz w:val="18"/>
          <w:szCs w:val="18"/>
          <w:color w:val="auto"/>
        </w:rPr>
        <w:t>. From and after the Closing, subject to the provisions of this ARTICLE 9, Buyer and its Affiliates (including, from and after the Closing, the Company) and each of their respective officers, directors, employees, shareholders, partners, members or other equity holders, agents and Representatives, but excluding any Previous Seller (each, a “</w:t>
      </w:r>
      <w:r>
        <w:rPr>
          <w:rFonts w:ascii="Times New Roman" w:cs="Times New Roman" w:eastAsia="Times New Roman" w:hAnsi="Times New Roman"/>
          <w:sz w:val="18"/>
          <w:szCs w:val="18"/>
          <w:i w:val="1"/>
          <w:iCs w:val="1"/>
          <w:color w:val="auto"/>
        </w:rPr>
        <w:t>Buyer Indemnified Party</w:t>
      </w:r>
      <w:r>
        <w:rPr>
          <w:rFonts w:ascii="Times New Roman" w:cs="Times New Roman" w:eastAsia="Times New Roman" w:hAnsi="Times New Roman"/>
          <w:sz w:val="18"/>
          <w:szCs w:val="18"/>
          <w:color w:val="auto"/>
        </w:rPr>
        <w:t>”) shall be indemnified by the Seller, (according to the Seller’s Pro Rata Percentage of such Loss, other than as set forth in Section 9.3(b)) severally but not jointly with any Previous Seller, against any and all Losses, whether or not involving a Third Party Claim, to the extent arising out of or resulting from: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18" w:name="page619"/>
    <w:bookmarkEnd w:id="618"/>
    <w:p>
      <w:pPr>
        <w:ind w:right="40" w:firstLine="987"/>
        <w:spacing w:after="0" w:line="266" w:lineRule="auto"/>
        <w:tabs>
          <w:tab w:leader="none" w:pos="12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breach or violation of or inaccuracy in any representation or warranty made by the Company contained in Article 5 of this Agreement but for the purpose of calculating the Pro Rata Percentage of the Loss, the Loss shall be deemed to be 100% of the Loss and not based on the percentage of Sale Shares that are being acquired by the Buyer under this Agreement;</w:t>
      </w:r>
    </w:p>
    <w:p>
      <w:pPr>
        <w:spacing w:after="0" w:line="67"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or violation of any covenant or agreement of the Company contained in this Agreement or in any other document executed and delivered by the Company in connection with the consummation of the transactions contemplated thereby, whether occurring before or at the closing but not after the closing of the C/C Transaction but for the purpose of calculating the Pro Rata Percentage of the Loss, the Loss shall be deemed to be 100% of the Loss and not based on the percentage of Sale Shares that are being acquired by the Buyer under this Agreement;</w:t>
      </w:r>
    </w:p>
    <w:p>
      <w:pPr>
        <w:spacing w:after="0" w:line="71"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breach or violation of or inaccuracy of any representation or warranty of the Seller under ARTICLE 7,(ii) breach of violation of any covenant of the Seller (including under this ARTICLE 9) in or pursuant to this Agreement or (iii) any fraud or willful concealment by the Seller in connection with this Agreement or the transactions contemplated hereby;</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Taxes;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resulting from a breach or violation of a covenant or agreement contained in this Agreement related to Taxes;</w:t>
      </w:r>
    </w:p>
    <w:p>
      <w:pPr>
        <w:spacing w:after="0" w:line="117" w:lineRule="exact"/>
        <w:rPr>
          <w:rFonts w:ascii="Times New Roman" w:cs="Times New Roman" w:eastAsia="Times New Roman" w:hAnsi="Times New Roman"/>
          <w:sz w:val="18"/>
          <w:szCs w:val="18"/>
          <w:color w:val="auto"/>
        </w:rPr>
      </w:pPr>
    </w:p>
    <w:p>
      <w:pPr>
        <w:ind w:right="160" w:firstLine="987"/>
        <w:spacing w:after="0" w:line="312" w:lineRule="auto"/>
        <w:tabs>
          <w:tab w:leader="none" w:pos="1216"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of the Company in any Post-Closing Tax Period attributable to any deferred revenue, prepaid amount, advance payment, or similar item that was received in a Pre- Closing Tax Period and that is includible in income for the relevant Tax purposes in a Post-Closing Tax Period;</w:t>
      </w:r>
    </w:p>
    <w:p>
      <w:pPr>
        <w:spacing w:after="0" w:line="31" w:lineRule="exact"/>
        <w:rPr>
          <w:rFonts w:ascii="Times New Roman" w:cs="Times New Roman" w:eastAsia="Times New Roman" w:hAnsi="Times New Roman"/>
          <w:sz w:val="17"/>
          <w:szCs w:val="17"/>
          <w:color w:val="auto"/>
        </w:rPr>
      </w:pPr>
    </w:p>
    <w:p>
      <w:pPr>
        <w:ind w:right="340" w:firstLine="987"/>
        <w:spacing w:after="0" w:line="282" w:lineRule="auto"/>
        <w:tabs>
          <w:tab w:leader="none" w:pos="124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the Estimated Closing Statement, including any Indebtedness of the Company or Transaction Expenses that were omitted or understated on the Estimated Closing Statement, other than any such amounts accounted for in the Final Closing Statement;</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or disputes with respect to (i) the allocation or payment to the Seller of any Seed Share Consideration pursuant to the terms of this Agreement or of any shares in Buyer to any Previous Seller in connection with the C/C Transaction or (ii) any claim that the Consideration Schedule (or any claim by a Previous Seller that any consideration schedule in relation to the C/C Transaction) is not true, complete and correct in all respects;</w:t>
      </w:r>
    </w:p>
    <w:p>
      <w:pPr>
        <w:spacing w:after="0" w:line="7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arising at any time in respect of any acquisition, holding or disposal of the Consideration Shares by the Seller; and</w:t>
      </w:r>
    </w:p>
    <w:p>
      <w:pPr>
        <w:spacing w:after="0" w:line="117" w:lineRule="exact"/>
        <w:rPr>
          <w:rFonts w:ascii="Times New Roman" w:cs="Times New Roman" w:eastAsia="Times New Roman" w:hAnsi="Times New Roman"/>
          <w:sz w:val="18"/>
          <w:szCs w:val="18"/>
          <w:color w:val="auto"/>
        </w:rPr>
      </w:pPr>
    </w:p>
    <w:p>
      <w:pPr>
        <w:ind w:right="140" w:firstLine="987"/>
        <w:spacing w:after="0" w:line="282" w:lineRule="auto"/>
        <w:tabs>
          <w:tab w:leader="none" w:pos="120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or willful concealment by or on behalf of the Company including in connection with the C/C Transaction Agreements or the transactions contemplated thereby occurring before or at the Closing but not after the Closing.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1" w:right="439" w:bottom="1440" w:gutter="0" w:footer="0" w:header="0"/>
        </w:sectPr>
      </w:pPr>
    </w:p>
    <w:bookmarkStart w:id="619" w:name="page620"/>
    <w:bookmarkEnd w:id="6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Limits on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any Loss for which it is obligated to indemnify a Buyer Indemnified Party under Section 9.2 shall be satisfied by way of the Buyer (i) setting-off against and deducting any amounts from the Deferred Consideration Payment to be made to the Seller under the terms of this Agreement, and/or (ii) cancelling Seed Consideration Shares held by the Seller pursuant to Section 9.3(g), and/or (iii) solely with respect to any indemnifiable Losses arising out of or relating to any matter for which indemnification may be sought under Section 9.2(c)(iii) or Section 9.2(j), reclaiming any portion of the Upfront Cash Consideration and the Deferred Consideration Payment, subject in each case to the Loss being determined either by written agreement between the Buyer and the Seller’s Representatives or by a court of competent jurisdiction (in accordance with Section 10.4) as a Loss for which the Seller is liable to indemnify the Buyer under the terms of this Agreement. A Buyer Indemnified Party shall have no other recourse against the Seller in respect of any and all Losses for which it is entitled to indemnification from the Seller under Section 9.2, and the Buyer or its Affiliates or any other Buyer Indemnified Party shall have no other recourse against the Seller for any other claims of any nature whatsoever under or in connection with this Agreement, other than as set forth in this Section 9.3(a) except, in the case of fraud or willful concealment by the Seller.</w:t>
      </w:r>
    </w:p>
    <w:p>
      <w:pPr>
        <w:spacing w:after="0" w:line="8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indemnifiable Losses arising out of or relating to any matter for which indemnification may be sought under Section 9.2, other than Section 9.2(c), the Seller shall be severally, but not jointly, with the Previous Sellers, liable for a portion of such Loss equal to the product of (i) the aggregate amount of such Loss, multiplied by (ii) the Seller’s Pro Rata Percentage. With respect to any indemnifiable Losses arising out of or relating to any matter for which indemnification may be sought under Section 9.2(c), the Seller shall be liable for 100% of such Loss. Except for the Seller’s liability for its own commission of fraud or willful concealment in its capacity as the Seller and not as an employee or agent of the Company (in which case the only indemnity available is indemnification by such fraudulent Seller), the aggregate liability of the Seller under</w:t>
      </w:r>
    </w:p>
    <w:p>
      <w:pPr>
        <w:spacing w:after="0" w:line="5"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9.2 shall not exceed the amount that is the sum of: (A) the amount equal to the value of the Seed Share Consideration received by the Seller, together with (B) 100% of any Deferred Consideration Payments received by the Seller subject to Section 9.3(c). Notwithstanding any other provision of this Agreement, in no event will the Seller be liable for any other Previous Seller’s breach of such other Previous Seller’s representations, warranties, covenants, or agreements contained in any agreement relating to the sale of shares in the capital of the Company to the Buyer, or for fraud, intentional breach or willful misconduct committed by any other Previous Seller in its capacity as a seller of shares in the capital of the Company to the Buyer and not as an employee or agent of the Company.</w:t>
      </w:r>
    </w:p>
    <w:p>
      <w:pPr>
        <w:spacing w:after="0" w:line="81" w:lineRule="exact"/>
        <w:rPr>
          <w:rFonts w:ascii="Times New Roman" w:cs="Times New Roman" w:eastAsia="Times New Roman" w:hAnsi="Times New Roman"/>
          <w:sz w:val="18"/>
          <w:szCs w:val="18"/>
          <w:color w:val="auto"/>
        </w:rPr>
      </w:pPr>
    </w:p>
    <w:p>
      <w:pPr>
        <w:ind w:right="120" w:firstLine="987"/>
        <w:spacing w:after="0" w:line="254" w:lineRule="auto"/>
        <w:tabs>
          <w:tab w:leader="none" w:pos="123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indemnifiable Losses arising out of or relating to any matter for which indemnification may be sought under Section 9.2(a) the aggregate amount of all Losses for which the Seller shall be liable shall not exceed in aggregate an amount equal to 10% of the value of the Seed Share Consideration issued to it at the Closing calculated on the basis of the Per Share Value, and 10% of any Deferred Consideration Payment paid or payable to the Seller except to the extent such Losses arise out of any breach or violation of, or inaccuracy in, any of the Fundamental Representations (in which case the limits in Section 9.2(b) apply). Notwithstanding anything to the contrary set forth above, in the event of there being an indemnifiable Loss in respect of a breach of any of the representations or warranties set forth in Section 5.12 of this Agreement, the Seller’s liability shall be limited to 10% of the value of the Seed Share Consideration held by it calculated on the basis of the Per Share Value and 10% of any Deferred Consideration Payment paid or payable to it.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20" w:name="page621"/>
    <w:bookmarkEnd w:id="620"/>
    <w:p>
      <w:pPr>
        <w:ind w:firstLine="987"/>
        <w:spacing w:after="0" w:line="254" w:lineRule="auto"/>
        <w:tabs>
          <w:tab w:leader="none" w:pos="124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indemnifiable Losses arising out of or relating to any matter for which indemnification may be sought under Section 9.2(j), (i) the aggregate amount of all Losses for which the Seller shall be liable shall not exceed the amount that is the sum of: (A) the amount equal to the value of the Seed Share Consideration received by the Seller, plus (B) 100% of any Deferred Consideration Payments received by the Seller subject to Section 9.3(c), plus (C) 100% of any Upfront Cash Consideration received by the Seller at Closing, and (ii) the first course of recourse for the Buyer to satisfy any such Losses shall be the cancellation of Seed Consideration Shares held by the Seller pursuant to Section 9.3(g), and only after all Seed Consideration Shares held by the Seller have been cancelled shall the Buyer be permitted to reclaim any cash amounts previously paid to the Seller(s) (including any portion of the Upfront Cash Consideration and the Deferred Consideration Payment). For the avoidance of doubt, the liability of a Seller who has committed any fraud or willful concealment by or on behalf of the Company shall not be limited by this Section 9.3(d).</w:t>
      </w:r>
    </w:p>
    <w:p>
      <w:pPr>
        <w:spacing w:after="0" w:line="83"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no liability in respect of a Loss arising out of Section 9.2(a) (and for this purpose, the Loss shall be deemed to be 100% of the Loss and not based on the percentage of Sale Shares that are being acquired by the Buyer under this Agreement): (i) unless the Loss (together which any Losses that are connected) exceeds US$[***]; and (ii) until the aggregate amount of all Losses other than those excluded by (i), exceeds US$[***], after which the Seller shall be liable for its Pro Rata Percentage of all amounts of such Loss from dollar one, other than those excluded by the foregoing clause (i).</w:t>
      </w:r>
    </w:p>
    <w:p>
      <w:pPr>
        <w:spacing w:after="0" w:line="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Buyer Indemnified Party may only recover once in respect of the same Loss for which indemnification may be sought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9.2 or under any other term of this Agreement.</w:t>
      </w:r>
    </w:p>
    <w:p>
      <w:pPr>
        <w:spacing w:after="0" w:line="99" w:lineRule="exact"/>
        <w:rPr>
          <w:sz w:val="20"/>
          <w:szCs w:val="20"/>
          <w:color w:val="auto"/>
        </w:rPr>
      </w:pPr>
    </w:p>
    <w:p>
      <w:pPr>
        <w:ind w:right="20" w:firstLine="987"/>
        <w:spacing w:after="0" w:line="254" w:lineRule="auto"/>
        <w:tabs>
          <w:tab w:leader="none" w:pos="124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Seller is obligated to indemnify any Buyer Indemnified Party for any Losses pursuant to this ARTICLE 9 the Buyer shall, pursuant to (a) be permitted to cancel for no consideration a number of Seed Consideration Shares issued to the Seller equal to (i) the aggregate amount of such Loss for which the Seller is liable, divided by (ii) the Per Share Value. Upon any such cancellation of shares of Buyer A Preferred Stock comprising the Seed Consideration Shares under this Section 9.3(g), Buyer shall deliver written notice to the Seller setting forth the amount of such Loss and the number of shares of Buyer A Preferred Stock to be cancelled and shall reflect such cancellation (and reissue, as applicable) in book entry form in the Buyer’s electronic stock ledger. In furtherance of any exercise by the Buyer of its right to cancel shares of Buyer A Preferred Stock under this Section 9.3(g), the Seller hereby appoints the Buyer’s chief executive officer as its attorney-in-fact to take such action as is reasonably necessary to cause cancellation of the shares of Buyer A Preferred Stock comprising the Seed Share Consideration issued to the Seller in accordance with this Agreement.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1" w:right="479" w:bottom="1440" w:gutter="0" w:footer="0" w:header="0"/>
        </w:sectPr>
      </w:pPr>
    </w:p>
    <w:bookmarkStart w:id="621" w:name="page622"/>
    <w:bookmarkEnd w:id="621"/>
    <w:p>
      <w:pPr>
        <w:ind w:left="4" w:right="40" w:firstLine="987"/>
        <w:spacing w:after="0" w:line="256" w:lineRule="auto"/>
        <w:tabs>
          <w:tab w:leader="none" w:pos="125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those matters expressly disclosed in the Disclosure Letter or deemed to have been disclosed in accordance with the terms of the Disclosure Letter, the right of Buyer to indemnification pursuant to Section 9.2 will not be affected by any investigation conducted or knowledge acquired (or capable of being acquired) at any time, whether before or after the execution and delivery of this Agreement or the Closing, with respect to any accuracy of any representation or warranty, or performance of or compliance with any covenant or agreement herein; provided that nothing in this Section 9.3(h) shall limit the right of the Buyer to indemnification pursuant to Section 9.2(d), Section 9.2(e), Section 9.2(f) and Section 9.2(i) in respect of income tax, employee and employer national insurance contributions and the apprenticeship levy and associated interest and/or penalties.</w:t>
      </w:r>
    </w:p>
    <w:p>
      <w:pPr>
        <w:spacing w:after="0" w:line="79"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1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amount of Losses arising from a breach of or inaccuracy in any representation or warranty of the Parties to this Agreement (but not for purposes of determining whether any such breach or inaccuracy occurred), limitations or qualifications as to dollar amount, materiality or Material Adverse Change (or similar concept) set forth in such representation, warranty, covenant or obligation shall be disregarded (other than the representation and warranty of the Company set forth in Section 5.7).</w:t>
      </w:r>
    </w:p>
    <w:p>
      <w:pPr>
        <w:spacing w:after="0" w:line="71" w:lineRule="exact"/>
        <w:rPr>
          <w:rFonts w:ascii="Times New Roman" w:cs="Times New Roman" w:eastAsia="Times New Roman" w:hAnsi="Times New Roman"/>
          <w:sz w:val="18"/>
          <w:szCs w:val="18"/>
          <w:color w:val="auto"/>
        </w:rPr>
      </w:pPr>
    </w:p>
    <w:p>
      <w:pPr>
        <w:ind w:left="4" w:firstLine="987"/>
        <w:spacing w:after="0" w:line="253" w:lineRule="auto"/>
        <w:tabs>
          <w:tab w:leader="none" w:pos="121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recoverable hereunder shall be computed net of payments actually recovered by the Buyer Indemnified Party under any insurance policy with respect to such Losses and net of any Tax benefit actually received in the applicable accounting period by the Buyer Indemnified Party, but, in each case, net of any deductible or co-payment and all reasonable collection costs and expenses (including, for the avoidance of doubt, Taxes) related to such recoveries. The Buyer Indemnified Parties shall use commercially reasonable efforts to mitigate their Losses to the extent required by Law after becoming aware of any event which would reasonably be expected to give rise to any Losses; provided, that no Buyer Indemnified Party shall be required to initiate or pursue any litigation or arbitration claim; and provided further, (i) that in respect of Section 9.2(d), Section 9.2(e), Section 9.2(f) and Section 9.2(i), the Buyer shall not be required to use commercially reasonable efforts to mitigate Losses where such efforts could harm employment relationships in the reasonable view of the Buyer and (ii) that, where the Buyer does not so consider such efforts could harm employment relationships, the Buyer shall seek recovery of any employment Tax liability from the applicable employee at the same time as claiming indemnification under Section 9.2.</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Notice of Loss.</w:t>
      </w:r>
    </w:p>
    <w:p>
      <w:pPr>
        <w:spacing w:after="0" w:line="117" w:lineRule="exact"/>
        <w:rPr>
          <w:sz w:val="20"/>
          <w:szCs w:val="20"/>
          <w:color w:val="auto"/>
        </w:rPr>
      </w:pPr>
    </w:p>
    <w:p>
      <w:pPr>
        <w:jc w:val="both"/>
        <w:ind w:left="4" w:right="80" w:firstLine="987"/>
        <w:spacing w:after="0" w:line="272" w:lineRule="auto"/>
        <w:tabs>
          <w:tab w:leader="none" w:pos="1240" w:val="left"/>
        </w:tabs>
        <w:numPr>
          <w:ilvl w:val="1"/>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claim for indemnification under Section 9.2, the Buyer Indemnified Party shall give prompt written notice to the Seller’s Representatives of any such claim in accordance with this Section 9.4; provided always that the failure of the Buyer Indemnified Party to give reasonably prompt notice of any such claim shall not release, waive or otherwise affect the Indemnifying Party’s obligations with respect thereto except</w:t>
      </w:r>
    </w:p>
    <w:p>
      <w:pPr>
        <w:spacing w:after="0" w:line="1" w:lineRule="exact"/>
        <w:rPr>
          <w:rFonts w:ascii="Times New Roman" w:cs="Times New Roman" w:eastAsia="Times New Roman" w:hAnsi="Times New Roman"/>
          <w:sz w:val="17"/>
          <w:szCs w:val="17"/>
          <w:color w:val="auto"/>
        </w:rPr>
      </w:pPr>
    </w:p>
    <w:p>
      <w:pPr>
        <w:ind w:left="4" w:right="140" w:hanging="4"/>
        <w:spacing w:after="0" w:line="255" w:lineRule="auto"/>
        <w:tabs>
          <w:tab w:leader="none" w:pos="249"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Indemnifying Party is actually prejudiced as a result of such failure or (b) the notice is not given within the applicable survival period. Any claim for indemnification made in writing by the Buyer Indemnified Party on or prior to the expiration of the applicable survival period shall survive until such claim is finally and fully resolved.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622" w:name="page623"/>
    <w:bookmarkEnd w:id="622"/>
    <w:p>
      <w:pPr>
        <w:ind w:left="4" w:right="40" w:firstLine="987"/>
        <w:spacing w:after="0" w:line="271" w:lineRule="auto"/>
        <w:tabs>
          <w:tab w:leader="none" w:pos="1250" w:val="left"/>
        </w:tabs>
        <w:numPr>
          <w:ilvl w:val="1"/>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notice delivered by the Buyer Indemnified Party pursuant to Section 9.4(a) shall set forth in reasonable detail the nature of the claim, the representations, warranties, covenants or obligations alleged to have been breached and the amount of the Losses (if estimable and knowable) for which the Buyer Indemnified Party seeks recourse hereunder from the Indemnifying Parties. The Seller’s Representatives shall have thirty (30) days after delivery of such notice to respond in writing to such claim. If the Seller’s Representatives do not so respond within such thirty (30)-day period, the Buyer Indemnified Party may exercise its right to cancel shares of Buyer A Preferred Stock and/or set-off against any Deferred Consideration Payment in accordance with Section 9.3(a). If the Seller’s Representatives do so respond to such notice within such thirty (30)-day period and disputes all or any part of the applicable claim, then the Buyer Indemnified Party and the Seller’s Representatives shall use good faith efforts to attempt to resolve such dispute by mutual agreement. If such the dispute has not been resolved by mutual agreement within the thirty (30) day period after delivery of the Indemnifying Party’s response, either Party may initiate proceedings to resolve such dispute in accordance with Section 10.4.</w:t>
      </w:r>
    </w:p>
    <w:p>
      <w:pPr>
        <w:spacing w:after="0" w:line="65" w:lineRule="exact"/>
        <w:rPr>
          <w:rFonts w:ascii="Times New Roman" w:cs="Times New Roman" w:eastAsia="Times New Roman" w:hAnsi="Times New Roman"/>
          <w:sz w:val="17"/>
          <w:szCs w:val="17"/>
          <w:color w:val="auto"/>
        </w:rPr>
      </w:pPr>
    </w:p>
    <w:p>
      <w:pPr>
        <w:ind w:left="4" w:firstLine="987"/>
        <w:spacing w:after="0" w:line="251" w:lineRule="auto"/>
        <w:tabs>
          <w:tab w:leader="none" w:pos="124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Action shall be instituted or asserted by any third party in respect of which payment may be sought under this ARTICLE 9 (each, a “</w:t>
      </w:r>
      <w:r>
        <w:rPr>
          <w:rFonts w:ascii="Times New Roman" w:cs="Times New Roman" w:eastAsia="Times New Roman" w:hAnsi="Times New Roman"/>
          <w:sz w:val="18"/>
          <w:szCs w:val="18"/>
          <w:i w:val="1"/>
          <w:iCs w:val="1"/>
          <w:color w:val="auto"/>
        </w:rPr>
        <w:t>Third Party Claim</w:t>
      </w:r>
      <w:r>
        <w:rPr>
          <w:rFonts w:ascii="Times New Roman" w:cs="Times New Roman" w:eastAsia="Times New Roman" w:hAnsi="Times New Roman"/>
          <w:sz w:val="18"/>
          <w:szCs w:val="18"/>
          <w:color w:val="auto"/>
        </w:rPr>
        <w:t xml:space="preserve">”), the Buyer Indemnified Party shall promptly cause written notice of the assertion of any Third Party Claim of which it has knowledge which is covered by the indemnity given herein to be forwarded to Seller’s Representatives. The failure of the Buyer Indemnified Party to give reasonably prompt notice of any Third Party Claim shall not release, waive or otherwise affect the Indemnifying Party’s obligations with respect thereto except to the extent that the Indemnifying Party is actually prejudiced as a result of such failure. Buyer shall have the right, at its sole option and expense, to defend against, negotiate, settle or otherwise deal with any Third Party Claim which may result in any Losses indemnifiable by Buyer hereunder subject to the remaining provisions of this Section 9.4(c). The Seller’s Representatives shall have the right, at their sole option and expense, to defend against, negotiate, settle or otherwise deal with any Third Party Claim which may result in any Losses indemnifiable by the Seller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Seller’s Representatives may not assume control of defense to a Third Party Claim (i) involving any criminal proceeding, action, indictment, allegation or investigation, or in which relief other than monetary damages is sought, (ii) involving a purported class action, (iii) if the Indemnifying Party has not notified the Buyer Indemnified Party in writing that it will be liable to indemnify the Buyer Indemnified Party with respect to all Losses relating to such Third Party Claim subject to the other provisions of this ARTICLE 9 or (iv) if the Third Party Claim relates to Taxes or to the Company Intellectual Property. In addition, the Seller’s Representatives may not maintain the defense of a Third Party Claim if it has failed to defend such Third Party Claim in good faith. If the Seller’s Representatives elects to defend against, negotiate, settle or otherwise deal with any Third Party Claim which relates to any Losses indemnifiable by the Seller hereunder, it shall within 30 days of receiving written notification of such Third Party Claim (or sooner, if the nature of the Third Party Claim so requires) notify the Buyer Indemnified Party of its intent to do so. If the Seller’s Representatives elect not to defend against, negotiate, settle or otherwise deal with any Third Party Claim which relates to any Losses indemnifiable by the Seller hereunder or the Previous Sellers, or is not permitted to assume the defense of a Third Party Claim pursuant to the proviso to the third sentence of this Section 9.4(c), the Buyer may defend against, negotiate, settle or otherwise deal with such Third Party Claim, subject to the provisions below. If the Seller’s Representatives shall assume the defense of any Third Party Claim pursuant to the terms of this Agreement, the Buyer Indemnified Party may participate, at his or its own expense, in the defense of such Third Party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Buyer Indemnified Party shall be entitled to participate in any such defense with separate counsel at its own expense of the Indemnifying Party if</w:t>
      </w:r>
    </w:p>
    <w:p>
      <w:pPr>
        <w:spacing w:after="0" w:line="7" w:lineRule="exact"/>
        <w:rPr>
          <w:rFonts w:ascii="Times New Roman" w:cs="Times New Roman" w:eastAsia="Times New Roman" w:hAnsi="Times New Roman"/>
          <w:sz w:val="18"/>
          <w:szCs w:val="18"/>
          <w:color w:val="auto"/>
        </w:rPr>
      </w:pPr>
    </w:p>
    <w:p>
      <w:pPr>
        <w:ind w:left="4" w:right="440" w:hanging="4"/>
        <w:spacing w:after="0" w:line="260" w:lineRule="auto"/>
        <w:tabs>
          <w:tab w:leader="none" w:pos="299"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requested by the Seller’s Representatives to participate or (B) in the reasonable opinion of outside counsel to the Buyer Indemnified Party a conflict exists between the Buyer Indemnified Party and the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1" w:right="479" w:bottom="1440" w:gutter="0" w:footer="0" w:header="0"/>
        </w:sectPr>
      </w:pPr>
    </w:p>
    <w:bookmarkStart w:id="623" w:name="page624"/>
    <w:bookmarkEnd w:id="623"/>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Seller’s Representatives that would make such separate representation advisable;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the Seller’s Representatives shall not be required to pay for more than one such counsel (plus any appropriate local counsel) for all Indemnified Parties in connection with any Third Party Claim. If after assuming the defense of a Third Party Claim the Seller’s Representatives determine that it is not required to provide indemnification therefor, it shall promptly notify the Buyer Indemnified Party, cease to control the defense of such Third Party Claim, and shall nonetheless be responsible for all costs of defense incurred by it prior to such notice. The Parties hereto agree to reasonably cooperate with each other in connection with the defense, negotiation or settlement of any such Third Party Claim. Notwithstanding anything in this Section 9.4(c) to the contrary, neither the Seller’s Representatives nor the Buyer Indemnified Party shall, without the written consent of the Buyer on the one hand and the Seller’s Representatives on the other hand, settle or compromise any Third Party Claim or permit a default or consent to entry of any Judgment unless (1) the claimant provides to such other Party an unqualified release of such other Party from all liability in respect of such Third Party Claim, (2) such settlement does not involve any injunctive relief binding upon such other Party or any of its Affiliates, (3) such settlement does not encumber any of the material assets of such other Party or impose any restriction or condition that would apply to or materially affect such other Party or the conduct of such other Party’s business and (4) such settlement does not involve any admission of liability or wrongdoing by such other Party or any of its Affiliates.</w:t>
      </w:r>
    </w:p>
    <w:p>
      <w:pPr>
        <w:spacing w:after="0" w:line="181" w:lineRule="exact"/>
        <w:rPr>
          <w:sz w:val="20"/>
          <w:szCs w:val="20"/>
          <w:color w:val="auto"/>
        </w:rPr>
      </w:pPr>
    </w:p>
    <w:p>
      <w:pPr>
        <w:ind w:right="1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To the extent permitted by Law, the Parties agree to treat all payments made and cancellation of shares of Buyer A Preferred Stock comprising the Seed Share Consideration under this ARTICLE 9, under any other indemnity provision contained in this Agreement, and for any misrepresentations or breach of warranties or covenants, as adjustments to the Seed Share Consideration for all Tax purposes.</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From and after the Closing, except as specifically provided herein, the sole and exclusive remedy of any Buyer Indemnified Party for any claim under this Agreement or related to the transactions contemplated by this Agreement, shall be indemnification in accordance with this ARTICLE 9. Notwithstanding the foregoing, this Section 9.6 shall not operate to limit the rights of the Parties to seek equitable remedies (including specific performance or injunctive relief) or any remedies available to it under applicable Law in the event of (a) a Party’s failure to comply with its indemnification obligations hereunder or (b) fraud committed by or on behalf of any Party.</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 Right of Contribution</w:t>
      </w:r>
      <w:r>
        <w:rPr>
          <w:rFonts w:ascii="Times New Roman" w:cs="Times New Roman" w:eastAsia="Times New Roman" w:hAnsi="Times New Roman"/>
          <w:sz w:val="18"/>
          <w:szCs w:val="18"/>
          <w:color w:val="auto"/>
        </w:rPr>
        <w:t>. The Seller shall not have any right of contribution against the Company with respect to any breach by the Company of any of its representations, warranties, covenants or agreements.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No Circular Recovery</w:t>
      </w:r>
      <w:r>
        <w:rPr>
          <w:rFonts w:ascii="Times New Roman" w:cs="Times New Roman" w:eastAsia="Times New Roman" w:hAnsi="Times New Roman"/>
          <w:sz w:val="18"/>
          <w:szCs w:val="18"/>
          <w:color w:val="auto"/>
        </w:rPr>
        <w:t>. With respect to any such claim against the Seller, the Seller expressly waives any right of subrogation, contribution, advancement, indemnification or other claim against the Company with respect to any amounts owed by the Seller pursuant to this ARTICLE 9.</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440" w:top="268" w:right="519" w:bottom="1440" w:gutter="0" w:footer="0" w:header="0"/>
        </w:sectPr>
      </w:pPr>
    </w:p>
    <w:bookmarkStart w:id="624" w:name="page625"/>
    <w:bookmarkEnd w:id="624"/>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9.9. </w:t>
      </w:r>
      <w:r>
        <w:rPr>
          <w:rFonts w:ascii="Times New Roman" w:cs="Times New Roman" w:eastAsia="Times New Roman" w:hAnsi="Times New Roman"/>
          <w:sz w:val="18"/>
          <w:szCs w:val="18"/>
          <w:u w:val="single" w:color="auto"/>
          <w:color w:val="auto"/>
        </w:rPr>
        <w:t>Gross Up</w:t>
      </w:r>
      <w:r>
        <w:rPr>
          <w:rFonts w:ascii="Times New Roman" w:cs="Times New Roman" w:eastAsia="Times New Roman" w:hAnsi="Times New Roman"/>
          <w:sz w:val="18"/>
          <w:szCs w:val="18"/>
          <w:color w:val="auto"/>
        </w:rPr>
        <w:t>. Where any payment is made or any shares of Buyer A Preferred Stock comprising the Seed Share Consideration are canceled or any amount is set-off against and deducted from any payment under this ARTICLE 9 and that sum is subject to a charge to Tax in the hands of the recipient (other than Tax attributable to a payment being properly treated as an adjustment to the consideration paid by Buyer), the sum payable shall be increased to such sum as will ensure that after payment of such Tax the Buyer shall be left with a sum equal to the sum that it would have received in the absence of such a charge to Tax, and after giving credit for any Tax relief available to the Buyer (or any Affiliate of or person with an interest in Buyer) in respect of the matter giving rise to the payment.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waivers and other communications under this Agreement shall be in writing and shall be sent by electronic mail, courier or express delivery service or personal delivery to the following addresses, or to such other addresses as shall be designated from time to time by a Party in accordance with this Section 10.1:</w:t>
      </w:r>
    </w:p>
    <w:p>
      <w:pPr>
        <w:spacing w:after="0" w:line="81" w:lineRule="exact"/>
        <w:rPr>
          <w:sz w:val="20"/>
          <w:szCs w:val="20"/>
          <w:color w:val="auto"/>
        </w:rPr>
      </w:pPr>
    </w:p>
    <w:p>
      <w:pPr>
        <w:ind w:left="1420" w:hanging="439"/>
        <w:spacing w:after="0"/>
        <w:tabs>
          <w:tab w:leader="none" w:pos="14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or to the Company:</w:t>
      </w:r>
    </w:p>
    <w:p>
      <w:pPr>
        <w:spacing w:after="0" w:line="117" w:lineRule="exact"/>
        <w:rPr>
          <w:rFonts w:ascii="Times New Roman" w:cs="Times New Roman" w:eastAsia="Times New Roman" w:hAnsi="Times New Roman"/>
          <w:sz w:val="18"/>
          <w:szCs w:val="18"/>
          <w:color w:val="auto"/>
        </w:rPr>
      </w:pPr>
    </w:p>
    <w:p>
      <w:pPr>
        <w:ind w:left="1420" w:right="7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Odyssey Therapeutics, Inc. [***]</w:t>
      </w:r>
    </w:p>
    <w:p>
      <w:pPr>
        <w:ind w:left="1420" w:right="77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Arbor, MI 48107 Attention: Gary D. Glick E-Mail: [***]</w:t>
      </w:r>
    </w:p>
    <w:p>
      <w:pPr>
        <w:spacing w:after="0" w:line="7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rFonts w:ascii="Times New Roman" w:cs="Times New Roman" w:eastAsia="Times New Roman" w:hAnsi="Times New Roman"/>
          <w:sz w:val="18"/>
          <w:szCs w:val="18"/>
          <w:color w:val="auto"/>
        </w:rPr>
      </w:pPr>
    </w:p>
    <w:p>
      <w:pPr>
        <w:ind w:left="1420" w:right="72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Covington &amp; Burling LLP The New York Times Building 620 Eighth Avenue</w:t>
      </w:r>
    </w:p>
    <w:p>
      <w:pPr>
        <w:spacing w:after="0" w:line="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10018-1405</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Jack Bodner, Camilla Rogers and Joseph Gangitano</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jbodner@cov.com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crogers@cov.com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jgangitano@cov.com</w:t>
      </w:r>
    </w:p>
    <w:p>
      <w:pPr>
        <w:spacing w:after="0" w:line="112"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Seller’s Representatives, at the relevant address or email set out opposite the name of the relevant Seller Representative in Schedule 1.</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Seller:</w:t>
      </w:r>
    </w:p>
    <w:p>
      <w:pPr>
        <w:spacing w:after="0" w:line="117" w:lineRule="exact"/>
        <w:rPr>
          <w:rFonts w:ascii="Times New Roman" w:cs="Times New Roman" w:eastAsia="Times New Roman" w:hAnsi="Times New Roman"/>
          <w:sz w:val="18"/>
          <w:szCs w:val="18"/>
          <w:color w:val="auto"/>
        </w:rPr>
      </w:pPr>
    </w:p>
    <w:p>
      <w:pPr>
        <w:ind w:left="1420" w:right="74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Balderton Capital VI, S.L.P. [***] [***] [***]</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98" w:lineRule="exact"/>
        <w:rPr>
          <w:rFonts w:ascii="Times New Roman" w:cs="Times New Roman" w:eastAsia="Times New Roman" w:hAnsi="Times New Roman"/>
          <w:sz w:val="18"/>
          <w:szCs w:val="18"/>
          <w:color w:val="auto"/>
        </w:rPr>
      </w:pPr>
    </w:p>
    <w:p>
      <w:pPr>
        <w:ind w:left="1420" w:right="5920"/>
        <w:spacing w:after="0" w:line="3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 Balderton Capital (UK) LLP</w:t>
      </w: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20"/>
          </w:cols>
          <w:pgMar w:left="440" w:top="271" w:right="539" w:bottom="1440" w:gutter="0" w:footer="0" w:header="0"/>
        </w:sectPr>
      </w:pPr>
    </w:p>
    <w:bookmarkStart w:id="625" w:name="page626"/>
    <w:bookmarkEnd w:id="625"/>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notices, requests, claims, demands, waivers and other communications under this Agreement shall be deemed to have been duly given (i) when delivered by hand, if personally delivered, (ii) upon receipt when delivered by a courier or express delivery service (such date of receipt being evidenced by the courier’s or express delivery service’s records) or (iii) when sent, if sent by electronic mail during normal business hours of the recipient, and if not sent during normal business hours, then on the next Business Day. This Section 10.1 will not apply to the service of any claim in any legal proceedings or other documents in a legal action.</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in whole or in part, by operation of Law or otherwise by any of the Parties without the prior written consent of the other Parties, except that Buyer may assign, in its sole discretion, any or all of its rights, interests and obligations under this Agreement to any Affiliate of Buyer; provided, however, that no such assignment shall relieve the assignor from any liability hereunder. Subject to the preceding sentence, this Agreement shall be binding upon, inure to the benefit of and be enforceable by, the parties hereto and their respective successors and assigns.</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For any matter under this Agreement requiring the consent or approval of any Party to be valid and binding on the Parties hereto, such consent or approval must be in writing and signed by the Party against which it is sought to be enforced.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6" w:lineRule="auto"/>
        <w:tabs>
          <w:tab w:leader="none" w:pos="123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action or other proceeding arising out of this Agreement or any transaction contemplated hereby shall be brought exclusively in a court of competent jurisdiction, federal or state, located in New York, New York, and in no other jurisdiction. Each Party hereby consents to personal jurisdiction and venue in, and agrees to service of process issued or authorized by, such court.</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and that the Parties would not have any adequate remedy at law in the event that any of the provisions of this Agreement were not performed in accordance with their specific terms or were otherwise breached. Accordingly, notwithstanding anything in this Agreement to the contrary, in the event of a breach or threatened breach by the Seller, on the one hand, and Buyer, on the other hand, of any of their respective covenants or obligations set forth in this Agreement, Buyer, on the one hand, and the Seller, on the other hand, shall be entitled to an injunction or injunctions to prevent or restrain breaches or threatened breaches of this Agreement and to specifically enforce the terms and provisions of this Agreement to prevent breaches or threatened breaches of, or to enforce compliance with, the covenants and obligations of the other under this Agreement. The Seller, on the one hand, and Buyer, on the other hand, hereby agree not to raise any objections to the availability of the equitable remedy of specific performance to prevent or restrain breaches or threatened breaches of this Agreement, by Buyer, on the one hand, and the Seller, on the other hand, on the basis that such Parties have an adequate remedy at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626" w:name="page627"/>
    <w:bookmarkEnd w:id="626"/>
    <w:p>
      <w:pPr>
        <w:ind w:left="1240" w:hanging="253"/>
        <w:spacing w:after="0"/>
        <w:tabs>
          <w:tab w:leader="none" w:pos="12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Parties’ rights under Section 10.4(a), EACH PARTY, TO THE EXTENT PERMITTED BY LAW,</w:t>
      </w:r>
    </w:p>
    <w:p>
      <w:pPr>
        <w:spacing w:after="0" w:line="27"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VOLUNTARILY, AND INTENTIONALLY WAIVES ITS RIGHT TO A TRIAL BY JURY IN ANY ACTION OR OTHER LEGAL PROCEEDING ARISING OUT OF OR RELATING TO THIS AGREEMENT AND THE TRANSACTIONS IT CONTEMPLATES. THIS WAIVER APPLIES TO ANY ACTION OR LEGAL PROCEEDING, WHETHER SOUNDING IN CONTRACT, TORT, OR OTHERWISE.</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40" w:firstLine="987"/>
        <w:spacing w:after="0" w:line="261" w:lineRule="auto"/>
        <w:tabs>
          <w:tab w:leader="none" w:pos="123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Except as expressly set forth in ARTICLE 9 or as otherwise expressly stated in this Agreement, the remedies provided for herein are cumulative and are not exclusive of any remedies that may be available to any Party at Law, in equity or otherwise.</w:t>
      </w:r>
    </w:p>
    <w:p>
      <w:pPr>
        <w:spacing w:after="0" w:line="7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set forth in this Agreement, any amendment, supplement or modification of or to any provision of this Agreement and any waiver of any provision of this Agreement shall be effective (i) only if it is made or given in writing and signed by Buyer and the Seller’s Representatives or, in the case of a waiver, by the party granting the waiver and (ii) only in the specific instance and for the specific purpose for which made or given.</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its schedules and exhibits and all ancillary agreements, documents or instruments to be delivered in connection herewith and therewith, contain the entire agreement and understanding between the Parties with respect to the subject matter hereof and thereof and supersede all prior discussions, negotiations, commitments, agreements and understandings, both written and oral, relating to such subject matter. No Party has entered into this Agreement in reliance upon, and it will have no remedy in respect of, any misrepresentation, representation or statement (whether made by another party or any other Person and whether made to the first party or any other Person) which is not expressly set out in this Agreement and to the extent there would be a such claim it is hereby waived by each relevant Party.</w:t>
      </w:r>
    </w:p>
    <w:p>
      <w:pPr>
        <w:spacing w:after="0" w:line="187" w:lineRule="exact"/>
        <w:rPr>
          <w:sz w:val="20"/>
          <w:szCs w:val="20"/>
          <w:color w:val="auto"/>
        </w:rPr>
      </w:pPr>
    </w:p>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Except as otherwise provided in this Agreement, including as set forth in Section 6.4, this Agreement is for the sole benefit of the Parties and their permitted successors and assigns and nothing herein expressed or implied shall give or be construed to give to any Person, other than the Parties and such successors and assigns, any legal or equitable rights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1" w:right="479" w:bottom="1440" w:gutter="0" w:footer="0" w:header="0"/>
        </w:sectPr>
      </w:pPr>
    </w:p>
    <w:bookmarkStart w:id="627" w:name="page628"/>
    <w:bookmarkEnd w:id="627"/>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the Parties in separate counterparts, each of which when so executed shall be deemed to be an original and all of which taken together shall constitute one and the same agreement. This Agreement may be executed by facsimile, .pdf or other electronically transmitted signatures and such signatures shall be deemed to bind each Party hereto as if they were the original signatures.</w:t>
      </w:r>
    </w:p>
    <w:p>
      <w:pPr>
        <w:spacing w:after="0" w:line="180"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10.9.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Agreement shall be governed by, and construed in accordance with, the substantive Laws of the State of Delaware, regardless of the Laws that might otherwise govern under applicable principles of conflicts of laws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matters involving the internal corporate affairs of Buyer or the Company shall be governed by the Laws of the jurisdiction in which such corporation is organized.</w:t>
      </w:r>
    </w:p>
    <w:p>
      <w:pPr>
        <w:spacing w:after="0" w:line="158"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The Disclosure Letter shall be arranged in sections and subsections corresponding to the numbered and lettered sections and subsections contained in ARTICLE 5. A disclosure in any section or subsection of the Disclosure Letter shall qualify the representations and warranties in the corresponding section or subsection of ARTICLE 5 to which its relevance is reasonably apparent on its face, and shall be deemed to apply to each other section or subsection of the Disclosure Letter and ARTICLE 5 to which its relevance is so apparent.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628" w:name="page629"/>
    <w:bookmarkEnd w:id="62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Parties have caused this Agreement to be signed by their duly authorized representatives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Gary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Share Purchase Agreement</w:t>
      </w:r>
      <w:r>
        <w:rPr>
          <w:rFonts w:ascii="Times New Roman" w:cs="Times New Roman" w:eastAsia="Times New Roman" w:hAnsi="Times New Roman"/>
          <w:sz w:val="18"/>
          <w:szCs w:val="18"/>
          <w:color w:val="auto"/>
        </w:rPr>
        <w:t>]</w:t>
      </w:r>
    </w:p>
    <w:p>
      <w:pPr>
        <w:sectPr>
          <w:pgSz w:w="11900" w:h="16838" w:orient="portrait"/>
          <w:cols w:equalWidth="0" w:num="1">
            <w:col w:w="10740"/>
          </w:cols>
          <w:pgMar w:left="440" w:top="271" w:right="719" w:bottom="1440" w:gutter="0" w:footer="0" w:header="0"/>
        </w:sectPr>
      </w:pPr>
    </w:p>
    <w:bookmarkStart w:id="629" w:name="page630"/>
    <w:bookmarkEnd w:id="6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RAHKO LIMITED</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Gary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Share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630" w:name="page631"/>
    <w:bookmarkEnd w:id="63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Balderton Capital VI, S.L.P. acting by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 Balderton Capital General Partner VI, S.à R.L</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SELLER’S REPRESENTATIVES: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ROBERT IAN HOROBIN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Ian Horobin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MIRIAM CHA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Miriam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Share Purchase Agreement</w:t>
      </w:r>
      <w:r>
        <w:rPr>
          <w:rFonts w:ascii="Times New Roman" w:cs="Times New Roman" w:eastAsia="Times New Roman" w:hAnsi="Times New Roman"/>
          <w:sz w:val="18"/>
          <w:szCs w:val="18"/>
          <w:color w:val="auto"/>
        </w:rPr>
        <w:t>]</w:t>
      </w:r>
    </w:p>
    <w:p>
      <w:pPr>
        <w:sectPr>
          <w:pgSz w:w="11900" w:h="16838" w:orient="portrait"/>
          <w:cols w:equalWidth="0" w:num="1">
            <w:col w:w="9660"/>
          </w:cols>
          <w:pgMar w:left="1440" w:top="267" w:right="799" w:bottom="1440" w:gutter="0" w:footer="0" w:header="0"/>
        </w:sectPr>
      </w:pPr>
    </w:p>
    <w:bookmarkStart w:id="631" w:name="page632"/>
    <w:bookmarkEnd w:id="631"/>
    <w:p>
      <w:pPr>
        <w:jc w:val="cente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both (i) not material and (ii) of the type that the Registrant treats as private or confidential. Such omitted information is indicated by brackets (“[***]”) in this exhibit.***</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IFM THERAPEUTICS, LLC,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IFM MANAGEMENT,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IFM THERAPEUTICS GMBH</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IFM QUATTRO,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IFM CINQUE,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IFM CONTINUA,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Dated as of May 6, 2022</w:t>
      </w:r>
    </w:p>
    <w:p>
      <w:pPr>
        <w:sectPr>
          <w:pgSz w:w="11900" w:h="16838" w:orient="portrait"/>
          <w:cols w:equalWidth="0" w:num="1">
            <w:col w:w="10900"/>
          </w:cols>
          <w:pgMar w:left="560" w:top="118" w:right="439" w:bottom="1440" w:gutter="0" w:footer="0" w:header="0"/>
        </w:sectPr>
      </w:pPr>
    </w:p>
    <w:bookmarkStart w:id="632" w:name="page633"/>
    <w:bookmarkEnd w:id="632"/>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920" w:type="dxa"/>
            <w:vAlign w:val="bottom"/>
            <w:tcBorders>
              <w:top w:val="single" w:sz="8" w:color="auto"/>
            </w:tcBorders>
            <w:vMerge w:val="restart"/>
          </w:tcPr>
          <w:p>
            <w:pPr>
              <w:spacing w:after="0"/>
              <w:rPr>
                <w:sz w:val="24"/>
                <w:szCs w:val="24"/>
                <w:color w:val="auto"/>
              </w:rPr>
            </w:pPr>
          </w:p>
        </w:tc>
        <w:tc>
          <w:tcPr>
            <w:tcW w:w="422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4540" w:type="dxa"/>
            <w:vAlign w:val="bottom"/>
            <w:gridSpan w:val="2"/>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and Sale of Interests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and Sale of Interests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Transaction Consideration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Payment of Milestone Consideration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General Payment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Milestone Payments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Audit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Records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Obligation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SELLING PARTIES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Organization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Subsidiaries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Authorization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Insolvency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Ownership of Interests; Capitalization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Title to Properties and Assets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Absence of Certain Activities or Changes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Indebtedness;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Compliance with Law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Employee and Benefits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Privacy and Data Security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Transactions with Certain Persons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Brokers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Powers of Attorney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Bank Accounts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33" w:name="page634"/>
    <w:bookmarkEnd w:id="633"/>
    <w:p>
      <w:pPr>
        <w:jc w:val="center"/>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PURCHASER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Brokers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ADDITIONAL AGREEMENTS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Disclosure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Affiliate Transactions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Missing Assets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POST-CLOSING 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Filings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Delivery of Virtual Data Room Electronic Copy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Non-Competition; Non-Solicitation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Laws; Restrictions on Transfer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Employees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Obligations of the Sellers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Obligations of Purchaser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 of Representations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Claims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Party Claims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Indemnity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Indemnification Claims; Set-Off</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634" w:name="page635"/>
    <w:bookmarkEnd w:id="634"/>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592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(Continued)</w:t>
            </w:r>
          </w:p>
        </w:tc>
        <w:tc>
          <w:tcPr>
            <w:tcW w:w="4000" w:type="dxa"/>
            <w:vAlign w:val="bottom"/>
          </w:tcPr>
          <w:p>
            <w:pPr>
              <w:spacing w:after="0"/>
              <w:rPr>
                <w:sz w:val="20"/>
                <w:szCs w:val="20"/>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2"/>
        </w:trPr>
        <w:tc>
          <w:tcPr>
            <w:tcW w:w="10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0660" w:type="dxa"/>
            <w:vAlign w:val="bottom"/>
            <w:gridSpan w:val="4"/>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Shares and Share Certificate Procedures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Assignment; Binding Effect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Governing Law; Jurisdiction; Service of Process; Waiver of Jury Trial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Amendments and Waivers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Strict 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Injunctive Relief; Specific Performance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Interpretation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English Language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9.15</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57" w:right="499" w:bottom="1440" w:gutter="0" w:footer="0" w:header="0"/>
        </w:sectPr>
      </w:pPr>
    </w:p>
    <w:bookmarkStart w:id="635" w:name="page636"/>
    <w:bookmarkEnd w:id="635"/>
    <w:p>
      <w:pPr>
        <w:ind w:left="5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ectPr>
          <w:pgSz w:w="11900" w:h="16838" w:orient="portrait"/>
          <w:cols w:equalWidth="0" w:num="1">
            <w:col w:w="10019"/>
          </w:cols>
          <w:pgMar w:left="440" w:top="266" w:right="1440"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H</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Assignment and Assumption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 Assignment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Assignment and Assumption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and Operating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Side Letter</w:t>
      </w:r>
    </w:p>
    <w:p>
      <w:pPr>
        <w:spacing w:after="0" w:line="200" w:lineRule="exact"/>
        <w:rPr>
          <w:sz w:val="20"/>
          <w:szCs w:val="20"/>
          <w:color w:val="auto"/>
        </w:rPr>
      </w:pPr>
    </w:p>
    <w:p>
      <w:pPr>
        <w:sectPr>
          <w:pgSz w:w="11900" w:h="16838" w:orient="portrait"/>
          <w:cols w:equalWidth="0" w:num="2">
            <w:col w:w="1040" w:space="720"/>
            <w:col w:w="8259"/>
          </w:cols>
          <w:pgMar w:left="440" w:top="266" w:right="1440" w:bottom="1440" w:gutter="0" w:footer="0" w:header="0"/>
          <w:type w:val="continuous"/>
        </w:sectPr>
      </w:pPr>
    </w:p>
    <w:p>
      <w:pPr>
        <w:spacing w:after="0" w:line="241"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7"/>
          <w:szCs w:val="17"/>
          <w:color w:val="auto"/>
        </w:rPr>
        <w:t>SCHEDULES</w:t>
      </w:r>
    </w:p>
    <w:p>
      <w:pPr>
        <w:sectPr>
          <w:pgSz w:w="11900" w:h="16838" w:orient="portrait"/>
          <w:cols w:equalWidth="0" w:num="1">
            <w:col w:w="10019"/>
          </w:cols>
          <w:pgMar w:left="440" w:top="266" w:right="1440"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1.1(b)</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Employees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w:t>
      </w:r>
    </w:p>
    <w:p>
      <w:pPr>
        <w:spacing w:after="0" w:line="158" w:lineRule="exact"/>
        <w:rPr>
          <w:sz w:val="20"/>
          <w:szCs w:val="20"/>
          <w:color w:val="auto"/>
        </w:rPr>
      </w:pPr>
    </w:p>
    <w:p>
      <w:pPr>
        <w:sectPr>
          <w:pgSz w:w="11900" w:h="16838" w:orient="portrait"/>
          <w:cols w:equalWidth="0" w:num="2">
            <w:col w:w="1140" w:space="620"/>
            <w:col w:w="8259"/>
          </w:cols>
          <w:pgMar w:left="440" w:top="266" w:right="1440" w:bottom="1440" w:gutter="0" w:footer="0" w:header="0"/>
          <w:type w:val="continuous"/>
        </w:sectPr>
      </w:pPr>
    </w:p>
    <w:p>
      <w:pPr>
        <w:ind w:left="544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019"/>
          </w:cols>
          <w:pgMar w:left="440" w:top="266" w:right="1440" w:bottom="1440" w:gutter="0" w:footer="0" w:header="0"/>
          <w:type w:val="continuous"/>
        </w:sectPr>
      </w:pPr>
    </w:p>
    <w:bookmarkStart w:id="636" w:name="page637"/>
    <w:bookmarkEnd w:id="636"/>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0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ADDITIONAL DEFINED TERMS</w:t>
            </w:r>
          </w:p>
        </w:tc>
        <w:tc>
          <w:tcPr>
            <w:tcW w:w="1920" w:type="dxa"/>
            <w:vAlign w:val="bottom"/>
          </w:tcPr>
          <w:p>
            <w:pPr>
              <w:spacing w:after="0"/>
              <w:rPr>
                <w:sz w:val="20"/>
                <w:szCs w:val="20"/>
                <w:color w:val="auto"/>
              </w:rPr>
            </w:pPr>
          </w:p>
        </w:tc>
      </w:tr>
      <w:tr>
        <w:trPr>
          <w:trHeight w:val="49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Preamble</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Applicable Withholding Law</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Milestone Event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Milestone Notice Date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Claim</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Milestone Payment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Claim Notice</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Milestone Payment Date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 Milestone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Recitals</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Contracts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Purchaser Indemnified Parties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Period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Released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Contractors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Damages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Employee Plan</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Person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Employee Representative Body</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Seller Indemnified Parties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finally determined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Fundamental Representations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Consideration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IFM GmbH</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Preamble</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Party Claim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Consideration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40"/>
          </w:cols>
          <w:pgMar w:left="440" w:top="267" w:right="519" w:bottom="1440" w:gutter="0" w:footer="0" w:header="0"/>
        </w:sectPr>
      </w:pPr>
    </w:p>
    <w:bookmarkStart w:id="637" w:name="page638"/>
    <w:bookmarkEnd w:id="637"/>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MEMBERSHIP INTEREST PURCHASE AGREEMENT</w:t>
      </w:r>
    </w:p>
    <w:p>
      <w:pPr>
        <w:spacing w:after="0" w:line="22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6, 2022, is entered into by and among Odyssey Therapeutics,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IFM Therapeutics,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IFM Management, Inc., a Delaware corporation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IFM Therapeutics GmbH, a limited liability company under the laws of the Federal Republic of Germany (“</w:t>
      </w:r>
      <w:r>
        <w:rPr>
          <w:rFonts w:ascii="Times New Roman" w:cs="Times New Roman" w:eastAsia="Times New Roman" w:hAnsi="Times New Roman"/>
          <w:sz w:val="18"/>
          <w:szCs w:val="18"/>
          <w:b w:val="1"/>
          <w:bCs w:val="1"/>
          <w:color w:val="auto"/>
        </w:rPr>
        <w:t>IFM GmbH</w:t>
      </w:r>
      <w:r>
        <w:rPr>
          <w:rFonts w:ascii="Times New Roman" w:cs="Times New Roman" w:eastAsia="Times New Roman" w:hAnsi="Times New Roman"/>
          <w:sz w:val="18"/>
          <w:szCs w:val="18"/>
          <w:color w:val="auto"/>
        </w:rPr>
        <w:t>”), IFM Quattro, Inc., a Delaware corporation (“</w:t>
      </w:r>
      <w:r>
        <w:rPr>
          <w:rFonts w:ascii="Times New Roman" w:cs="Times New Roman" w:eastAsia="Times New Roman" w:hAnsi="Times New Roman"/>
          <w:sz w:val="18"/>
          <w:szCs w:val="18"/>
          <w:b w:val="1"/>
          <w:bCs w:val="1"/>
          <w:color w:val="auto"/>
        </w:rPr>
        <w:t>Quattro</w:t>
      </w:r>
      <w:r>
        <w:rPr>
          <w:rFonts w:ascii="Times New Roman" w:cs="Times New Roman" w:eastAsia="Times New Roman" w:hAnsi="Times New Roman"/>
          <w:sz w:val="18"/>
          <w:szCs w:val="18"/>
          <w:color w:val="auto"/>
        </w:rPr>
        <w:t>”), IFM Cinque, Inc., a Delaware corporation (“</w:t>
      </w:r>
      <w:r>
        <w:rPr>
          <w:rFonts w:ascii="Times New Roman" w:cs="Times New Roman" w:eastAsia="Times New Roman" w:hAnsi="Times New Roman"/>
          <w:sz w:val="18"/>
          <w:szCs w:val="18"/>
          <w:b w:val="1"/>
          <w:bCs w:val="1"/>
          <w:color w:val="auto"/>
        </w:rPr>
        <w:t>Cinque</w:t>
      </w:r>
      <w:r>
        <w:rPr>
          <w:rFonts w:ascii="Times New Roman" w:cs="Times New Roman" w:eastAsia="Times New Roman" w:hAnsi="Times New Roman"/>
          <w:sz w:val="18"/>
          <w:szCs w:val="18"/>
          <w:color w:val="auto"/>
        </w:rPr>
        <w:t>”) and IFM Continua, Inc., a Delaware corporation (“</w:t>
      </w:r>
      <w:r>
        <w:rPr>
          <w:rFonts w:ascii="Times New Roman" w:cs="Times New Roman" w:eastAsia="Times New Roman" w:hAnsi="Times New Roman"/>
          <w:sz w:val="18"/>
          <w:szCs w:val="18"/>
          <w:b w:val="1"/>
          <w:bCs w:val="1"/>
          <w:color w:val="auto"/>
        </w:rPr>
        <w:t>Continua</w:t>
      </w:r>
      <w:r>
        <w:rPr>
          <w:rFonts w:ascii="Times New Roman" w:cs="Times New Roman" w:eastAsia="Times New Roman" w:hAnsi="Times New Roman"/>
          <w:sz w:val="18"/>
          <w:szCs w:val="18"/>
          <w:color w:val="auto"/>
        </w:rPr>
        <w:t>” and, together with Quattro and Cinque,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 Purchaser, Parent, Management, IFM GmbH and the Sellers are sometimes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WHEREAS, each Seller is the record and beneficial owner of the number of membership interests of IFM Discovery, LLC, a Delaware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set forth opposite such Seller’s name on the Allocation Schedule, which collectively constitute all of the issued and outstanding membership interests of the Company on a fully diluted basis (the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WHEREAS, Sellers wish to sell to Purchaser, and Purchaser wishes to purchase from Sellers, all of the Interests, upon the terms and subject to the conditions set forth herein; and</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WHEREAS, prior to the execution and delivery of this Agreement and as a condition and inducement to the Parties’ willingness to enter into this Agreement, Purchaser and the applicable Selling Parties and their respective Affiliates have entered into, and effected the closing of the transactions contemplated by the Ancillary Agreements.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580" w:firstLine="991"/>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respective covenants and promises contained herein and for other good and valuable consideration, the receipt and adequacy of which are hereby acknowledged, the Parties, intending to be legally bound, agree as follows: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w:t>
      </w:r>
    </w:p>
    <w:p>
      <w:pPr>
        <w:spacing w:after="0" w:line="2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As used herein, the terms below shall have the following meanings.</w:t>
      </w:r>
    </w:p>
    <w:p>
      <w:pPr>
        <w:spacing w:after="0" w:line="221"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(including any cross-claim or counterclaim), action, cause of action, charge, complaint, petition, suit, arbitration, grievance, audit, examination or investigation, demand letter, inquiry or other proceeding, whether civil or criminal, at Law or in equity, by or before any Governmental Authority or any arbitration panel.</w:t>
      </w:r>
    </w:p>
    <w:p>
      <w:pPr>
        <w:sectPr>
          <w:pgSz w:w="11900" w:h="16838" w:orient="portrait"/>
          <w:cols w:equalWidth="0" w:num="1">
            <w:col w:w="10900"/>
          </w:cols>
          <w:pgMar w:left="440" w:top="266" w:right="559" w:bottom="1440" w:gutter="0" w:footer="0" w:header="0"/>
        </w:sectPr>
      </w:pPr>
    </w:p>
    <w:bookmarkStart w:id="638" w:name="page639"/>
    <w:bookmarkEnd w:id="638"/>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Active Substance</w:t>
      </w:r>
      <w:r>
        <w:rPr>
          <w:rFonts w:ascii="Times New Roman" w:cs="Times New Roman" w:eastAsia="Times New Roman" w:hAnsi="Times New Roman"/>
          <w:sz w:val="18"/>
          <w:szCs w:val="18"/>
          <w:color w:val="auto"/>
        </w:rPr>
        <w:t>” means, with respect to a MDA5 Milestone Product, the MDA5 Milestone Compound contained in such MDA5 Milestone Product, or, with respect to a NLRP1 Milestone Product, the NLRP1 Milestone Compound contained in such NLRP1 Milestone Product.</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first Person as of the date hereof. As used in this definition, “control” means (a) the ownership of more than 50%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 For the avoidance of doubt, (i) Parent, Management and IFM GmbH shall be deemed Affiliates of the Company (prior to Closing) and the other Selling Parties and (ii) none of [***] or its Affiliates, [***] or its Affiliates, or [***] or its Affiliates will be deemed an Affiliate of any Selling Party.</w:t>
      </w:r>
    </w:p>
    <w:p>
      <w:pPr>
        <w:spacing w:after="0" w:line="183"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Schedule</w:t>
      </w:r>
      <w:r>
        <w:rPr>
          <w:rFonts w:ascii="Times New Roman" w:cs="Times New Roman" w:eastAsia="Times New Roman" w:hAnsi="Times New Roman"/>
          <w:sz w:val="18"/>
          <w:szCs w:val="18"/>
          <w:color w:val="auto"/>
        </w:rPr>
        <w:t xml:space="preserve">” means a schedule, prepared by the Sellers and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setting forth, for each Seller: (a) such Person’s name and address; (b) the amount of such Seller’s Interests in the Company; (c) each Seller’s Pro Rata Percentage; (d) the Cash Consideration to be paid to such Person at the Closing; (e) the Stock Consideration to be delivered to such Person at the Closing; and (f) wire information for such Person.</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Agreements</w:t>
      </w:r>
      <w:r>
        <w:rPr>
          <w:rFonts w:ascii="Times New Roman" w:cs="Times New Roman" w:eastAsia="Times New Roman" w:hAnsi="Times New Roman"/>
          <w:sz w:val="18"/>
          <w:szCs w:val="18"/>
          <w:color w:val="auto"/>
        </w:rPr>
        <w:t>” means the License Agreement, the Company Assignment and Assumption Agreement, the Purchaser Assignment and Assumption Agreement, the IP Assignment Agreement, the Sublease and Operating Agreement and the Equipment Side Letter.</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Bonn Know-How</w:t>
      </w:r>
      <w:r>
        <w:rPr>
          <w:rFonts w:ascii="Times New Roman" w:cs="Times New Roman" w:eastAsia="Times New Roman" w:hAnsi="Times New Roman"/>
          <w:sz w:val="18"/>
          <w:szCs w:val="18"/>
          <w:color w:val="auto"/>
        </w:rPr>
        <w:t>” means any Know-How generated, used or held for use by the Company or any of its Affiliates in connection with the Bonn License Agreement or the practice or other exploitation of the Intellectual Property licensed thereunder.</w:t>
      </w:r>
    </w:p>
    <w:p>
      <w:pPr>
        <w:spacing w:after="0" w:line="155" w:lineRule="exact"/>
        <w:rPr>
          <w:sz w:val="20"/>
          <w:szCs w:val="20"/>
          <w:color w:val="auto"/>
        </w:rPr>
      </w:pPr>
    </w:p>
    <w:p>
      <w:pPr>
        <w:ind w:right="6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Bonn License Activities</w:t>
      </w:r>
      <w:r>
        <w:rPr>
          <w:rFonts w:ascii="Times New Roman" w:cs="Times New Roman" w:eastAsia="Times New Roman" w:hAnsi="Times New Roman"/>
          <w:sz w:val="17"/>
          <w:szCs w:val="17"/>
          <w:color w:val="auto"/>
        </w:rPr>
        <w:t>” means (i) the development, exercise, practice or other exploitation of any Licensed IP under the Bonn License Agreement or the performance of activities in connection with any of the foregoing, and (ii) the performance of the Bonn License Agreement.</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Bonn License Agreement</w:t>
      </w:r>
      <w:r>
        <w:rPr>
          <w:rFonts w:ascii="Times New Roman" w:cs="Times New Roman" w:eastAsia="Times New Roman" w:hAnsi="Times New Roman"/>
          <w:sz w:val="18"/>
          <w:szCs w:val="18"/>
          <w:color w:val="auto"/>
        </w:rPr>
        <w:t>” means the Retained Know-How License Agreement by and between [***].</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remain closed.</w:t>
      </w:r>
    </w:p>
    <w:p>
      <w:pPr>
        <w:spacing w:after="0" w:line="15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Employee</w:t>
      </w:r>
      <w:r>
        <w:rPr>
          <w:rFonts w:ascii="Times New Roman" w:cs="Times New Roman" w:eastAsia="Times New Roman" w:hAnsi="Times New Roman"/>
          <w:sz w:val="18"/>
          <w:szCs w:val="18"/>
          <w:color w:val="auto"/>
        </w:rPr>
        <w:t xml:space="preserve">” means the employees of the Selling Parties as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for whom Purchaser shall receive executed employment documentation pursuant to </w:t>
      </w:r>
      <w:r>
        <w:rPr>
          <w:rFonts w:ascii="Times New Roman" w:cs="Times New Roman" w:eastAsia="Times New Roman" w:hAnsi="Times New Roman"/>
          <w:sz w:val="18"/>
          <w:szCs w:val="18"/>
          <w:u w:val="single" w:color="auto"/>
          <w:color w:val="auto"/>
        </w:rPr>
        <w:t>Section 7.3(c)(x)</w:t>
      </w:r>
      <w:r>
        <w:rPr>
          <w:rFonts w:ascii="Times New Roman" w:cs="Times New Roman" w:eastAsia="Times New Roman" w:hAnsi="Times New Roman"/>
          <w:sz w:val="18"/>
          <w:szCs w:val="18"/>
          <w:color w:val="auto"/>
        </w:rPr>
        <w:t>, including those who shall transfer to Odyssey GmbH pursuant to the Acquired Rights Directive (2001/23/EC) and its implementation in German law pursuant to Section 613a German Civil Code.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7" w:right="459" w:bottom="1440" w:gutter="0" w:footer="0" w:header="0"/>
        </w:sectPr>
      </w:pPr>
    </w:p>
    <w:bookmarkStart w:id="639" w:name="page640"/>
    <w:bookmarkEnd w:id="6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means $1,750,000.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Consideration</w:t>
      </w:r>
      <w:r>
        <w:rPr>
          <w:rFonts w:ascii="Times New Roman" w:cs="Times New Roman" w:eastAsia="Times New Roman" w:hAnsi="Times New Roman"/>
          <w:sz w:val="18"/>
          <w:szCs w:val="18"/>
          <w:color w:val="auto"/>
        </w:rPr>
        <w:t>” means an amount equal to the Cash Consideration plus the Stock Consideration.</w:t>
      </w:r>
    </w:p>
    <w:p>
      <w:pPr>
        <w:spacing w:after="0" w:line="225"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Financial Certificate</w:t>
      </w:r>
      <w:r>
        <w:rPr>
          <w:rFonts w:ascii="Times New Roman" w:cs="Times New Roman" w:eastAsia="Times New Roman" w:hAnsi="Times New Roman"/>
          <w:sz w:val="17"/>
          <w:szCs w:val="17"/>
          <w:color w:val="auto"/>
        </w:rPr>
        <w:t>” means a certificate executed by the chief executive officer of the Company dated as of the Closing Date, certifying as of immediately prior to the Closing, that the Company has no Indebtedness or Liabilities (including with respect to Transaction Expenses).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Milestone Product</w:t>
      </w:r>
      <w:r>
        <w:rPr>
          <w:rFonts w:ascii="Times New Roman" w:cs="Times New Roman" w:eastAsia="Times New Roman" w:hAnsi="Times New Roman"/>
          <w:sz w:val="18"/>
          <w:szCs w:val="18"/>
          <w:color w:val="auto"/>
        </w:rPr>
        <w:t>” means any MDA5 Milestone Product or NLRP1 Milestone Product that contains one or more Active Substances together with one or more other active substances and is sold either as a fixed dose/unit or as separate doses/units in a single package by prescription, over-the-counter or any other method.</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Assets</w:t>
      </w:r>
      <w:r>
        <w:rPr>
          <w:rFonts w:ascii="Times New Roman" w:cs="Times New Roman" w:eastAsia="Times New Roman" w:hAnsi="Times New Roman"/>
          <w:sz w:val="18"/>
          <w:szCs w:val="18"/>
          <w:color w:val="auto"/>
        </w:rPr>
        <w:t>” means (i) any and all of the assets, materials, documents, properties, services and rights (including Intellectual Property, Know-How, laboratory notebooks, compounds, master and working cell banks, assays and Contracts) used in, useful for (but solely to the extent related to any physical assets, reasonably useful for) or necessary to operate the Company Business as currently conducted and as contemplated to be conducted and (ii) any Know-How, materials or physical embodiments of Intellectual Property that are used in, useful for (but solely to the extent related to any physical embodiments of Intellectual Property, reasonably useful for) or necessary to fully exercise and exploit the Company IP.</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Assignment and Assumption Agreement</w:t>
      </w:r>
      <w:r>
        <w:rPr>
          <w:rFonts w:ascii="Times New Roman" w:cs="Times New Roman" w:eastAsia="Times New Roman" w:hAnsi="Times New Roman"/>
          <w:sz w:val="18"/>
          <w:szCs w:val="18"/>
          <w:color w:val="auto"/>
        </w:rPr>
        <w:t xml:space="preserve">” means the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by and among the Company, the Selling Parties and their Affiliates, dated as of the date hereof.</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Business</w:t>
      </w:r>
      <w:r>
        <w:rPr>
          <w:rFonts w:ascii="Times New Roman" w:cs="Times New Roman" w:eastAsia="Times New Roman" w:hAnsi="Times New Roman"/>
          <w:sz w:val="18"/>
          <w:szCs w:val="18"/>
          <w:color w:val="auto"/>
        </w:rPr>
        <w:t>” means discovery, research or development relating to MDA5 or NLRP1 and its modulation, including the discovery, research or development of any MDA5 Compound or NLRP1 Compound.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means, individually and collectively, the Licensed IP and the Owned IP.</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means all software, computer hardware, servers, networks, platforms, peripherals, and similar or related items of automated, computerized, or other information technology (IT) networks or systems (including telecommunications networks and systems for voice, data, and video) owned, leased, licensed, or used (including through cloud-based or other third-party service providers) by or on behalf of the Company or necessary for the Company Business.</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Know-How</w:t>
      </w:r>
      <w:r>
        <w:rPr>
          <w:rFonts w:ascii="Times New Roman" w:cs="Times New Roman" w:eastAsia="Times New Roman" w:hAnsi="Times New Roman"/>
          <w:sz w:val="18"/>
          <w:szCs w:val="18"/>
          <w:color w:val="auto"/>
        </w:rPr>
        <w:t>” means any Know-How generated, used or held for use by the Company or any of the Selling Parties or any of their respective Affiliates in connection with the Company Business.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640" w:name="page641"/>
    <w:bookmarkEnd w:id="640"/>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Competing Business</w:t>
      </w:r>
      <w:r>
        <w:rPr>
          <w:rFonts w:ascii="Times New Roman" w:cs="Times New Roman" w:eastAsia="Times New Roman" w:hAnsi="Times New Roman"/>
          <w:sz w:val="18"/>
          <w:szCs w:val="18"/>
          <w:color w:val="auto"/>
        </w:rPr>
        <w:t>” means the Exploitation, directly or indirectly, of any MDA5 Compound or NLRP1 Compound or any product including any MDA5 Compound or NLRP1 Compound.</w:t>
      </w:r>
    </w:p>
    <w:p>
      <w:pPr>
        <w:spacing w:after="0" w:line="155"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agreement, understanding, contract, note, bond, deed, mortgage, lease, sublease, license, sublicense, instrument, commitment, grant, subsidy, promise, undertaking or other legally binding arrangement, whether written or oral.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“CSA” </w:t>
      </w:r>
      <w:r>
        <w:rPr>
          <w:rFonts w:ascii="Times New Roman" w:cs="Times New Roman" w:eastAsia="Times New Roman" w:hAnsi="Times New Roman"/>
          <w:sz w:val="18"/>
          <w:szCs w:val="18"/>
          <w:color w:val="auto"/>
        </w:rPr>
        <w:t>means the United States Controlled Substances Act, 21 U.S.C. § 801 et seq.</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 any breach, violation or default, (b) the existence of circumstances or the occurrence of an event that with the passage of time or the giving of notice or both would constitute a breach, violation or default, or (c) the existence of circumstances or the occurrence of an event that, with or without the passage of time or the giving of notice or both, would give rise to a right of termination, renegotiation or acceleration or loss of benefit.</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w:t>
      </w:r>
      <w:r>
        <w:rPr>
          <w:rFonts w:ascii="Times New Roman" w:cs="Times New Roman" w:eastAsia="Times New Roman" w:hAnsi="Times New Roman"/>
          <w:sz w:val="18"/>
          <w:szCs w:val="18"/>
          <w:color w:val="auto"/>
        </w:rPr>
        <w:t>” means providing to Purchaser a copy of any item required to be delivered to Purchaser directly or any such item in the virtual data room for the transactions contemplated by this Agreement to which Purchaser and its Representatives have access, in each case not less than three Business Days prior to the date hereof.</w:t>
      </w:r>
    </w:p>
    <w:p>
      <w:pPr>
        <w:spacing w:after="0" w:line="17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means any dispute, controversy or claim (of any and every kind or type, whether based on contract, tort, statute, regulation, or otherwise) arising out of, relating to, or in connection with this Agreement, the negotiation, execution or performance of this Agreement (including any such dispute, controversy or claim based upon, arising out of or related to any representation or warranty made in this Agreement) or the transactions contemplated by this Agreement, including any dispute as to the construction, validity, interpretation, enforceability or breach of this Agreement.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individual who is or was engaged as an employee of any of the Selling Parties in support of the Company Business.</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claim, lien, pledge, option, charge, easement, security interest, deed of trust, mortgage, conditional sales agreement, preference, right of possession, lease, tenancy, license, encroachment, encumbrance, preemptive right, right of first refusal, restriction, or promise regarding the transfer of an asset (or any interest therein) to a Third Party or Affiliate, whether voluntarily incurred or arising by operation of law, and includes any agreement to give any of the foregoing in the future.</w:t>
      </w:r>
    </w:p>
    <w:p>
      <w:pPr>
        <w:spacing w:after="0" w:line="176"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 Side Letter</w:t>
      </w:r>
      <w:r>
        <w:rPr>
          <w:rFonts w:ascii="Times New Roman" w:cs="Times New Roman" w:eastAsia="Times New Roman" w:hAnsi="Times New Roman"/>
          <w:sz w:val="18"/>
          <w:szCs w:val="18"/>
          <w:color w:val="auto"/>
        </w:rPr>
        <w:t xml:space="preserve">” means the agreement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by and between IFM GmbH and Purchaser, dated as of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import, use, sell or offer for sale, including to discover, research, develop, commercialize, register, manufacture, have manufactured, modify, improve, hold or keep (whether for disposal or otherwise), have used, imported, export, transport, distribute, promote, market or have sold or otherwise dispose of and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the act of Exploiting a component, product or process.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7" w:right="459" w:bottom="1440" w:gutter="0" w:footer="0" w:header="0"/>
        </w:sectPr>
      </w:pPr>
    </w:p>
    <w:bookmarkStart w:id="641" w:name="page642"/>
    <w:bookmarkEnd w:id="64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successor agency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means the United States Federal Food, Drug, and Cosmetic Act, 21 U.S.C. § 301 et seq.</w:t>
      </w:r>
    </w:p>
    <w:p>
      <w:pPr>
        <w:spacing w:after="0" w:line="225"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the applicable Milestone Product, the first sale of such Milestone Product for monetary value in an arm’s length transaction by Purchaser, any of its subsidiaries or any Product Obligor to any Sales Third Party for use or consumption by such Sales Third Party of such product in the United States after all Regulatory Approvals have been obtained in the United States for such Milestone Product. For the avoidance of doubt, sales prior to receipt of Regulatory Approvals for such product, such as so-called “treatment IND sales,” “named patient sales,” and “compassionate use sales” shall not be construed as a First Commercial Sale.</w:t>
      </w:r>
    </w:p>
    <w:p>
      <w:pPr>
        <w:spacing w:after="0" w:line="179"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Party Licensed IP</w:t>
      </w:r>
      <w:r>
        <w:rPr>
          <w:rFonts w:ascii="Times New Roman" w:cs="Times New Roman" w:eastAsia="Times New Roman" w:hAnsi="Times New Roman"/>
          <w:sz w:val="18"/>
          <w:szCs w:val="18"/>
          <w:color w:val="auto"/>
        </w:rPr>
        <w:t>” means Licensed IP that is owned or purported to be owned by any of the Selling Parties or any of their respective Affiliates (other than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w:t>
      </w:r>
    </w:p>
    <w:p>
      <w:pPr>
        <w:spacing w:after="0" w:line="225"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international, multinational, federal, state, local, municipal, foreign or other government, agency or authority; or (c) governmental or quasi-governmental authority of any nature (including any governmental division, department, agency, commission, securities exchange or instrumentality and any court or other tribunal).</w:t>
      </w:r>
    </w:p>
    <w:p>
      <w:pPr>
        <w:spacing w:after="0" w:line="176" w:lineRule="exact"/>
        <w:rPr>
          <w:sz w:val="20"/>
          <w:szCs w:val="20"/>
          <w:color w:val="auto"/>
        </w:rPr>
      </w:pPr>
    </w:p>
    <w:p>
      <w:pPr>
        <w:ind w:left="4"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as defined in the FDCA or any successor application or procedure for the applicable Milestone Product filed with the FDA, in either case filed by Purchaser, any of its subsidiaries or any Product Obligor.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 Filing Date</w:t>
      </w:r>
      <w:r>
        <w:rPr>
          <w:rFonts w:ascii="Times New Roman" w:cs="Times New Roman" w:eastAsia="Times New Roman" w:hAnsi="Times New Roman"/>
          <w:sz w:val="18"/>
          <w:szCs w:val="18"/>
          <w:color w:val="auto"/>
        </w:rPr>
        <w:t>” means the date that is 30 days after the submission of the applicable IND to FDA without FDA instituting a clinical hold.</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means (without duplication), as to any Person: (a) all indebtedness of such Person for borrowed money, (b) all obligations under capitalized or operating leases with respect to which such Person is liable, (c) all obligations of such Person evidenced by bonds, notes, debentures or similar instruments, (d) all obligations in respect of interest rate and currency obligation swaps, protection agreements, hedges, caps or collar agreements or similar arrangements either generally or under specific contingencies, (e) all reimbursement obligations of such Person under outstanding letters of credit, (f) all obligations of such Person for the deferred purchase price of property or services including pursuant to any earn-out or similar obligation,</w:t>
      </w:r>
    </w:p>
    <w:p>
      <w:pPr>
        <w:spacing w:after="0" w:line="3" w:lineRule="exact"/>
        <w:rPr>
          <w:sz w:val="20"/>
          <w:szCs w:val="20"/>
          <w:color w:val="auto"/>
        </w:rPr>
      </w:pPr>
    </w:p>
    <w:p>
      <w:pPr>
        <w:ind w:left="4" w:right="520" w:hanging="4"/>
        <w:spacing w:after="0" w:line="260" w:lineRule="auto"/>
        <w:tabs>
          <w:tab w:leader="none" w:pos="259"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any assets and properties purchased by such Person, (h) all guarantees by such Person of any of the foregoing, and (i) any accrued and unpaid liabilities for Pre-Closing Taxes.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642" w:name="page643"/>
    <w:bookmarkEnd w:id="642"/>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Initiation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Initiate</w:t>
      </w:r>
      <w:r>
        <w:rPr>
          <w:rFonts w:ascii="Times New Roman" w:cs="Times New Roman" w:eastAsia="Times New Roman" w:hAnsi="Times New Roman"/>
          <w:sz w:val="18"/>
          <w:szCs w:val="18"/>
          <w:color w:val="auto"/>
        </w:rPr>
        <w:t>” means, with respect to a clinical study, the first dosing of the first human subject in such clinical study in accordance with the applicable protocol and Law.</w:t>
      </w:r>
    </w:p>
    <w:p>
      <w:pPr>
        <w:spacing w:after="0" w:line="155" w:lineRule="exact"/>
        <w:rPr>
          <w:sz w:val="20"/>
          <w:szCs w:val="20"/>
          <w:color w:val="auto"/>
        </w:rPr>
      </w:pPr>
    </w:p>
    <w:p>
      <w:pPr>
        <w:ind w:left="4" w:right="1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any and all intellectual property or proprietary rights of any kind or nature, whether protected, created or arising under any Law, in any jurisdiction anywhere in the world, including all rights in, arising out of, or associated with, any of the following: (a) Patents;</w:t>
      </w:r>
    </w:p>
    <w:p>
      <w:pPr>
        <w:spacing w:after="0" w:line="1" w:lineRule="exact"/>
        <w:rPr>
          <w:sz w:val="20"/>
          <w:szCs w:val="20"/>
          <w:color w:val="auto"/>
        </w:rPr>
      </w:pPr>
    </w:p>
    <w:p>
      <w:pPr>
        <w:ind w:left="4" w:right="40" w:hanging="4"/>
        <w:spacing w:after="0" w:line="265" w:lineRule="auto"/>
        <w:tabs>
          <w:tab w:leader="none" w:pos="259" w:val="left"/>
        </w:tabs>
        <w:numPr>
          <w:ilvl w:val="0"/>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Know-How; (c) trademarks, service marks, trade names, service names, trade dress rights, logos, and other indicia of source or origin, together with the goodwill connected with the use of and symbolized by, and all registrations, applications for registration, and renewals of, any of the foregoing (“</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(d) domain names, URLs, social media tags, handles and other identifiers (and all accounts and account information relating thereto);</w:t>
      </w:r>
    </w:p>
    <w:p>
      <w:pPr>
        <w:ind w:left="4" w:hanging="4"/>
        <w:spacing w:after="0" w:line="251" w:lineRule="auto"/>
        <w:tabs>
          <w:tab w:leader="none" w:pos="249"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works of authorship, whether or not copyrightable, and mask works, and all registrations, applications for registration, and renewals of any of the foregoing (including rights in any promotional, marketing, web and social media content and scientific, technical and pre-clinical trial materials)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(f) internet domain names and social media accounts or user names (including “handles”), whether or not Trademarks, all associated web addresses, URLs, websites and web pages, social media sites and pages, and all content and data thereon or relating thereto, whether or not Copyrights (“</w:t>
      </w:r>
      <w:r>
        <w:rPr>
          <w:rFonts w:ascii="Times New Roman" w:cs="Times New Roman" w:eastAsia="Times New Roman" w:hAnsi="Times New Roman"/>
          <w:sz w:val="18"/>
          <w:szCs w:val="18"/>
          <w:b w:val="1"/>
          <w:bCs w:val="1"/>
          <w:color w:val="auto"/>
        </w:rPr>
        <w:t>Domain Names</w:t>
      </w:r>
      <w:r>
        <w:rPr>
          <w:rFonts w:ascii="Times New Roman" w:cs="Times New Roman" w:eastAsia="Times New Roman" w:hAnsi="Times New Roman"/>
          <w:sz w:val="18"/>
          <w:szCs w:val="18"/>
          <w:color w:val="auto"/>
        </w:rPr>
        <w:t>”); (g) data, databases, and compilations of data, including all Personal Data and pre-clinical trial data, and all aggregated data; (h) moral rights, rights of publicity and other rights to use or exploit the name, image and likeness of any individual; (i) supplier lists, cost and anticipated pricing information, and business and marketing plans, in any form whether or not specifically listed herein, all rights to limit the use or disclosure of any of the foregoing, and all embodiments of, and all documentation relating to, any of the foregoing; (j) rights in software (whether object code or source code), technology platforms and application programming interfaces, specifications, and other documentation for any of the foregoing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(k) moral rights and rights of publicity; (l) all corresponding recordings, licenses or similar agreements relating to any of the foregoing; (m) rights to bring an action for infringement, dilution, misappropriation or other impairment or violation of rights and to receive damages, proceeds or any other legal or equitable protections and remedies with respect to any of the foregoing; and (n) similar or equivalent rights to any of the foregoing anywhere in the world.</w:t>
      </w:r>
    </w:p>
    <w:p>
      <w:pPr>
        <w:spacing w:after="0" w:line="188" w:lineRule="exact"/>
        <w:rPr>
          <w:sz w:val="20"/>
          <w:szCs w:val="20"/>
          <w:color w:val="auto"/>
        </w:rPr>
      </w:pPr>
    </w:p>
    <w:p>
      <w:pPr>
        <w:ind w:left="4"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Assignment Agreement</w:t>
      </w:r>
      <w:r>
        <w:rPr>
          <w:rFonts w:ascii="Times New Roman" w:cs="Times New Roman" w:eastAsia="Times New Roman" w:hAnsi="Times New Roman"/>
          <w:sz w:val="18"/>
          <w:szCs w:val="18"/>
          <w:color w:val="auto"/>
        </w:rPr>
        <w:t xml:space="preserve">” means the agreement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by and among the Company, the Selling Parties and their Affiliates, dated as of the date 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 or any successor agency thereto.</w:t>
      </w:r>
    </w:p>
    <w:p>
      <w:pPr>
        <w:spacing w:after="0" w:line="225"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any inventions, discoveries, concepts, ideas, improvements, trade secrets, technology, business and technical information, proprietary methods, processes, processing methods, techniques, tools, or other know-how, in each of the foregoing cases, whether or not patentable or patent-eligible, and including: physical, chemical, biological, toxicological, pharmacological, and pre-clinical data, dosage regimens, assays, quality control and testing procedures, product specifications, manufacturing techniques, algorithms, designs, design rights, schematics, work-flow diagrams, work product, technology, technical data, all rights to limit the use or disclosure of any of the foregoing, all documentation relating to any of the foregoing, and all similar rights of any type under Law, in each case whether or not confidential or proprietary, and in any form whether or not specifically listed herein.</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67" w:right="499" w:bottom="1440" w:gutter="0" w:footer="0" w:header="0"/>
        </w:sectPr>
      </w:pPr>
    </w:p>
    <w:bookmarkStart w:id="643" w:name="page644"/>
    <w:bookmarkEnd w:id="643"/>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means the actual knowledge of the individuals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the knowledge such individuals would reasonably be expected to have after making a reasonable inquiry with respect to the applicable matter.</w:t>
      </w:r>
    </w:p>
    <w:p>
      <w:pPr>
        <w:spacing w:after="0" w:line="15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applicable federal, national, supranational, state, provincial, local or other domestic or foreign law (including common law), statute, treaty, rule, regulation, Order, directive, ordinance, interpretation, policy, agreement, codes of practice or guidance, with or by, or any other requirement issued, enacted, adopted, promulgated, implemented or otherwise put into effect by or under the authority of any Governmental Authority, or any provision or condition of any Permit.</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direct or indirect liability, Indebtedness, obligation, commitment, expense, claim, deficiency, guaranty or endorsement of or by any Person of any type, known or unknown, and whether accrued, absolute, contingent, matured, unmatured or other, including “off-balance sheet” liabilities.</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xml:space="preserve">” means the agreement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by and among the Company, the Selling Parties and their Affiliates, dated as of the date hereof.</w:t>
      </w:r>
    </w:p>
    <w:p>
      <w:pPr>
        <w:spacing w:after="0" w:line="15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(a) any Intellectual Property licensed to, used in or held for use, by or on behalf of the Company or any of the Selling Parties or any of their respective Affiliates related to the Company Business, (b) any other Intellectual Property that is necessary for the conduct of the Company Business, (c) all Intellectual Property licensed pursuant to the Bonn License Agreement that is not exclusively related to [***], but in each case ((a) to (c)) excluding any Owned IP.</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MDA5</w:t>
      </w:r>
      <w:r>
        <w:rPr>
          <w:rFonts w:ascii="Times New Roman" w:cs="Times New Roman" w:eastAsia="Times New Roman" w:hAnsi="Times New Roman"/>
          <w:sz w:val="18"/>
          <w:szCs w:val="18"/>
          <w:color w:val="auto"/>
        </w:rPr>
        <w:t>” means the melanoma differentiation-associated protein 5 encoded by the IFIH1 gene in humans.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MDA5 Agonist Compound</w:t>
      </w:r>
      <w:r>
        <w:rPr>
          <w:rFonts w:ascii="Times New Roman" w:cs="Times New Roman" w:eastAsia="Times New Roman" w:hAnsi="Times New Roman"/>
          <w:sz w:val="18"/>
          <w:szCs w:val="18"/>
          <w:color w:val="auto"/>
        </w:rPr>
        <w:t>” means a MDA5 Compound that: [***].</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MDA5 Agonist Product</w:t>
      </w:r>
      <w:r>
        <w:rPr>
          <w:rFonts w:ascii="Times New Roman" w:cs="Times New Roman" w:eastAsia="Times New Roman" w:hAnsi="Times New Roman"/>
          <w:sz w:val="18"/>
          <w:szCs w:val="18"/>
          <w:color w:val="auto"/>
        </w:rPr>
        <w:t>” means a pharmaceutical product that contains as an active ingredient (alone or with other active ingredients) one or more MDA5 Agonist Compounds.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644" w:name="page645"/>
    <w:bookmarkEnd w:id="6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MDA5 Antagonist Compound</w:t>
      </w:r>
      <w:r>
        <w:rPr>
          <w:rFonts w:ascii="Times New Roman" w:cs="Times New Roman" w:eastAsia="Times New Roman" w:hAnsi="Times New Roman"/>
          <w:sz w:val="18"/>
          <w:szCs w:val="18"/>
          <w:color w:val="auto"/>
        </w:rPr>
        <w:t>” means a MDA5 Compound that: [***].</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MDA5 Antagonist Product</w:t>
      </w:r>
      <w:r>
        <w:rPr>
          <w:rFonts w:ascii="Times New Roman" w:cs="Times New Roman" w:eastAsia="Times New Roman" w:hAnsi="Times New Roman"/>
          <w:sz w:val="18"/>
          <w:szCs w:val="18"/>
          <w:color w:val="auto"/>
        </w:rPr>
        <w:t>” means a pharmaceutical product that contains as an active ingredient (alone or with other active ingredients) one or more MDA5 Antagonist Compounds.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MDA5 Compound</w:t>
      </w:r>
      <w:r>
        <w:rPr>
          <w:rFonts w:ascii="Times New Roman" w:cs="Times New Roman" w:eastAsia="Times New Roman" w:hAnsi="Times New Roman"/>
          <w:sz w:val="18"/>
          <w:szCs w:val="18"/>
          <w:color w:val="auto"/>
        </w:rPr>
        <w:t>” means a compound whose primary mechanism of action is to modulate the activity of MDA5.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MDA5 Milestone Compound</w:t>
      </w:r>
      <w:r>
        <w:rPr>
          <w:rFonts w:ascii="Times New Roman" w:cs="Times New Roman" w:eastAsia="Times New Roman" w:hAnsi="Times New Roman"/>
          <w:sz w:val="18"/>
          <w:szCs w:val="18"/>
          <w:color w:val="auto"/>
        </w:rPr>
        <w:t>” means a MDA5 Agonist Compound or a MDA5 Antagonist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MDA5 Milestone Product</w:t>
      </w:r>
      <w:r>
        <w:rPr>
          <w:rFonts w:ascii="Times New Roman" w:cs="Times New Roman" w:eastAsia="Times New Roman" w:hAnsi="Times New Roman"/>
          <w:sz w:val="18"/>
          <w:szCs w:val="18"/>
          <w:color w:val="auto"/>
        </w:rPr>
        <w:t>” means a MDA5 Agonist Product or a MDA5 Antagonist Product.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any holder of the membership interests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Product</w:t>
      </w:r>
      <w:r>
        <w:rPr>
          <w:rFonts w:ascii="Times New Roman" w:cs="Times New Roman" w:eastAsia="Times New Roman" w:hAnsi="Times New Roman"/>
          <w:sz w:val="18"/>
          <w:szCs w:val="18"/>
          <w:color w:val="auto"/>
        </w:rPr>
        <w:t>” means a MDA5 Milestone Product or a NLRP1 Milestone Product.</w:t>
      </w:r>
    </w:p>
    <w:p>
      <w:pPr>
        <w:spacing w:after="0" w:line="225" w:lineRule="exact"/>
        <w:rPr>
          <w:sz w:val="20"/>
          <w:szCs w:val="20"/>
          <w:color w:val="auto"/>
        </w:rPr>
      </w:pPr>
    </w:p>
    <w:p>
      <w:pPr>
        <w:ind w:right="1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Sales</w:t>
      </w:r>
      <w:r>
        <w:rPr>
          <w:rFonts w:ascii="Times New Roman" w:cs="Times New Roman" w:eastAsia="Times New Roman" w:hAnsi="Times New Roman"/>
          <w:sz w:val="17"/>
          <w:szCs w:val="17"/>
          <w:color w:val="auto"/>
        </w:rPr>
        <w:t>” means, with respect to any period, the gross invoice price (not including value added taxes, sales taxes, or similar taxes) of a Milestone Product sold by Purchaser, its subsidiaries or any Product Obligor to the first Sales Third Party in the United States after deducting, if not previously deducted, from the amount invoiced or received: [***]. Without limiting the generality of the foregoing, sales, transfers, or dispositions of such Milestone Product for charitable, promotional (including samples), non-clinical, clinical, or regulatory purposes will be excluded from Net Sales, as will sales or transfers of such Milestone Product among Purchaser, its subsidiaries and any Product Obligor or among any Product Obligors; and the same unit of Milestone Product shall only be included in Net Sales once. The foregoing amounts shall be determined from the books and records of Purchaser, its applicable subsidiary or the applicable Product Obligor, as applicable, maintained in accordance with their regular accounting methods, consistently applied. There shall be no double counting in determining the foregoing deductions from gross amounts invoiced to calculate Net Sales.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7" w:right="459" w:bottom="1440" w:gutter="0" w:footer="0" w:header="0"/>
        </w:sectPr>
      </w:pPr>
    </w:p>
    <w:bookmarkStart w:id="645" w:name="page646"/>
    <w:bookmarkEnd w:id="64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shall prevent Purchaser, any of its subsidiaries or any Product Obligor from making selling, distributing or invoicing a Milestone Product at a discounted price for shipments to Third Parties in connection with clinical trials, sampling, compassionate sales, humanitarian or an indigent program or similar bona fide arrangements in which such Third Party agrees to forego a normal profit margin for good faith business reasons and, notwithstanding anything herein to the contrary, to the extent such distribution is made without charge it shall not be deemed a sale for purposes of determining Net Sales. Sales or other commercial dispositions of such Milestone Product (i) between Purchaser, any of its subsidiaries or any Product Obligor (except where any such subsidiary or Product Obligor is an end user of the Milestone Product) or (ii) provided to Sales Third Parties, in connection with development, clinical trials, compassionate use, humanitarian and charitable donations or indigent programs, or for use, in reasonable and customary quantities, as samples, shall, in either case (clause (i) or (ii)), be excluded from the computation of Net Sales.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event that a Milestone Product is sold in the United States in the form of a Combination Milestone Product, Net Sales of such Combination Milestone Product shall be calculated by multiplying actual Net Sales of such Combination Milestone Product in the United States calculated pursuant to the foregoing definition of “Net Sales” by the fraction A/(A+B), where [***].</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event that a Milestone Product is sold only as a Combination Milestone Product in the United States, Net Sales in the United States shall be calculated on the basis of [***]. The deductions set forth in clauses (a) through (g) above will be applied in calculating Net Sales for a Combination Milestone Product. For clarity, if a Combination Milestone Product contains a MDA5 Milestone Compound and a NLRP1 Milestone Compound, Net Sales of such Combination Milestone Product for the purpose of calculating Net Sales of (x) all MDA5 Milestone Products shall be calculated on the basis that the MDA5 Milestone Compound (and not the NLRP1 Milestone Compound) is the Active Substance in such Combination Milestone Product: and (y) all NLRP1 Milestone Products shall be calculated on the basis that the NLRP1 Milestone Compound (and not the MDA5 Milestone Compound) is the Active Substance in such Combination Milestone Product.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646" w:name="page647"/>
    <w:bookmarkEnd w:id="646"/>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NLRP1</w:t>
      </w:r>
      <w:r>
        <w:rPr>
          <w:rFonts w:ascii="Times New Roman" w:cs="Times New Roman" w:eastAsia="Times New Roman" w:hAnsi="Times New Roman"/>
          <w:sz w:val="18"/>
          <w:szCs w:val="18"/>
          <w:color w:val="auto"/>
        </w:rPr>
        <w:t>” means nucleotide-binding domain and leucine-rich repeat containing (NLR) family pyrin domain containing 1; encoded by the NLRP1 gene in humans.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NLRP1 Agonist Compound</w:t>
      </w:r>
      <w:r>
        <w:rPr>
          <w:rFonts w:ascii="Times New Roman" w:cs="Times New Roman" w:eastAsia="Times New Roman" w:hAnsi="Times New Roman"/>
          <w:sz w:val="18"/>
          <w:szCs w:val="18"/>
          <w:color w:val="auto"/>
        </w:rPr>
        <w:t>” means a NLRP1 Compound that: [***].</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NLRP1 Agonist Product</w:t>
      </w:r>
      <w:r>
        <w:rPr>
          <w:rFonts w:ascii="Times New Roman" w:cs="Times New Roman" w:eastAsia="Times New Roman" w:hAnsi="Times New Roman"/>
          <w:sz w:val="18"/>
          <w:szCs w:val="18"/>
          <w:color w:val="auto"/>
        </w:rPr>
        <w:t>” means a pharmaceutical product that contains as an active ingredient (alone or with other active ingredients) one or more NLRP1 Agonist Compounds.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NLRP1 Antagonist Compound</w:t>
      </w:r>
      <w:r>
        <w:rPr>
          <w:rFonts w:ascii="Times New Roman" w:cs="Times New Roman" w:eastAsia="Times New Roman" w:hAnsi="Times New Roman"/>
          <w:sz w:val="18"/>
          <w:szCs w:val="18"/>
          <w:color w:val="auto"/>
        </w:rPr>
        <w:t>” means a NLRP1 Compound that: [***].</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NLRP1 Antagonist Product</w:t>
      </w:r>
      <w:r>
        <w:rPr>
          <w:rFonts w:ascii="Times New Roman" w:cs="Times New Roman" w:eastAsia="Times New Roman" w:hAnsi="Times New Roman"/>
          <w:sz w:val="18"/>
          <w:szCs w:val="18"/>
          <w:color w:val="auto"/>
        </w:rPr>
        <w:t>” means a pharmaceutical product that contains as an active ingredient (alone or with other active ingredients) one or more NLRP1 Antagonist Compounds.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NLRP1 Compound</w:t>
      </w:r>
      <w:r>
        <w:rPr>
          <w:rFonts w:ascii="Times New Roman" w:cs="Times New Roman" w:eastAsia="Times New Roman" w:hAnsi="Times New Roman"/>
          <w:sz w:val="18"/>
          <w:szCs w:val="18"/>
          <w:color w:val="auto"/>
        </w:rPr>
        <w:t>” means a compound whose primary mechanism of action is to modulate the activity of NLRP1.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NLRP1 Milestone Compound</w:t>
      </w:r>
      <w:r>
        <w:rPr>
          <w:rFonts w:ascii="Times New Roman" w:cs="Times New Roman" w:eastAsia="Times New Roman" w:hAnsi="Times New Roman"/>
          <w:sz w:val="18"/>
          <w:szCs w:val="18"/>
          <w:color w:val="auto"/>
        </w:rPr>
        <w:t>” means a NLRP1 Agonist Compound or a NLRP1 Antagonist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NLRP1 Milestone Product</w:t>
      </w:r>
      <w:r>
        <w:rPr>
          <w:rFonts w:ascii="Times New Roman" w:cs="Times New Roman" w:eastAsia="Times New Roman" w:hAnsi="Times New Roman"/>
          <w:sz w:val="18"/>
          <w:szCs w:val="18"/>
          <w:color w:val="auto"/>
        </w:rPr>
        <w:t>” means a NLRP1 Agonist Product or a NLRP1 Antagonist Product.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Odyssey GmbH</w:t>
      </w:r>
      <w:r>
        <w:rPr>
          <w:rFonts w:ascii="Times New Roman" w:cs="Times New Roman" w:eastAsia="Times New Roman" w:hAnsi="Times New Roman"/>
          <w:sz w:val="18"/>
          <w:szCs w:val="18"/>
          <w:color w:val="auto"/>
        </w:rPr>
        <w:t>” means Odyssey Therapeutics GmbH.</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6" w:right="519" w:bottom="1440" w:gutter="0" w:footer="0" w:header="0"/>
        </w:sectPr>
      </w:pPr>
    </w:p>
    <w:bookmarkStart w:id="647" w:name="page648"/>
    <w:bookmarkEnd w:id="6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Operating Agreement</w:t>
      </w:r>
      <w:r>
        <w:rPr>
          <w:rFonts w:ascii="Times New Roman" w:cs="Times New Roman" w:eastAsia="Times New Roman" w:hAnsi="Times New Roman"/>
          <w:sz w:val="18"/>
          <w:szCs w:val="18"/>
          <w:color w:val="auto"/>
        </w:rPr>
        <w:t>” means the Amended and Restated Operating Agreement of the Company, dated as of November 25, 2019.</w:t>
      </w:r>
    </w:p>
    <w:p>
      <w:pPr>
        <w:spacing w:after="0" w:line="225"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judgment, decision, decree, direction, instruction, notice, award, injunction, ruling or order of any federal, national, supranational, state, provincial, local or other domestic or foreign court or Governmental Authority that is binding on any Person or its property or assets.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w:t>
      </w:r>
      <w:r>
        <w:rPr>
          <w:rFonts w:ascii="Times New Roman" w:cs="Times New Roman" w:eastAsia="Times New Roman" w:hAnsi="Times New Roman"/>
          <w:sz w:val="18"/>
          <w:szCs w:val="18"/>
          <w:color w:val="auto"/>
        </w:rPr>
        <w:t>” means the ordinary course of the Company Business, consistent with past practice since its inception.</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IP</w:t>
      </w:r>
      <w:r>
        <w:rPr>
          <w:rFonts w:ascii="Times New Roman" w:cs="Times New Roman" w:eastAsia="Times New Roman" w:hAnsi="Times New Roman"/>
          <w:sz w:val="18"/>
          <w:szCs w:val="18"/>
          <w:color w:val="auto"/>
        </w:rPr>
        <w:t>” means Intellectual Property owned or purported to be owned by or on behalf of the Company. “Owned IP” includes any Intellectual Property assigned to the Company pursuant to the IP Assignment Agreement.</w:t>
      </w:r>
    </w:p>
    <w:p>
      <w:pPr>
        <w:spacing w:after="0" w:line="15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any domestic or foreign patents (including utility, patents, design patents, industrial designs, utility models, and certificates of invention), patent disclosures, patent applications whether published or unpublished, filed or unfiled (including invention disclosures), and whether or not provisional or non-provisional (including additions, national, regional and international applications, as well as original, continuation, continuation-in-part, divisionals, continued prosecution applications, reissues, re-examination and supplemental examination applications), registrations, applications for registrations and any term extension or restoration, or other governmental action or grant of rights which provides rights beyond the original expiration date of any of the foregoing, including patent term extensions and supplementary protection certificates and the like, and any renewals, substitutions, confirmation patents, registration patents, invention certificates, patents of addition and the like, and any other Governmental Authority-issued indicia of invention ownership and similar related rights under the requirement of Laws of any jurisdiction.</w:t>
      </w:r>
    </w:p>
    <w:p>
      <w:pPr>
        <w:spacing w:after="0" w:line="18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Dispute</w:t>
      </w:r>
      <w:r>
        <w:rPr>
          <w:rFonts w:ascii="Times New Roman" w:cs="Times New Roman" w:eastAsia="Times New Roman" w:hAnsi="Times New Roman"/>
          <w:sz w:val="18"/>
          <w:szCs w:val="18"/>
          <w:color w:val="auto"/>
        </w:rPr>
        <w:t>” means any Dispute regarding (a) the occurrence or non-occurrence of any Milestone Event, (b) the payment, non-payment or amount of the Closing Consideration or any Milestone Payment, or (c) any claim for indemnification or setoff under Article VIII.</w:t>
      </w:r>
    </w:p>
    <w:p>
      <w:pPr>
        <w:spacing w:after="0" w:line="155" w:lineRule="exact"/>
        <w:rPr>
          <w:sz w:val="20"/>
          <w:szCs w:val="20"/>
          <w:color w:val="auto"/>
        </w:rPr>
      </w:pPr>
    </w:p>
    <w:p>
      <w:pPr>
        <w:jc w:val="both"/>
        <w:ind w:right="3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licenses and operating licenses, permits, concessions, franchises, approvals, clearances, registrations, certificates, rights, qualifications, privileges, exemptions, authorizations, easements, variances, permissions, consents or Orders of, or filings with, or notifications to or lodged with, any Governmental Authority or any other Person, together with all applications therefor and all renewals, extensions, or modifications thereof and additions thereto.</w:t>
      </w:r>
    </w:p>
    <w:p>
      <w:pPr>
        <w:spacing w:after="0" w:line="176"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person or entity, whether an individual, sole proprietorship, partnership, limited partnership, limited liability partnership, corporation, limited liability company, business trust, joint stock company, trust, unincorporated association, joint venture, Governmental Authority or other entity or organization.</w:t>
      </w:r>
    </w:p>
    <w:p>
      <w:pPr>
        <w:spacing w:after="0" w:line="171"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any information relating to an identified or identifiable natural person, including an identification number, location data, an online identifier or to one or more factors specific to the physical, physiological, genetic, mental, economic, cultural or social identity of that natural person, and any information that is regulated under any applicable Law as “personal data” or “personally identifiable information” or similar.</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6" w:right="499" w:bottom="1440" w:gutter="0" w:footer="0" w:header="0"/>
        </w:sectPr>
      </w:pPr>
    </w:p>
    <w:bookmarkStart w:id="648" w:name="page649"/>
    <w:bookmarkEnd w:id="64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 Share Value</w:t>
      </w:r>
      <w:r>
        <w:rPr>
          <w:rFonts w:ascii="Times New Roman" w:cs="Times New Roman" w:eastAsia="Times New Roman" w:hAnsi="Times New Roman"/>
          <w:sz w:val="18"/>
          <w:szCs w:val="18"/>
          <w:color w:val="auto"/>
        </w:rPr>
        <w:t>” means $6.15459, the price per share paid by Purchaser’s investors in its Series A-2 Preferred Stock financing.</w:t>
      </w:r>
    </w:p>
    <w:p>
      <w:pPr>
        <w:spacing w:after="0" w:line="225" w:lineRule="exact"/>
        <w:rPr>
          <w:sz w:val="20"/>
          <w:szCs w:val="20"/>
          <w:color w:val="auto"/>
        </w:rPr>
      </w:pPr>
    </w:p>
    <w:p>
      <w:pPr>
        <w:ind w:left="4"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 Clinical Trial</w:t>
      </w:r>
      <w:r>
        <w:rPr>
          <w:rFonts w:ascii="Times New Roman" w:cs="Times New Roman" w:eastAsia="Times New Roman" w:hAnsi="Times New Roman"/>
          <w:sz w:val="18"/>
          <w:szCs w:val="18"/>
          <w:color w:val="auto"/>
        </w:rPr>
        <w:t>” means a human clinical trial of a Milestone Product, the principal purpose of which is a determination of safety and efficacy in the target patient population, which is prospectively designed to generate sufficient data that may permit commencement of pivotal clinical trials, or a similar clinical study prescribed by the Regulatory Authorities, from time to time, pursuant to applicable Law or otherwise, including the trials referred to in 21 C.F.R. §312.21(b), as amended, or foreign counterparts, as may be conducted anywhere in the world.</w:t>
      </w:r>
    </w:p>
    <w:p>
      <w:pPr>
        <w:spacing w:after="0" w:line="176" w:lineRule="exact"/>
        <w:rPr>
          <w:sz w:val="20"/>
          <w:szCs w:val="20"/>
          <w:color w:val="auto"/>
        </w:rPr>
      </w:pPr>
    </w:p>
    <w:p>
      <w:pPr>
        <w:ind w:left="4" w:right="5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III Clinical Trial</w:t>
      </w:r>
      <w:r>
        <w:rPr>
          <w:rFonts w:ascii="Times New Roman" w:cs="Times New Roman" w:eastAsia="Times New Roman" w:hAnsi="Times New Roman"/>
          <w:sz w:val="18"/>
          <w:szCs w:val="18"/>
          <w:color w:val="auto"/>
        </w:rPr>
        <w:t>” means a human clinical trial of a Milestone Product, on a sufficient number of subjects in an indicated patient population that is designed to establish that such Milestone Product is safe and efficacious for its intended use and to determine the benefit/risk relationship, warnings, precautions, and adverse reactions that are associated with such product in the dosage range to be prescribed, which trial is intended to support marketing approval of such Milestone Product, including all tests and studies that are required by the FDA from time to time, pursuant to applicable Law or otherwise, including the trials referred to in 21 C.F.R. §312.21(c), as amended, or foreign counterparts, as may be conducted anywhere in the world.</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“PHSA” </w:t>
      </w:r>
      <w:r>
        <w:rPr>
          <w:rFonts w:ascii="Times New Roman" w:cs="Times New Roman" w:eastAsia="Times New Roman" w:hAnsi="Times New Roman"/>
          <w:sz w:val="18"/>
          <w:szCs w:val="18"/>
          <w:color w:val="auto"/>
        </w:rPr>
        <w:t>means the United States Public Health Service Act, 42 U.S.C. § 201 et seq.</w:t>
      </w:r>
    </w:p>
    <w:p>
      <w:pPr>
        <w:spacing w:after="0" w:line="22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means any Tax period beginning after the Closing Date and that portion of any Straddle Period beginning after the Closing Date.</w:t>
      </w:r>
    </w:p>
    <w:p>
      <w:pPr>
        <w:spacing w:after="0" w:line="15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 period ending on or before the Closing Date and that portion of any Straddle Period ending on and including the Closing Date.</w:t>
      </w:r>
    </w:p>
    <w:p>
      <w:pPr>
        <w:spacing w:after="0" w:line="155"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Pre-Closing Taxes</w:t>
      </w:r>
      <w:r>
        <w:rPr>
          <w:rFonts w:ascii="Times New Roman" w:cs="Times New Roman" w:eastAsia="Times New Roman" w:hAnsi="Times New Roman"/>
          <w:sz w:val="17"/>
          <w:szCs w:val="17"/>
          <w:color w:val="auto"/>
        </w:rPr>
        <w:t>” means (a) all Taxes of the Company in respect of any Pre-Closing Tax Period (including any Taxes of the Company incurred in connection with any of the transactions contemplated by this Agreement) and any imputed understatement within the meaning of Section 6225 of the Code relating to any Pre-Closing Tax Period, (b) any Taxes of any Seller in respect of any Tax period, (c) any and all Taxes of any member of an affiliated, consolidated, combined, or unitary group of which the Company or any of its subsidiaries (or any predecessor) is or was a member on or prior to the Closing Date, including pursuant to Treasury Regulation Section 1.1502-6 or any analogous or similar state, local, or foreign law or regulation,</w:t>
      </w:r>
    </w:p>
    <w:p>
      <w:pPr>
        <w:spacing w:after="0" w:line="3" w:lineRule="exact"/>
        <w:rPr>
          <w:sz w:val="20"/>
          <w:szCs w:val="20"/>
          <w:color w:val="auto"/>
        </w:rPr>
      </w:pPr>
    </w:p>
    <w:p>
      <w:pPr>
        <w:ind w:left="4" w:hanging="4"/>
        <w:spacing w:after="0" w:line="270" w:lineRule="auto"/>
        <w:tabs>
          <w:tab w:leader="none" w:pos="259" w:val="left"/>
        </w:tabs>
        <w:numPr>
          <w:ilvl w:val="0"/>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Taxes of any Person (other than the Company or any of its subsidiaries) imposed on the Company or any of its subsidiaries as a transferee or successor, by contract or pursuant to any law, rule or regulation, which Taxes relate to an event or transaction occurring before the Closing and (e) any Transfer Taxes. In the case of any Straddle Period, Pre-Closing Taxes shall (i) in the case of any property or ad valorem Taxes of the Company, include an amount equal to the amount of such Taxes for the entire Straddle Period multiplied by a fraction, the numerator of which is the number of days in the Straddle Period through and including the Closing Date and the denominator of which is the total number of days in such Straddle Period and (ii) in the case of all other Taxes of the Company, be determined on the basis of a closing of the books as of the end of the day on the Closing Date.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649" w:name="page650"/>
    <w:bookmarkEnd w:id="649"/>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Product Obligor</w:t>
      </w:r>
      <w:r>
        <w:rPr>
          <w:rFonts w:ascii="Times New Roman" w:cs="Times New Roman" w:eastAsia="Times New Roman" w:hAnsi="Times New Roman"/>
          <w:sz w:val="18"/>
          <w:szCs w:val="18"/>
          <w:color w:val="auto"/>
        </w:rPr>
        <w:t>” means with respect to a Milestone Product (a) any successor of Purchaser or any of its subsidiaries with respect to its rights to Exploit such Milestone Product, (b) any other Person who obtains, directly or indirectly, from Purchaser or any of its subsidiaries (or any of their respective successors) rights (i) to seek and obtain Regulatory Approval with respect to such Milestone Product or (ii) to sell such Milestone Product in the United States, or (c) an Affiliate of a successor or other Person described in clauses (a) or (b), and in the case of clauses (a) and (b), whether by assignment, license, sublicense or any other grant or transfer of rights, but excluding in the case of clauses (b) and (c) any distributor appointed by Purchaser or any of its subsidiaries (or any of their respective successors) or by any such assignee, (sub)licensee, transferee or subsidiary.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Percentage</w:t>
      </w:r>
      <w:r>
        <w:rPr>
          <w:rFonts w:ascii="Times New Roman" w:cs="Times New Roman" w:eastAsia="Times New Roman" w:hAnsi="Times New Roman"/>
          <w:sz w:val="18"/>
          <w:szCs w:val="18"/>
          <w:color w:val="auto"/>
        </w:rPr>
        <w:t>” means, with respect to each Seller, the percentage set forth opposite the name of such Seller on the Allocation Schedule.</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Assignment and Assumption Agreement</w:t>
      </w:r>
      <w:r>
        <w:rPr>
          <w:rFonts w:ascii="Times New Roman" w:cs="Times New Roman" w:eastAsia="Times New Roman" w:hAnsi="Times New Roman"/>
          <w:sz w:val="18"/>
          <w:szCs w:val="18"/>
          <w:color w:val="auto"/>
        </w:rPr>
        <w:t xml:space="preserve">” means the agreement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by and among Purchaser, the Selling Parties and their Affiliates, dated as of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Non-Voting Common Stock</w:t>
      </w:r>
      <w:r>
        <w:rPr>
          <w:rFonts w:ascii="Times New Roman" w:cs="Times New Roman" w:eastAsia="Times New Roman" w:hAnsi="Times New Roman"/>
          <w:sz w:val="18"/>
          <w:szCs w:val="18"/>
          <w:color w:val="auto"/>
        </w:rPr>
        <w:t>” means the shares of non-voting common stock, par value $0.0001 per share, of Purchaser.</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Confidential Information</w:t>
      </w:r>
      <w:r>
        <w:rPr>
          <w:rFonts w:ascii="Times New Roman" w:cs="Times New Roman" w:eastAsia="Times New Roman" w:hAnsi="Times New Roman"/>
          <w:sz w:val="18"/>
          <w:szCs w:val="18"/>
          <w:color w:val="auto"/>
        </w:rPr>
        <w:t>” means the terms of this Agreement and all information with respect to Purchaser or its Affiliates (including the Company), or any of their business or activities, including Company Confidential Information, the Company IP and the Company Assets, any payments made or that may become payable hereunder, any indemnification claims hereunder and all other confidential or proprietary information with respect to the Company, the Company Business, or Purchaser or its Affiliates.</w:t>
      </w:r>
    </w:p>
    <w:p>
      <w:pPr>
        <w:spacing w:after="0" w:line="176"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Milestone Product and a country, all approvals from the relevant Regulatory Authorities necessary to market and sell such Milestone Product in such country.</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Governmental Authority that regulates or otherwise exercises regulatory authority with respect to the Company Business or the Exploitation of any pharmaceutical product, including the FDA.</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(a) each Selling Party and their respective Affiliates; (b) each Person who is, or who was at the time of the entry into the transactions or the creation of the interest in question an officer, director, employee, agent, independent contractor or consultant (or similar position) of the Company or any Affiliate of the Company or such Selling Party or any of their respective Affiliates, or who, beneficially or of record, held Interests or other equity interests in the Company, or who served as a director, officer, employee, agent, independent contractor or consultant (or similar position) of a Person who, beneficially or of record, owned Interests or other equity interests in the Company; (c) each member of the immediate family of each of the Persons referred to in clause (a) or (b) above; and (d) each Person that is, or that was at the time of the entry into the transactions or the creation of the interest in question, an Affiliate of the Persons referred to in clause (a) or (b) above.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650" w:name="page651"/>
    <w:bookmarkEnd w:id="650"/>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any officer, director, manager, principal, attorney, agent, employee or other representative of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Third Party</w:t>
      </w:r>
      <w:r>
        <w:rPr>
          <w:rFonts w:ascii="Times New Roman" w:cs="Times New Roman" w:eastAsia="Times New Roman" w:hAnsi="Times New Roman"/>
          <w:sz w:val="18"/>
          <w:szCs w:val="18"/>
          <w:color w:val="auto"/>
        </w:rPr>
        <w:t>” means a Person other than Purchaser, its subsidiaries (including the Company) and any Product Obligor.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Parties</w:t>
      </w:r>
      <w:r>
        <w:rPr>
          <w:rFonts w:ascii="Times New Roman" w:cs="Times New Roman" w:eastAsia="Times New Roman" w:hAnsi="Times New Roman"/>
          <w:sz w:val="18"/>
          <w:szCs w:val="18"/>
          <w:color w:val="auto"/>
        </w:rPr>
        <w:t>” means Parent, Management, IFM GmbH and the Sellers.</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Parties Confidential Information</w:t>
      </w:r>
      <w:r>
        <w:rPr>
          <w:rFonts w:ascii="Times New Roman" w:cs="Times New Roman" w:eastAsia="Times New Roman" w:hAnsi="Times New Roman"/>
          <w:sz w:val="18"/>
          <w:szCs w:val="18"/>
          <w:color w:val="auto"/>
        </w:rPr>
        <w:t>” means confidential or proprietary information with respect to the Selling Parties, excluding, for the avoidance of doubt, any Purchaser Confidential Information.</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Parties’ Disclosure Letter</w:t>
      </w:r>
      <w:r>
        <w:rPr>
          <w:rFonts w:ascii="Times New Roman" w:cs="Times New Roman" w:eastAsia="Times New Roman" w:hAnsi="Times New Roman"/>
          <w:sz w:val="18"/>
          <w:szCs w:val="18"/>
          <w:color w:val="auto"/>
        </w:rPr>
        <w:t>” means the disclosure letter delivered by the Selling Parties to Purchaser concurrently with the execution of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shares of Purchaser Non-Voting Common Stock to be delivered in exchange for the Interests.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Consideration</w:t>
      </w:r>
      <w:r>
        <w:rPr>
          <w:rFonts w:ascii="Times New Roman" w:cs="Times New Roman" w:eastAsia="Times New Roman" w:hAnsi="Times New Roman"/>
          <w:sz w:val="18"/>
          <w:szCs w:val="18"/>
          <w:color w:val="auto"/>
        </w:rPr>
        <w:t>” means 81,240 shares of Purchaser Non-Voting Common Stock, equal to $500,000 divided by the Per Share Value.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means any Tax period beginning on or before the Closing Date and ending after the Closing Date.</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Sublease and Operating Agreement</w:t>
      </w:r>
      <w:r>
        <w:rPr>
          <w:rFonts w:ascii="Times New Roman" w:cs="Times New Roman" w:eastAsia="Times New Roman" w:hAnsi="Times New Roman"/>
          <w:sz w:val="18"/>
          <w:szCs w:val="18"/>
          <w:color w:val="auto"/>
        </w:rPr>
        <w:t>” means the agreement attached hereto as Exhibit F, by and among the Company, the Selling Parties and their Affiliates, dated as of the date hereof.</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escheat, unclaimed property, sales, use, transfer, registration, value added, alternative or add-on minimum, estimated, or other tax of any kind or any charge of any kind in the nature of (or similar to) taxes, including any interest, penalty, or addition thereto, in each case whether disputed or not, and (b) any liability for the payment of any amounts of the type described in clause (a) as a result of being a member of an affiliated, consolidated, combined or unitary group, as a result of any tax sharing or tax allocation agreement, arrangement or understanding, or as a result of being liable for another person’s taxes as a transferee or successor, by contract or otherwise.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651" w:name="page652"/>
    <w:bookmarkEnd w:id="6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Governmental Authority responsible for the collection or administration of Taxes.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statement, information statement or other document relating to the determination, assessment, collection or administration of any Tax.</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the Selling Parties, the Company, Purchaser and their respective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Licensed IP</w:t>
      </w:r>
      <w:r>
        <w:rPr>
          <w:rFonts w:ascii="Times New Roman" w:cs="Times New Roman" w:eastAsia="Times New Roman" w:hAnsi="Times New Roman"/>
          <w:sz w:val="18"/>
          <w:szCs w:val="18"/>
          <w:color w:val="auto"/>
        </w:rPr>
        <w:t>” means Licensed IP other than First Party Licensed IP.</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(a) any out-of-pocket fees, costs, payments and expenses, including legal and accounting fees and investment banking fees, in each case in connection with (i) the participation in or response to the investigation, review and inquiry conducted by Purchaser and its Representatives with respect to the Company Business (and the furnishing of information to Purchaser and its Representatives in connection with such investigation and review), (ii) the negotiation, preparation, drafting, review, execution, delivery or performance of this Agreement, any Ancillary Agreement or any other document delivered or to be delivered in connection with the transactions contemplated hereby, (iii) the preparation and submission of any filing or notice required to be made or given in connection with any of the transactions contemplated hereby, or (iv) the obtaining of any consent, waiver or approval required to be obtained in connection with any of the transactions contemplated hereby; (b) any sale bonuses, change in control bonuses, benefits or consideration (including any deferred compensation), payments under phantom equity awards or other similar bonuses or payments, or any retention payments, that become payable by reason of the Closing (and any Taxes of the Company or Purchaser arising from the payment of any such bonuses or payments); and (c) any severance, redundancy or similar payments payable to any current Employee, or any current or former manager director, officer or Contractor, in connection with, or in anticipation, or as a direct or indirect result, of the transactions contemplated hereby (and any Taxes of the Company or Purchaser arising from the payment of any such payments), including, for the avoidance of doubt, any payments owed as a result of the transfer of any Business Employee from IFM GmbH to Odyssey GmbH.</w:t>
      </w:r>
    </w:p>
    <w:p>
      <w:pPr>
        <w:spacing w:after="0" w:line="18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Plan</w:t>
      </w:r>
      <w:r>
        <w:rPr>
          <w:rFonts w:ascii="Times New Roman" w:cs="Times New Roman" w:eastAsia="Times New Roman" w:hAnsi="Times New Roman"/>
          <w:sz w:val="18"/>
          <w:szCs w:val="18"/>
          <w:color w:val="auto"/>
        </w:rPr>
        <w:t xml:space="preserve">” means the plan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identifying certain Company Assets agreed between the Selling Parties and Purchaser and providing procedures and a timeline (which in any event shall be no later than 30 days following Closing) for either (i) physical delivery of such Company Assets or (ii) as otherwise reflected on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access to such Company Assets, in each case (i) and (ii) from the Selling Parties and their respective Affiliates to, at Purchaser’s direction, Purchaser or one or more of its Affiliates (which may include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652" w:name="page653"/>
    <w:bookmarkEnd w:id="65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 of Interests</w:t>
      </w:r>
      <w:r>
        <w:rPr>
          <w:rFonts w:ascii="Times New Roman" w:cs="Times New Roman" w:eastAsia="Times New Roman" w:hAnsi="Times New Roman"/>
          <w:sz w:val="18"/>
          <w:szCs w:val="18"/>
          <w:color w:val="auto"/>
        </w:rPr>
        <w:t>. Upon the terms and subject to the conditions of this Agreement, at the Closing, each of the Sellers hereby sells, assigns, transfers, conveys and delivers to Purchaser, free of any Encumbrances, the Interests set forth opposite such Seller’s name on the Allocation Schedule, and Purchaser hereby purchases all of the Interests.</w:t>
      </w:r>
    </w:p>
    <w:p>
      <w:pPr>
        <w:spacing w:after="0" w:line="6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Member Approval</w:t>
      </w:r>
      <w:r>
        <w:rPr>
          <w:rFonts w:ascii="Times New Roman" w:cs="Times New Roman" w:eastAsia="Times New Roman" w:hAnsi="Times New Roman"/>
          <w:sz w:val="18"/>
          <w:szCs w:val="18"/>
          <w:color w:val="auto"/>
        </w:rPr>
        <w:t>. Each of the Sellers hereby approve the sale, transfer, purchase and assumption of the Interests contemplated hereby and confirm that such sale, transfer, purchase and assumption has been approved in accordance with Section 3.03(h) and Section 3.04(a)(i) of the Operating Agreement.</w:t>
      </w:r>
    </w:p>
    <w:p>
      <w:pPr>
        <w:spacing w:after="0" w:line="64"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Transaction Consideration</w:t>
      </w:r>
      <w:r>
        <w:rPr>
          <w:rFonts w:ascii="Times New Roman" w:cs="Times New Roman" w:eastAsia="Times New Roman" w:hAnsi="Times New Roman"/>
          <w:sz w:val="18"/>
          <w:szCs w:val="18"/>
          <w:color w:val="auto"/>
        </w:rPr>
        <w:t>. The aggregate amount of consideration payable by Purchaser to the Sellers for the Interests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shall be (a) an amount in cash and a number of Shares equal to the Closing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each of the Milestone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when, if and to the extent payable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61" w:lineRule="auto"/>
        <w:tabs>
          <w:tab w:leader="none" w:pos="123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sale and purchase of the Interests contemplated hereby shall take place at a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at the offices of Covington &amp; Burling LLP, The New York Times Building, 620 Eighth Avenue, New York, NY 10018, on the date hereof and simultaneously with the execution and delivery of this Agreement by the Parties, or at such other place (including remotely) as Purchaser and the Company agree. The date on which the Closing occurs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 connection with the Closing:</w:t>
      </w:r>
    </w:p>
    <w:p>
      <w:pPr>
        <w:spacing w:after="0" w:line="117" w:lineRule="exact"/>
        <w:rPr>
          <w:rFonts w:ascii="Times New Roman" w:cs="Times New Roman" w:eastAsia="Times New Roman" w:hAnsi="Times New Roman"/>
          <w:sz w:val="18"/>
          <w:szCs w:val="18"/>
          <w:color w:val="auto"/>
        </w:rPr>
      </w:pPr>
    </w:p>
    <w:p>
      <w:pPr>
        <w:ind w:right="120" w:firstLine="1428"/>
        <w:spacing w:after="0" w:line="282" w:lineRule="auto"/>
        <w:tabs>
          <w:tab w:leader="none" w:pos="164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 the Company shall have repaid, or caused to be repaid, to such account or accounts of the applicable holders of Indebtedness of the Company, such that immediately prior to the Closing, the Company has no Indebtedness;</w:t>
      </w:r>
    </w:p>
    <w:p>
      <w:pPr>
        <w:spacing w:after="0" w:line="53" w:lineRule="exact"/>
        <w:rPr>
          <w:rFonts w:ascii="Times New Roman" w:cs="Times New Roman" w:eastAsia="Times New Roman" w:hAnsi="Times New Roman"/>
          <w:sz w:val="18"/>
          <w:szCs w:val="18"/>
          <w:color w:val="auto"/>
        </w:rPr>
      </w:pPr>
    </w:p>
    <w:p>
      <w:pPr>
        <w:ind w:right="200" w:firstLine="1428"/>
        <w:spacing w:after="0" w:line="266" w:lineRule="auto"/>
        <w:tabs>
          <w:tab w:leader="none" w:pos="169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IFM GmbH shall have transferred to Odyssey GmbH pursuant to the Acquired Rights Directive (2001/23/EC) and its implementation in German law pursuant to Section 613a German Civil Code all Business Employees who are employed by IFM GmbH;</w:t>
      </w:r>
    </w:p>
    <w:p>
      <w:pPr>
        <w:spacing w:after="0" w:line="67" w:lineRule="exact"/>
        <w:rPr>
          <w:rFonts w:ascii="Times New Roman" w:cs="Times New Roman" w:eastAsia="Times New Roman" w:hAnsi="Times New Roman"/>
          <w:sz w:val="18"/>
          <w:szCs w:val="18"/>
          <w:color w:val="auto"/>
        </w:rPr>
      </w:pPr>
    </w:p>
    <w:p>
      <w:pPr>
        <w:ind w:firstLine="1428"/>
        <w:spacing w:after="0" w:line="254" w:lineRule="auto"/>
        <w:tabs>
          <w:tab w:leader="none" w:pos="173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Purchaser shall pay or cause to be paid, to each Seller, in exchange for the Interests set forth opposite such Seller’s name on the Allocation Schedule, 50% of the amount of cash set forth opposite its name in respect of the Interests as calculated under “Proceeds at Closing” in the Allocation Schedule, (adjusted, as set forth in the Allocation Schedule, for the payment of any outstanding amounts owed by the Company to Management), with the remaining 50% (the “</w:t>
      </w:r>
      <w:r>
        <w:rPr>
          <w:rFonts w:ascii="Times New Roman" w:cs="Times New Roman" w:eastAsia="Times New Roman" w:hAnsi="Times New Roman"/>
          <w:sz w:val="18"/>
          <w:szCs w:val="18"/>
          <w:b w:val="1"/>
          <w:bCs w:val="1"/>
          <w:color w:val="auto"/>
        </w:rPr>
        <w:t>Holdback Amount</w:t>
      </w:r>
      <w:r>
        <w:rPr>
          <w:rFonts w:ascii="Times New Roman" w:cs="Times New Roman" w:eastAsia="Times New Roman" w:hAnsi="Times New Roman"/>
          <w:sz w:val="18"/>
          <w:szCs w:val="18"/>
          <w:color w:val="auto"/>
        </w:rPr>
        <w:t>”) to be paid two Business Days following the delivery of or grant of access to the last Company Asset specified to be transferred under the Transfer Plan (the “</w:t>
      </w:r>
      <w:r>
        <w:rPr>
          <w:rFonts w:ascii="Times New Roman" w:cs="Times New Roman" w:eastAsia="Times New Roman" w:hAnsi="Times New Roman"/>
          <w:sz w:val="18"/>
          <w:szCs w:val="18"/>
          <w:b w:val="1"/>
          <w:bCs w:val="1"/>
          <w:color w:val="auto"/>
        </w:rPr>
        <w:t>Final Transfer Date</w:t>
      </w:r>
      <w:r>
        <w:rPr>
          <w:rFonts w:ascii="Times New Roman" w:cs="Times New Roman" w:eastAsia="Times New Roman" w:hAnsi="Times New Roman"/>
          <w:sz w:val="18"/>
          <w:szCs w:val="18"/>
          <w:color w:val="auto"/>
        </w:rPr>
        <w:t xml:space="preserve">”, so long as such Final Transfer Date is not later than 30 days following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Management has not delivered evidence reasonably satisfactory to Purchaser of payment of all amounts due to the parties set forth on </w:t>
      </w:r>
      <w:r>
        <w:rPr>
          <w:rFonts w:ascii="Times New Roman" w:cs="Times New Roman" w:eastAsia="Times New Roman" w:hAnsi="Times New Roman"/>
          <w:sz w:val="18"/>
          <w:szCs w:val="18"/>
          <w:u w:val="single" w:color="auto"/>
          <w:color w:val="auto"/>
        </w:rPr>
        <w:t>Schedule 2.4(b)(iv), including those amounts set forth opposite the names of the parties set forth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2.4(b)(iv)</w:t>
      </w:r>
      <w:r>
        <w:rPr>
          <w:rFonts w:ascii="Times New Roman" w:cs="Times New Roman" w:eastAsia="Times New Roman" w:hAnsi="Times New Roman"/>
          <w:sz w:val="18"/>
          <w:szCs w:val="18"/>
          <w:color w:val="auto"/>
        </w:rPr>
        <w:t>, Purchaser shall deduct any unpaid amounts from the Holdback Amount;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53" w:name="page654"/>
    <w:bookmarkEnd w:id="653"/>
    <w:p>
      <w:pPr>
        <w:ind w:left="-60" w:right="80" w:firstLine="1428"/>
        <w:spacing w:after="0" w:line="266" w:lineRule="auto"/>
        <w:tabs>
          <w:tab w:leader="none" w:pos="1667"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soon as reasonably practicable following Closing and in any case prior to the Final Transfer Date, Management shall have paid to each of the parties set forth on </w:t>
      </w:r>
      <w:r>
        <w:rPr>
          <w:rFonts w:ascii="Times New Roman" w:cs="Times New Roman" w:eastAsia="Times New Roman" w:hAnsi="Times New Roman"/>
          <w:sz w:val="18"/>
          <w:szCs w:val="18"/>
          <w:u w:val="single" w:color="auto"/>
          <w:color w:val="auto"/>
        </w:rPr>
        <w:t>Schedule 2.4(b)(iv)</w:t>
      </w:r>
      <w:r>
        <w:rPr>
          <w:rFonts w:ascii="Times New Roman" w:cs="Times New Roman" w:eastAsia="Times New Roman" w:hAnsi="Times New Roman"/>
          <w:sz w:val="18"/>
          <w:szCs w:val="18"/>
          <w:color w:val="auto"/>
        </w:rPr>
        <w:t xml:space="preserve"> an amount in cash equal to the amount set forth each such parties’ names on </w:t>
      </w:r>
      <w:r>
        <w:rPr>
          <w:rFonts w:ascii="Times New Roman" w:cs="Times New Roman" w:eastAsia="Times New Roman" w:hAnsi="Times New Roman"/>
          <w:sz w:val="18"/>
          <w:szCs w:val="18"/>
          <w:u w:val="single" w:color="auto"/>
          <w:color w:val="auto"/>
        </w:rPr>
        <w:t>Schedule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60" w:right="100" w:firstLine="1428"/>
        <w:spacing w:after="0" w:line="281" w:lineRule="auto"/>
        <w:tabs>
          <w:tab w:leader="none" w:pos="1617"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Purchaser shall deliver or cause to be delivered, to each Seller, in exchange for the Interests set forth opposite such Seller’s name on the Allocation Schedule, the number of shares of Purchaser Non-Voting Common Stock set forth opposite its name in respect of the Interests as calculated under “Interests” in the Allocation Schedule (which shall be evidenced by Purchaser entering into its electronic stock ledger the name of each Seller and the relevant number of shares of Purchaser Non-Voting Common Stock within fifteen (15) days following the Closing).</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2.5 P</w:t>
      </w:r>
      <w:r>
        <w:rPr>
          <w:rFonts w:ascii="Times New Roman" w:cs="Times New Roman" w:eastAsia="Times New Roman" w:hAnsi="Times New Roman"/>
          <w:sz w:val="18"/>
          <w:szCs w:val="18"/>
          <w:u w:val="single" w:color="auto"/>
          <w:color w:val="auto"/>
        </w:rPr>
        <w:t>ayment of Milestone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firstLine="987"/>
        <w:spacing w:after="0" w:line="266" w:lineRule="auto"/>
        <w:tabs>
          <w:tab w:leader="none" w:pos="117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on which the applicable Milestone Payment is due, Purchaser shall pay the applicable Milestone Payment to the Sellers, pro-rated in accordance with the Allocation Schedule, unless a Seller provides written notice to Purchaser setting forth new wire information reasonably acceptable to Purchaser no later than 10 Business Days prior to the relevant Milestone Payment Date.</w:t>
      </w:r>
    </w:p>
    <w:p>
      <w:pPr>
        <w:spacing w:after="0" w:line="67" w:lineRule="exact"/>
        <w:rPr>
          <w:rFonts w:ascii="Times New Roman" w:cs="Times New Roman" w:eastAsia="Times New Roman" w:hAnsi="Times New Roman"/>
          <w:sz w:val="18"/>
          <w:szCs w:val="18"/>
          <w:color w:val="auto"/>
        </w:rPr>
      </w:pPr>
    </w:p>
    <w:p>
      <w:pPr>
        <w:ind w:left="-60" w:firstLine="987"/>
        <w:spacing w:after="0" w:line="255" w:lineRule="auto"/>
        <w:tabs>
          <w:tab w:leader="none" w:pos="118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the Sellers to receive the Milestone Payments if and when such Milestone Payments become due and payable: (i) does not give any of the Sellers distribution rights, voting rights, liquidation rights, preemptive rights or other rights of holders of interests in the Company following the Closing, (ii) shall not be represented by any form of certificate or other instrument, (iii) does not represent any right other than the right to receive the consideration set forth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(iv) shall not accrue or pay interest on any portion thereof, and (v) shall not be assignable or transferable except by operation of Law, without Purchaser’s prior written consent (which shall not be unreasonably withheld, conditioned or delayed), and neither Purchaser nor such Seller shall give effect to any purported assignment or transfer made in contravention of this sentence (and any such purported assignment or transfer shall be void and of no effect).</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General Payment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right="100" w:firstLine="987"/>
        <w:spacing w:after="0" w:line="266" w:lineRule="auto"/>
        <w:tabs>
          <w:tab w:leader="none" w:pos="117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Purchaser hereunder shall be paid in United States dollars and may be paid by check made to the order of the Sellers or bank wire transfer in immediately available funds to such bank accounts in the United States as may be designated in writing by such Sellers from time to time in accordance with the notice requirements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500" w:top="270" w:right="519" w:bottom="1440" w:gutter="0" w:footer="0" w:header="0"/>
        </w:sectPr>
      </w:pPr>
    </w:p>
    <w:bookmarkStart w:id="654" w:name="page655"/>
    <w:bookmarkEnd w:id="654"/>
    <w:p>
      <w:pPr>
        <w:ind w:right="40" w:firstLine="987"/>
        <w:spacing w:after="0" w:line="254" w:lineRule="auto"/>
        <w:tabs>
          <w:tab w:leader="none" w:pos="124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Purchaser, its Affiliates and any of their agents shall be entitled to deduct and withhold from the Closing Consideration, any Milestone Payment or any amount otherwise payable pursuant to this Agreement such amounts as it reasonably determines it is required to deduct and withhold with respect to the making of such payment under the Code or any other provision of any Law related to Taxes (“</w:t>
      </w:r>
      <w:r>
        <w:rPr>
          <w:rFonts w:ascii="Times New Roman" w:cs="Times New Roman" w:eastAsia="Times New Roman" w:hAnsi="Times New Roman"/>
          <w:sz w:val="18"/>
          <w:szCs w:val="18"/>
          <w:b w:val="1"/>
          <w:bCs w:val="1"/>
          <w:color w:val="auto"/>
        </w:rPr>
        <w:t>Applicable Withholding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To the extent that amounts are so withheld and paid over to or deposited with the relevant Tax Authority by Purchaser, such amounts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for all purposes of this Agreement as having been paid to the applicable Person in respect of which such deduction and withholding were made. To the extent that a Tax Authority determines that Purchaser is liable for any additional withholding on any such payments or any Tax in respect thereof, the payee shall be required to pay Purchaser any such amount for which Purchaser is liable, together with any costs or Taxes associated with such liability.</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Purchaser shall pay to the Sellers the following milestone payments (each,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following the first achievement of the corresponding milestone event set forth in the tables below (each, a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with respect to any Milestone Event in the first two tables, the total Milestone Payments for all NLRP1 Milestone Products or MDA5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Products (as applicable) to achieve such Milestone Event (Column A plus Column B) shall not exceed the maximum Milestone Payment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Milestone Event set forth in Column 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880" w:type="dxa"/>
            <w:vAlign w:val="bottom"/>
          </w:tcPr>
          <w:p>
            <w:pPr>
              <w:spacing w:after="0"/>
              <w:rPr>
                <w:sz w:val="13"/>
                <w:szCs w:val="13"/>
                <w:color w:val="auto"/>
              </w:rPr>
            </w:pPr>
          </w:p>
        </w:tc>
        <w:tc>
          <w:tcPr>
            <w:tcW w:w="2160" w:type="dxa"/>
            <w:vAlign w:val="bottom"/>
            <w:vMerge w:val="restart"/>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achieved by the</w:t>
            </w:r>
          </w:p>
        </w:tc>
        <w:tc>
          <w:tcPr>
            <w:tcW w:w="1880" w:type="dxa"/>
            <w:vAlign w:val="bottom"/>
          </w:tcPr>
          <w:p>
            <w:pPr>
              <w:spacing w:after="0"/>
              <w:rPr>
                <w:sz w:val="12"/>
                <w:szCs w:val="12"/>
                <w:color w:val="auto"/>
              </w:rPr>
            </w:pPr>
          </w:p>
        </w:tc>
        <w:tc>
          <w:tcPr>
            <w:tcW w:w="2160" w:type="dxa"/>
            <w:vAlign w:val="bottom"/>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880" w:type="dxa"/>
            <w:vAlign w:val="bottom"/>
          </w:tcPr>
          <w:p>
            <w:pPr>
              <w:spacing w:after="0"/>
              <w:rPr>
                <w:sz w:val="12"/>
                <w:szCs w:val="12"/>
                <w:color w:val="auto"/>
              </w:rPr>
            </w:pPr>
          </w:p>
        </w:tc>
        <w:tc>
          <w:tcPr>
            <w:tcW w:w="2160" w:type="dxa"/>
            <w:vAlign w:val="bottom"/>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for First NLRP1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First NLRP1</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all NLRP1</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Milestone Product</w:t>
            </w:r>
          </w:p>
        </w:tc>
        <w:tc>
          <w:tcPr>
            <w:tcW w:w="1880" w:type="dxa"/>
            <w:vAlign w:val="bottom"/>
          </w:tcPr>
          <w:p>
            <w:pPr>
              <w:spacing w:after="0"/>
              <w:rPr>
                <w:sz w:val="16"/>
                <w:szCs w:val="16"/>
                <w:color w:val="auto"/>
              </w:rPr>
            </w:pPr>
          </w:p>
        </w:tc>
        <w:tc>
          <w:tcPr>
            <w:tcW w:w="216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Antagonist Product</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Agonist Product</w:t>
            </w:r>
          </w:p>
        </w:tc>
        <w:tc>
          <w:tcPr>
            <w:tcW w:w="1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 Products</w:t>
            </w:r>
          </w:p>
        </w:tc>
        <w:tc>
          <w:tcPr>
            <w:tcW w:w="0" w:type="dxa"/>
            <w:vAlign w:val="bottom"/>
          </w:tcPr>
          <w:p>
            <w:pPr>
              <w:spacing w:after="0"/>
              <w:rPr>
                <w:sz w:val="1"/>
                <w:szCs w:val="1"/>
                <w:color w:val="auto"/>
              </w:rPr>
            </w:pPr>
          </w:p>
        </w:tc>
      </w:tr>
      <w:tr>
        <w:trPr>
          <w:trHeight w:val="2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c>
          <w:tcPr>
            <w:tcW w:w="2160" w:type="dxa"/>
            <w:vAlign w:val="bottom"/>
          </w:tcPr>
          <w:p>
            <w:pPr>
              <w:jc w:val="right"/>
              <w:ind w:right="1704"/>
              <w:spacing w:after="0"/>
              <w:rPr>
                <w:sz w:val="20"/>
                <w:szCs w:val="20"/>
                <w:color w:val="auto"/>
              </w:rPr>
            </w:pPr>
            <w:r>
              <w:rPr>
                <w:rFonts w:ascii="Times New Roman" w:cs="Times New Roman" w:eastAsia="Times New Roman" w:hAnsi="Times New Roman"/>
                <w:sz w:val="18"/>
                <w:szCs w:val="18"/>
                <w:color w:val="auto"/>
                <w:w w:val="92"/>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jc w:val="right"/>
              <w:ind w:right="2164"/>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9"/>
                <w:szCs w:val="19"/>
                <w:color w:val="auto"/>
              </w:rPr>
            </w:pPr>
          </w:p>
        </w:tc>
        <w:tc>
          <w:tcPr>
            <w:tcW w:w="2540" w:type="dxa"/>
            <w:vAlign w:val="bottom"/>
          </w:tcPr>
          <w:p>
            <w:pPr>
              <w:jc w:val="right"/>
              <w:ind w:right="2065"/>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2"/>
          </w:tcPr>
          <w:p>
            <w:pPr>
              <w:jc w:val="right"/>
              <w:ind w:right="1704"/>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3"/>
          </w:tcPr>
          <w:p>
            <w:pPr>
              <w:jc w:val="right"/>
              <w:ind w:right="2164"/>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jc w:val="right"/>
              <w:ind w:right="206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55" w:name="page656"/>
    <w:bookmarkEnd w:id="6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880" w:type="dxa"/>
            <w:vAlign w:val="bottom"/>
          </w:tcPr>
          <w:p>
            <w:pPr>
              <w:spacing w:after="0"/>
              <w:rPr>
                <w:sz w:val="13"/>
                <w:szCs w:val="13"/>
                <w:color w:val="auto"/>
              </w:rPr>
            </w:pPr>
          </w:p>
        </w:tc>
        <w:tc>
          <w:tcPr>
            <w:tcW w:w="2160" w:type="dxa"/>
            <w:vAlign w:val="bottom"/>
            <w:vMerge w:val="restart"/>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achieved by the</w:t>
            </w:r>
          </w:p>
        </w:tc>
        <w:tc>
          <w:tcPr>
            <w:tcW w:w="1880" w:type="dxa"/>
            <w:vAlign w:val="bottom"/>
          </w:tcPr>
          <w:p>
            <w:pPr>
              <w:spacing w:after="0"/>
              <w:rPr>
                <w:sz w:val="12"/>
                <w:szCs w:val="12"/>
                <w:color w:val="auto"/>
              </w:rPr>
            </w:pPr>
          </w:p>
        </w:tc>
        <w:tc>
          <w:tcPr>
            <w:tcW w:w="2160" w:type="dxa"/>
            <w:vAlign w:val="bottom"/>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880" w:type="dxa"/>
            <w:vAlign w:val="bottom"/>
          </w:tcPr>
          <w:p>
            <w:pPr>
              <w:spacing w:after="0"/>
              <w:rPr>
                <w:sz w:val="12"/>
                <w:szCs w:val="12"/>
                <w:color w:val="auto"/>
              </w:rPr>
            </w:pPr>
          </w:p>
        </w:tc>
        <w:tc>
          <w:tcPr>
            <w:tcW w:w="2160" w:type="dxa"/>
            <w:vAlign w:val="bottom"/>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for First NLRP1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First NLRP1</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all NLRP1</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Milestone Product</w:t>
            </w:r>
          </w:p>
        </w:tc>
        <w:tc>
          <w:tcPr>
            <w:tcW w:w="1880" w:type="dxa"/>
            <w:vAlign w:val="bottom"/>
          </w:tcPr>
          <w:p>
            <w:pPr>
              <w:spacing w:after="0"/>
              <w:rPr>
                <w:sz w:val="16"/>
                <w:szCs w:val="16"/>
                <w:color w:val="auto"/>
              </w:rPr>
            </w:pPr>
          </w:p>
        </w:tc>
        <w:tc>
          <w:tcPr>
            <w:tcW w:w="216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Antagonist Product</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Agonist Product</w:t>
            </w:r>
          </w:p>
        </w:tc>
        <w:tc>
          <w:tcPr>
            <w:tcW w:w="1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 Products</w:t>
            </w:r>
          </w:p>
        </w:tc>
        <w:tc>
          <w:tcPr>
            <w:tcW w:w="0" w:type="dxa"/>
            <w:vAlign w:val="bottom"/>
          </w:tcPr>
          <w:p>
            <w:pPr>
              <w:spacing w:after="0"/>
              <w:rPr>
                <w:sz w:val="1"/>
                <w:szCs w:val="1"/>
                <w:color w:val="auto"/>
              </w:rPr>
            </w:pPr>
          </w:p>
        </w:tc>
      </w:tr>
      <w:tr>
        <w:trPr>
          <w:trHeight w:val="2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c>
          <w:tcPr>
            <w:tcW w:w="2160" w:type="dxa"/>
            <w:vAlign w:val="bottom"/>
          </w:tcPr>
          <w:p>
            <w:pPr>
              <w:jc w:val="right"/>
              <w:ind w:right="1704"/>
              <w:spacing w:after="0"/>
              <w:rPr>
                <w:sz w:val="20"/>
                <w:szCs w:val="20"/>
                <w:color w:val="auto"/>
              </w:rPr>
            </w:pPr>
            <w:r>
              <w:rPr>
                <w:rFonts w:ascii="Times New Roman" w:cs="Times New Roman" w:eastAsia="Times New Roman" w:hAnsi="Times New Roman"/>
                <w:sz w:val="18"/>
                <w:szCs w:val="18"/>
                <w:color w:val="auto"/>
                <w:w w:val="92"/>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jc w:val="right"/>
              <w:ind w:right="2164"/>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9"/>
                <w:szCs w:val="19"/>
                <w:color w:val="auto"/>
              </w:rPr>
            </w:pPr>
          </w:p>
        </w:tc>
        <w:tc>
          <w:tcPr>
            <w:tcW w:w="2540" w:type="dxa"/>
            <w:vAlign w:val="bottom"/>
          </w:tcPr>
          <w:p>
            <w:pPr>
              <w:jc w:val="right"/>
              <w:ind w:right="2065"/>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2"/>
          </w:tcPr>
          <w:p>
            <w:pPr>
              <w:jc w:val="right"/>
              <w:ind w:right="1704"/>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3"/>
          </w:tcPr>
          <w:p>
            <w:pPr>
              <w:jc w:val="right"/>
              <w:ind w:right="2164"/>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jc w:val="right"/>
              <w:ind w:right="206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880" w:type="dxa"/>
            <w:vAlign w:val="bottom"/>
          </w:tcPr>
          <w:p>
            <w:pPr>
              <w:spacing w:after="0"/>
              <w:rPr>
                <w:sz w:val="24"/>
                <w:szCs w:val="24"/>
                <w:color w:val="auto"/>
              </w:rPr>
            </w:pPr>
          </w:p>
        </w:tc>
        <w:tc>
          <w:tcPr>
            <w:tcW w:w="2160" w:type="dxa"/>
            <w:vAlign w:val="bottom"/>
            <w:vMerge w:val="restart"/>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achieved by the</w:t>
            </w:r>
          </w:p>
        </w:tc>
        <w:tc>
          <w:tcPr>
            <w:tcW w:w="1880" w:type="dxa"/>
            <w:vAlign w:val="bottom"/>
          </w:tcPr>
          <w:p>
            <w:pPr>
              <w:spacing w:after="0"/>
              <w:rPr>
                <w:sz w:val="12"/>
                <w:szCs w:val="12"/>
                <w:color w:val="auto"/>
              </w:rPr>
            </w:pPr>
          </w:p>
        </w:tc>
        <w:tc>
          <w:tcPr>
            <w:tcW w:w="2160" w:type="dxa"/>
            <w:vAlign w:val="bottom"/>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880" w:type="dxa"/>
            <w:vAlign w:val="bottom"/>
          </w:tcPr>
          <w:p>
            <w:pPr>
              <w:spacing w:after="0"/>
              <w:rPr>
                <w:sz w:val="12"/>
                <w:szCs w:val="12"/>
                <w:color w:val="auto"/>
              </w:rPr>
            </w:pPr>
          </w:p>
        </w:tc>
        <w:tc>
          <w:tcPr>
            <w:tcW w:w="2160" w:type="dxa"/>
            <w:vAlign w:val="bottom"/>
          </w:tcPr>
          <w:p>
            <w:pPr>
              <w:jc w:val="center"/>
              <w:ind w:left="404"/>
              <w:spacing w:after="0" w:line="149" w:lineRule="exact"/>
              <w:rPr>
                <w:sz w:val="20"/>
                <w:szCs w:val="20"/>
                <w:color w:val="auto"/>
              </w:rPr>
            </w:pPr>
            <w:r>
              <w:rPr>
                <w:rFonts w:ascii="Times New Roman" w:cs="Times New Roman" w:eastAsia="Times New Roman" w:hAnsi="Times New Roman"/>
                <w:sz w:val="14"/>
                <w:szCs w:val="14"/>
                <w:b w:val="1"/>
                <w:bCs w:val="1"/>
                <w:color w:val="auto"/>
              </w:rPr>
              <w:t>for First MDA5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First MDA5</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all MDA5</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Milestone Product</w:t>
            </w:r>
          </w:p>
        </w:tc>
        <w:tc>
          <w:tcPr>
            <w:tcW w:w="1880" w:type="dxa"/>
            <w:vAlign w:val="bottom"/>
          </w:tcPr>
          <w:p>
            <w:pPr>
              <w:spacing w:after="0"/>
              <w:rPr>
                <w:sz w:val="16"/>
                <w:szCs w:val="16"/>
                <w:color w:val="auto"/>
              </w:rPr>
            </w:pPr>
          </w:p>
        </w:tc>
        <w:tc>
          <w:tcPr>
            <w:tcW w:w="216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Antagonist Product</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Agonist Product</w:t>
            </w:r>
          </w:p>
        </w:tc>
        <w:tc>
          <w:tcPr>
            <w:tcW w:w="1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 Products</w:t>
            </w:r>
          </w:p>
        </w:tc>
        <w:tc>
          <w:tcPr>
            <w:tcW w:w="0" w:type="dxa"/>
            <w:vAlign w:val="bottom"/>
          </w:tcPr>
          <w:p>
            <w:pPr>
              <w:spacing w:after="0"/>
              <w:rPr>
                <w:sz w:val="1"/>
                <w:szCs w:val="1"/>
                <w:color w:val="auto"/>
              </w:rPr>
            </w:pPr>
          </w:p>
        </w:tc>
      </w:tr>
      <w:tr>
        <w:trPr>
          <w:trHeight w:val="2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c>
          <w:tcPr>
            <w:tcW w:w="2160" w:type="dxa"/>
            <w:vAlign w:val="bottom"/>
          </w:tcPr>
          <w:p>
            <w:pPr>
              <w:jc w:val="right"/>
              <w:ind w:right="1704"/>
              <w:spacing w:after="0"/>
              <w:rPr>
                <w:sz w:val="20"/>
                <w:szCs w:val="20"/>
                <w:color w:val="auto"/>
              </w:rPr>
            </w:pPr>
            <w:r>
              <w:rPr>
                <w:rFonts w:ascii="Times New Roman" w:cs="Times New Roman" w:eastAsia="Times New Roman" w:hAnsi="Times New Roman"/>
                <w:sz w:val="18"/>
                <w:szCs w:val="18"/>
                <w:color w:val="auto"/>
                <w:w w:val="92"/>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jc w:val="right"/>
              <w:ind w:right="2164"/>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9"/>
                <w:szCs w:val="19"/>
                <w:color w:val="auto"/>
              </w:rPr>
            </w:pPr>
          </w:p>
        </w:tc>
        <w:tc>
          <w:tcPr>
            <w:tcW w:w="2540" w:type="dxa"/>
            <w:vAlign w:val="bottom"/>
          </w:tcPr>
          <w:p>
            <w:pPr>
              <w:jc w:val="right"/>
              <w:ind w:right="2065"/>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2"/>
          </w:tcPr>
          <w:p>
            <w:pPr>
              <w:jc w:val="right"/>
              <w:ind w:right="1704"/>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3"/>
          </w:tcPr>
          <w:p>
            <w:pPr>
              <w:jc w:val="right"/>
              <w:ind w:right="2164"/>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jc w:val="right"/>
              <w:ind w:right="206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656" w:name="page657"/>
    <w:bookmarkEnd w:id="6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60" w:type="dxa"/>
            <w:vAlign w:val="bottom"/>
            <w:gridSpan w:val="3"/>
            <w:vMerge w:val="restart"/>
          </w:tcPr>
          <w:p>
            <w:pPr>
              <w:jc w:val="center"/>
              <w:ind w:right="169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940" w:type="dxa"/>
            <w:vAlign w:val="bottom"/>
            <w:gridSpan w:val="3"/>
            <w:vMerge w:val="restart"/>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0" w:type="dxa"/>
            <w:vAlign w:val="bottom"/>
          </w:tcPr>
          <w:p>
            <w:pPr>
              <w:spacing w:after="0"/>
              <w:rPr>
                <w:sz w:val="1"/>
                <w:szCs w:val="1"/>
                <w:color w:val="auto"/>
              </w:rPr>
            </w:pPr>
          </w:p>
        </w:tc>
      </w:tr>
      <w:tr>
        <w:trPr>
          <w:trHeight w:val="148"/>
        </w:trPr>
        <w:tc>
          <w:tcPr>
            <w:tcW w:w="30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3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achieved by the</w:t>
            </w:r>
          </w:p>
        </w:tc>
        <w:tc>
          <w:tcPr>
            <w:tcW w:w="540" w:type="dxa"/>
            <w:vAlign w:val="bottom"/>
          </w:tcPr>
          <w:p>
            <w:pPr>
              <w:spacing w:after="0"/>
              <w:rPr>
                <w:sz w:val="12"/>
                <w:szCs w:val="12"/>
                <w:color w:val="auto"/>
              </w:rPr>
            </w:pPr>
          </w:p>
        </w:tc>
        <w:tc>
          <w:tcPr>
            <w:tcW w:w="2900" w:type="dxa"/>
            <w:vAlign w:val="bottom"/>
            <w:gridSpan w:val="4"/>
          </w:tcPr>
          <w:p>
            <w:pPr>
              <w:jc w:val="center"/>
              <w:ind w:right="1270"/>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1940" w:type="dxa"/>
            <w:vAlign w:val="bottom"/>
            <w:gridSpan w:val="3"/>
          </w:tcPr>
          <w:p>
            <w:pPr>
              <w:jc w:val="center"/>
              <w:ind w:right="590"/>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149"/>
        </w:trPr>
        <w:tc>
          <w:tcPr>
            <w:tcW w:w="3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540" w:type="dxa"/>
            <w:vAlign w:val="bottom"/>
          </w:tcPr>
          <w:p>
            <w:pPr>
              <w:spacing w:after="0"/>
              <w:rPr>
                <w:sz w:val="12"/>
                <w:szCs w:val="12"/>
                <w:color w:val="auto"/>
              </w:rPr>
            </w:pPr>
          </w:p>
        </w:tc>
        <w:tc>
          <w:tcPr>
            <w:tcW w:w="2900" w:type="dxa"/>
            <w:vAlign w:val="bottom"/>
            <w:gridSpan w:val="4"/>
          </w:tcPr>
          <w:p>
            <w:pPr>
              <w:jc w:val="center"/>
              <w:ind w:right="1250"/>
              <w:spacing w:after="0" w:line="149" w:lineRule="exact"/>
              <w:rPr>
                <w:sz w:val="20"/>
                <w:szCs w:val="20"/>
                <w:color w:val="auto"/>
              </w:rPr>
            </w:pPr>
            <w:r>
              <w:rPr>
                <w:rFonts w:ascii="Times New Roman" w:cs="Times New Roman" w:eastAsia="Times New Roman" w:hAnsi="Times New Roman"/>
                <w:sz w:val="14"/>
                <w:szCs w:val="14"/>
                <w:b w:val="1"/>
                <w:bCs w:val="1"/>
                <w:color w:val="auto"/>
              </w:rPr>
              <w:t>for First MDA5</w:t>
            </w:r>
          </w:p>
        </w:tc>
        <w:tc>
          <w:tcPr>
            <w:tcW w:w="1940" w:type="dxa"/>
            <w:vAlign w:val="bottom"/>
            <w:gridSpan w:val="3"/>
          </w:tcPr>
          <w:p>
            <w:pPr>
              <w:jc w:val="center"/>
              <w:ind w:right="610"/>
              <w:spacing w:after="0" w:line="149" w:lineRule="exact"/>
              <w:rPr>
                <w:sz w:val="20"/>
                <w:szCs w:val="20"/>
                <w:color w:val="auto"/>
              </w:rPr>
            </w:pPr>
            <w:r>
              <w:rPr>
                <w:rFonts w:ascii="Times New Roman" w:cs="Times New Roman" w:eastAsia="Times New Roman" w:hAnsi="Times New Roman"/>
                <w:sz w:val="14"/>
                <w:szCs w:val="14"/>
                <w:b w:val="1"/>
                <w:bCs w:val="1"/>
                <w:color w:val="auto"/>
              </w:rPr>
              <w:t>for First MDA5</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all MDA5</w:t>
            </w:r>
          </w:p>
        </w:tc>
        <w:tc>
          <w:tcPr>
            <w:tcW w:w="0" w:type="dxa"/>
            <w:vAlign w:val="bottom"/>
          </w:tcPr>
          <w:p>
            <w:pPr>
              <w:spacing w:after="0"/>
              <w:rPr>
                <w:sz w:val="1"/>
                <w:szCs w:val="1"/>
                <w:color w:val="auto"/>
              </w:rPr>
            </w:pPr>
          </w:p>
        </w:tc>
      </w:tr>
      <w:tr>
        <w:trPr>
          <w:trHeight w:val="193"/>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Milestone Product</w:t>
            </w:r>
          </w:p>
        </w:tc>
        <w:tc>
          <w:tcPr>
            <w:tcW w:w="540" w:type="dxa"/>
            <w:vAlign w:val="bottom"/>
          </w:tcPr>
          <w:p>
            <w:pPr>
              <w:spacing w:after="0"/>
              <w:rPr>
                <w:sz w:val="16"/>
                <w:szCs w:val="16"/>
                <w:color w:val="auto"/>
              </w:rPr>
            </w:pPr>
          </w:p>
        </w:tc>
        <w:tc>
          <w:tcPr>
            <w:tcW w:w="2900" w:type="dxa"/>
            <w:vAlign w:val="bottom"/>
            <w:gridSpan w:val="4"/>
          </w:tcPr>
          <w:p>
            <w:pPr>
              <w:jc w:val="center"/>
              <w:ind w:right="1250"/>
              <w:spacing w:after="0"/>
              <w:rPr>
                <w:sz w:val="20"/>
                <w:szCs w:val="20"/>
                <w:color w:val="auto"/>
              </w:rPr>
            </w:pPr>
            <w:r>
              <w:rPr>
                <w:rFonts w:ascii="Times New Roman" w:cs="Times New Roman" w:eastAsia="Times New Roman" w:hAnsi="Times New Roman"/>
                <w:sz w:val="14"/>
                <w:szCs w:val="14"/>
                <w:b w:val="1"/>
                <w:bCs w:val="1"/>
                <w:color w:val="auto"/>
              </w:rPr>
              <w:t>Antagonist Product</w:t>
            </w:r>
          </w:p>
        </w:tc>
        <w:tc>
          <w:tcPr>
            <w:tcW w:w="1940" w:type="dxa"/>
            <w:vAlign w:val="bottom"/>
            <w:gridSpan w:val="3"/>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Agonist Product</w:t>
            </w:r>
          </w:p>
        </w:tc>
        <w:tc>
          <w:tcPr>
            <w:tcW w:w="1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 Products</w:t>
            </w:r>
          </w:p>
        </w:tc>
        <w:tc>
          <w:tcPr>
            <w:tcW w:w="0" w:type="dxa"/>
            <w:vAlign w:val="bottom"/>
          </w:tcPr>
          <w:p>
            <w:pPr>
              <w:spacing w:after="0"/>
              <w:rPr>
                <w:sz w:val="1"/>
                <w:szCs w:val="1"/>
                <w:color w:val="auto"/>
              </w:rPr>
            </w:pPr>
          </w:p>
        </w:tc>
      </w:tr>
      <w:tr>
        <w:trPr>
          <w:trHeight w:val="221"/>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2"/>
              </w:rPr>
              <w:t>[***]</w:t>
            </w:r>
          </w:p>
        </w:tc>
        <w:tc>
          <w:tcPr>
            <w:tcW w:w="4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7"/>
              </w:rPr>
              <w:t>[***]</w:t>
            </w: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ind w:right="2066"/>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2"/>
              </w:rPr>
              <w:t>[***]</w:t>
            </w:r>
          </w:p>
        </w:tc>
        <w:tc>
          <w:tcPr>
            <w:tcW w:w="29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40" w:type="dxa"/>
            <w:vAlign w:val="bottom"/>
            <w:gridSpan w:val="2"/>
          </w:tcPr>
          <w:p>
            <w:pPr>
              <w:jc w:val="right"/>
              <w:ind w:right="206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7"/>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Milestone Event achieved</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All NLRP1 Milestone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vMerge w:val="restart"/>
          </w:tcPr>
          <w:p>
            <w:pPr>
              <w:jc w:val="right"/>
              <w:ind w:right="1006"/>
              <w:spacing w:after="0"/>
              <w:rPr>
                <w:sz w:val="20"/>
                <w:szCs w:val="20"/>
                <w:color w:val="auto"/>
              </w:rPr>
            </w:pPr>
            <w:r>
              <w:rPr>
                <w:rFonts w:ascii="Times New Roman" w:cs="Times New Roman" w:eastAsia="Times New Roman" w:hAnsi="Times New Roman"/>
                <w:sz w:val="14"/>
                <w:szCs w:val="14"/>
                <w:b w:val="1"/>
                <w:bCs w:val="1"/>
                <w:color w:val="auto"/>
              </w:rPr>
              <w:t>All MDA5 Milestone</w:t>
            </w:r>
          </w:p>
        </w:tc>
        <w:tc>
          <w:tcPr>
            <w:tcW w:w="0" w:type="dxa"/>
            <w:vAlign w:val="bottom"/>
          </w:tcPr>
          <w:p>
            <w:pPr>
              <w:spacing w:after="0"/>
              <w:rPr>
                <w:sz w:val="1"/>
                <w:szCs w:val="1"/>
                <w:color w:val="auto"/>
              </w:rPr>
            </w:pPr>
          </w:p>
        </w:tc>
      </w:tr>
      <w:tr>
        <w:trPr>
          <w:trHeight w:val="148"/>
        </w:trPr>
        <w:tc>
          <w:tcPr>
            <w:tcW w:w="3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by the applicable Milestone</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jc w:val="right"/>
              <w:ind w:right="136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21"/>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Borders>
              <w:top w:val="single" w:sz="8" w:color="auto"/>
            </w:tcBorders>
          </w:tcPr>
          <w:p>
            <w:pPr>
              <w:jc w:val="right"/>
              <w:ind w:right="1204"/>
              <w:spacing w:after="0"/>
              <w:rPr>
                <w:sz w:val="20"/>
                <w:szCs w:val="20"/>
                <w:color w:val="auto"/>
              </w:rPr>
            </w:pPr>
            <w:r>
              <w:rPr>
                <w:rFonts w:ascii="Times New Roman" w:cs="Times New Roman" w:eastAsia="Times New Roman" w:hAnsi="Times New Roman"/>
                <w:sz w:val="18"/>
                <w:szCs w:val="18"/>
                <w:color w:val="auto"/>
                <w:w w:val="92"/>
              </w:rPr>
              <w:t>[***]</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40" w:firstLine="987"/>
        <w:spacing w:after="0" w:line="254" w:lineRule="auto"/>
        <w:tabs>
          <w:tab w:leader="none" w:pos="124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provide written notice to the Sellers of achievement of any Milestone Event (other than any Net Sales Milestone) within 30 days after such achievement and, in the case of any Net Sales Milestone, within 30 days after the end of the calendar quarter in which such Net Sales Milestone is first achieved (each such notice date with respect to any Milestone Event, the “</w:t>
      </w:r>
      <w:r>
        <w:rPr>
          <w:rFonts w:ascii="Times New Roman" w:cs="Times New Roman" w:eastAsia="Times New Roman" w:hAnsi="Times New Roman"/>
          <w:sz w:val="18"/>
          <w:szCs w:val="18"/>
          <w:b w:val="1"/>
          <w:bCs w:val="1"/>
          <w:color w:val="auto"/>
        </w:rPr>
        <w:t>Milestone Notice Date</w:t>
      </w:r>
      <w:r>
        <w:rPr>
          <w:rFonts w:ascii="Times New Roman" w:cs="Times New Roman" w:eastAsia="Times New Roman" w:hAnsi="Times New Roman"/>
          <w:sz w:val="18"/>
          <w:szCs w:val="18"/>
          <w:color w:val="auto"/>
        </w:rPr>
        <w:t>”). Purchaser shall pay the applicable Milestone Payment within 30 calendar days of the corresponding Milestone Notice Date (such payment date, the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Subject to the maximum applicable amount set forth in Column C of the first two tables above, each Milestone Payment shall be payable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once, upon the first achievement of the corresponding Milestone Event, and no amounts shall be due for subsequent or repeated achievements of such Milestone Event, whether for the same or a different Milestone Product. For clarity, the maximum aggregate amount of the Milestone Payments for all NLRP1 Milestone Products is $30,000,000, and for all MDA5 Milestone Products is $30,000,000.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360" w:right="439" w:bottom="1440" w:gutter="0" w:footer="0" w:header="0"/>
        </w:sectPr>
      </w:pPr>
    </w:p>
    <w:bookmarkStart w:id="657" w:name="page658"/>
    <w:bookmarkEnd w:id="657"/>
    <w:p>
      <w:pPr>
        <w:ind w:right="460" w:firstLine="987"/>
        <w:spacing w:after="0" w:line="266" w:lineRule="auto"/>
        <w:tabs>
          <w:tab w:leader="none" w:pos="123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Purchaser shall remain responsible for paying any and all Milestone Payments in accordance with this Section 2.7 upon the achievement of the corresponding Milestone Event, whether achieved by Purchaser, its subsidiaries or any Product Obligor, unless such Milestone Payment obligations are assigned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are assumed by such permitted assignee.</w:t>
      </w:r>
    </w:p>
    <w:p>
      <w:pPr>
        <w:spacing w:after="0" w:line="6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Audit</w:t>
      </w:r>
      <w:r>
        <w:rPr>
          <w:rFonts w:ascii="Times New Roman" w:cs="Times New Roman" w:eastAsia="Times New Roman" w:hAnsi="Times New Roman"/>
          <w:sz w:val="18"/>
          <w:szCs w:val="18"/>
          <w:color w:val="auto"/>
        </w:rPr>
        <w:t xml:space="preserve">. From and after one year following the First Commercial Sale in the United States of a NLRP1 Milestone Product or MDA5 Milestone Product, respectively, upon the written request of the Sellers, Purchaser or its Affiliates, as applicable, shall permit an independent certified public accounting firm of nationally recognized standing selected by the Sellers and reasonably acceptable to Purchaser, to have access during normal business hours to such of the records of Purchaser as may be reasonably necessary for the sole purpose of verifying whether the Net Sales Milestone for all NLRP1 Milestone Products or all MDA5 Milestone Products, respectively, is payable; provided, however, that (i) the Sellers’ audit rights with respect to such NLRP1 Milestone Products or MDA5 Milestone Products, respectively,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automatically terminate at the time the Net Sales Milestone for such NLRP1 Milestone Products or MDA5 Milestone Products, respectively, has been achieved and (ii) the Sellers shall not conduct any audit more than once per calendar year. The Sellers shall treat all information subject to review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in accordance with their confidentiality obligations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this Agreement, and shall cause their accounting firm to enter into a reasonable and customary confidentiality agreement with Purchaser, reasonably acceptable to Purchaser, obligating such accounting firm to retain all such information in confidence pursuant to such confidentiality agreement and only use such confidential information for the purpose of conducting such audit. The Sellers shall bear all costs of such audit, unless the audit reveals that a Milestone Payment for NLRP1 Milestone Products or MDA5 Milestone Products, respectively, should have been, but was not, paid, and the audit reveals a discrepancy in the Sellers’ favor of more than ten percent (10%), in which case Purchaser shall bear the cost of the audit.</w:t>
      </w:r>
    </w:p>
    <w:p>
      <w:pPr>
        <w:spacing w:after="0" w:line="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Unless otherwise consented to in writing by a Seller, Purchaser shall not, and shall not permit its Affiliates to, for a period ending on the later of (a) ten years following the Closing Date and (b) the payment of the final Milestone Payment with respect to NLRP1 Milestone Products or MDA5 Milestone Products, respectively, contemplated hereunder, destroy, alter or otherwise dispose of any of the material financial books and records of the Company related to the payment of a Net Sales Milestone with respect to NLRP1 Milestone Products or MDA5 Milestone Products, respectively, without first giving reasonable prior notice to the Sellers and offering to surrender to them such books and records or any portion thereof which Purchaser may intend to destroy, alter or dispose of.</w:t>
      </w:r>
    </w:p>
    <w:p>
      <w:pPr>
        <w:spacing w:after="0" w:line="79"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No Obligation</w:t>
      </w:r>
      <w:r>
        <w:rPr>
          <w:rFonts w:ascii="Times New Roman" w:cs="Times New Roman" w:eastAsia="Times New Roman" w:hAnsi="Times New Roman"/>
          <w:sz w:val="18"/>
          <w:szCs w:val="18"/>
          <w:color w:val="auto"/>
        </w:rPr>
        <w:t>. Purchaser shall have no obligation hereunder to conduct any development, regulatory, commercialization or other activities with respect to any Milestone Product, including, for clarity, to develop, obtain Regulatory Approval for, or commercialize any Milestone Product or achieve any of the above Milestone Events.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658" w:name="page659"/>
    <w:bookmarkEnd w:id="658"/>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SELLING PARTIES</w:t>
      </w:r>
    </w:p>
    <w:p>
      <w:pPr>
        <w:spacing w:after="0" w:line="229"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The Selling Parties hereby represent and warrant to Purchaser as follows, with each such representation and warranty subject to the exceptions set forth in the correspondingly numbered section of the Selling Parties’ Disclosure Letter:</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40" w:firstLine="987"/>
        <w:spacing w:after="0" w:line="266" w:lineRule="auto"/>
        <w:tabs>
          <w:tab w:leader="none" w:pos="123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Party is a corporation or limited liability company, as applicable, duly organized, validly existing and in good standing under the laws of the state of Delaware, with the requisite power and authority to conduct its business as it is presently being conducted, and to own, lease or operate, as applicable, its assets and properties, and to perform all its obligations under its Contracts.</w:t>
      </w:r>
    </w:p>
    <w:p>
      <w:pPr>
        <w:spacing w:after="0" w:line="67"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limited liability company, duly organized, validly existing and in good standing under the laws of the state of Delaware, with the requisite power and authority to conduct its business as it is presently being conducted, and to own, lease or operate, as applicable, its assets and properties, and to perform all its obligations under its Contracts. The Company is duly qualified to do business and in good standing (if such concept is applicable in the relevant jurisdiction) in each jurisdiction where the character of its assets and properties owned, leased, licensed or operated or the nature of its activities make such qualification necessary, except where the failure to be so qualified or in good standing would not be material to the Company. Complete and accurate copies of the Company’s organizational documents, and all amendments thereto, have been Delivered to Purchaser, and the transfer of the Interests to Purchaser pursuant to this Agreement is in accordance therewith. The Company is not in violation of its organizational documents.</w:t>
      </w:r>
    </w:p>
    <w:p>
      <w:pPr>
        <w:spacing w:after="0" w:line="8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 Subsidiaries</w:t>
      </w:r>
      <w:r>
        <w:rPr>
          <w:rFonts w:ascii="Times New Roman" w:cs="Times New Roman" w:eastAsia="Times New Roman" w:hAnsi="Times New Roman"/>
          <w:sz w:val="18"/>
          <w:szCs w:val="18"/>
          <w:color w:val="auto"/>
        </w:rPr>
        <w:t>. The Company does not own, directly or indirectly, or hold any rights to acquire, any shares of capital stock or any other interests (including voting interests, equity interests or investments) in any other Person or any securities exercisable or exchangeable for or convertible into shares of capital stock or any other interests (including voting interests, equity interests or investments) in any other Person.</w:t>
      </w:r>
    </w:p>
    <w:p>
      <w:pPr>
        <w:spacing w:after="0" w:line="68"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 The Selling Parties have all requisite power and authority, and have taken all organizational actions necessary, to execute and deliver this Agreement, to perform their respective obligations under this Agreement and the Ancillary Agreements to which such Selling Parties are parties, to own, hold, sell and transfer pursuant to this Agreement the Interests and to consummate the transactions contemplated to be consummated by the Selling Parties under this Agreement and the Ancillary Agreements to which they are parties. This Agreement and the Ancillary Agreements to which any of the Selling Parties are parties have been duly executed and delivered by each Selling Party, and, assuming the due authorization, execution and delivery by Purchaser, is the legal, valid and binding obligation of such Selling Party, enforceable against such Selling Parties in accordance with their respective terms, except as enforcement may be limited by applicable bankruptcy, insolvency, reorganization, moratorium and other laws affecting creditors’ rights generally and except insofar as the availability of equitable remedies may be limited by Law (the “</w:t>
      </w:r>
      <w:r>
        <w:rPr>
          <w:rFonts w:ascii="Times New Roman" w:cs="Times New Roman" w:eastAsia="Times New Roman" w:hAnsi="Times New Roman"/>
          <w:sz w:val="17"/>
          <w:szCs w:val="17"/>
          <w:b w:val="1"/>
          <w:bCs w:val="1"/>
          <w:color w:val="auto"/>
        </w:rPr>
        <w:t>Enforceability Exceptions</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659" w:name="page660"/>
    <w:bookmarkEnd w:id="659"/>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The Company is not insolvent or bankrupt under any Law, nor is it (nor has it claimed to be) unable to pay its debts as and when they fall due, nor has any arrangement (whether by court proceedings or otherwise) been proposed under which its creditors (or any group of them) could receive less than the amounts due to them, nor are any proceedings in relation to any compromise or arrangement with creditors, any winding up, bankruptcy or insolvency proceedings concerning the Company (or any of its assets or interests) current, pending or, to the Selling Parties’ Knowledge, threatened. No steps have been taken by or on behalf of the Company or by any other Person, with a view to appointing an administrator or receiver or trustee in bankruptcy in relation to the Company (or any of its assets or interests) or to enforce any security over any assets or interests of the Company and no event is current, pending or, to the Selling Parties’ Knowledge, has been threatened which may give any Person the right to enforce any such security.</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Ownership of Interests; 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61" w:lineRule="auto"/>
        <w:tabs>
          <w:tab w:leader="none" w:pos="123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 is the registered and sole legal and beneficial owner of the Interests set forth opposite such Seller’s name on the Allocation Schedule free and clear from all Encumbrances (except for restrictions on transfer pursuant to applicable securities Laws), (ii) has the right, power and authority to transfer the Interests to Purchaser pursuant to this Agreement, without the consent of any other Person, and (iii) does not own or have the right to acquire any other Interests or other securities or equity interests of the Company.</w:t>
      </w:r>
    </w:p>
    <w:p>
      <w:pPr>
        <w:spacing w:after="0" w:line="71"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this Agreement, there is no Contract to which any of the Selling Parties or any of their respective Affiliates is a party or by which any of them are bound: (i) obligating any such Selling Party to sell, transfer, pledge or otherwise dispose of any Interests; (ii) that has existing obligations with respect to the voting of any Interests; (iii) granting any preemptive right, right of participation, right of maintenance or any similar right with respect to any Interests; (iv) granting any right of first refusal or similar right with respect to any Interests; or (v) relating to the registration of, or restricting any Person from purchasing, selling, pledging or otherwise disposing of (or granting any option or similar right with respect to), any of the Interests. Upon the Closing, the Sellers will transfer to Purchaser all Interests free and clear of all Encumbrances, other than restrictions on transfer pursuant to applicable securities Laws.</w:t>
      </w:r>
    </w:p>
    <w:p>
      <w:pPr>
        <w:spacing w:after="0" w:line="80"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comprise the entire issued and outstanding equity capital of the Company as at Closing. All of the Interests are, and have at all times been, validly constituted under the organizational documents of the Company. The Interests were validly issued, in accordance with, and no transfer (or purported transfer) of any Interests has been made at any time in breach of, Law. No sum is outstanding in respect of any Interest. No Action is pending or, to the Selling Parties’ Knowledge, threatened against the Company or any of the Selling Parties or any of their respective Affiliates asserting that any Person other than the Sellers are the holder or beneficial owner of, or has the right to acquire beneficial ownership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660" w:name="page661"/>
    <w:bookmarkEnd w:id="660"/>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Interests or other voting right or equity interest in the Company. No Person is or will be entitled to receive any consideration with respect to any of the Interests except for the Sellers in accordance with this Agreement. There are no (i) accrued and unpaid distributions on any of the Interests or</w:t>
      </w:r>
    </w:p>
    <w:p>
      <w:pPr>
        <w:ind w:left="444" w:right="640" w:hanging="444"/>
        <w:spacing w:after="0" w:line="365" w:lineRule="auto"/>
        <w:tabs>
          <w:tab w:leader="none" w:pos="268"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commitments to issue additional interests in the Company. The Company does not hold any equity securities of the Company in its treasury. 3.6 </w:t>
      </w:r>
      <w:r>
        <w:rPr>
          <w:rFonts w:ascii="Times New Roman" w:cs="Times New Roman" w:eastAsia="Times New Roman" w:hAnsi="Times New Roman"/>
          <w:sz w:val="18"/>
          <w:szCs w:val="18"/>
          <w:u w:val="single" w:color="auto"/>
          <w:color w:val="auto"/>
        </w:rPr>
        <w:t>Title to Properties and Assets</w:t>
      </w:r>
      <w:r>
        <w:rPr>
          <w:rFonts w:ascii="Times New Roman" w:cs="Times New Roman" w:eastAsia="Times New Roman" w:hAnsi="Times New Roman"/>
          <w:sz w:val="18"/>
          <w:szCs w:val="18"/>
          <w:color w:val="auto"/>
        </w:rPr>
        <w:t>.</w:t>
      </w:r>
    </w:p>
    <w:p>
      <w:pPr>
        <w:ind w:left="4" w:right="20" w:firstLine="987"/>
        <w:spacing w:after="0" w:line="270" w:lineRule="auto"/>
        <w:tabs>
          <w:tab w:leader="none" w:pos="1240" w:val="left"/>
        </w:tabs>
        <w:numPr>
          <w:ilvl w:val="1"/>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good and valid title to or, in the case of leased assets and properties or assets and properties held under license, a good and valid leasehold or license interest in, all of its properties and assets and all properties and assets used or held for use by the Company, including the Company Assets, Company IP and the rights provided under the Company Contracts. The assets and properties of the Company constitute all of the properties, rights, interests and other tangible and intangible assets which (i) are (a) necessary for the operation of the Company Business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or held for use by the Company or any of the Selling Parties or any of their respective Affiliates in connection with the Company Business and</w:t>
      </w:r>
    </w:p>
    <w:p>
      <w:pPr>
        <w:spacing w:after="0" w:line="9" w:lineRule="exact"/>
        <w:rPr>
          <w:rFonts w:ascii="Times New Roman" w:cs="Times New Roman" w:eastAsia="Times New Roman" w:hAnsi="Times New Roman"/>
          <w:sz w:val="18"/>
          <w:szCs w:val="18"/>
          <w:color w:val="auto"/>
        </w:rPr>
      </w:pPr>
    </w:p>
    <w:p>
      <w:pPr>
        <w:ind w:left="4" w:right="20" w:hanging="4"/>
        <w:spacing w:after="0" w:line="255" w:lineRule="auto"/>
        <w:tabs>
          <w:tab w:leader="none" w:pos="269"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sufficient for Purchaser to conduct the Company Business from and after the Closing as conducted immediately prior to the Closing by the Company and as contemplated to be conducted. The Company holds title to all property and assets which it purports to own or use, free and clear of all Encumbrances.</w:t>
      </w:r>
    </w:p>
    <w:p>
      <w:pPr>
        <w:spacing w:after="0" w:line="77"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3.6(b)</w:t>
      </w:r>
      <w:r>
        <w:rPr>
          <w:rFonts w:ascii="Times New Roman" w:cs="Times New Roman" w:eastAsia="Times New Roman" w:hAnsi="Times New Roman"/>
          <w:sz w:val="18"/>
          <w:szCs w:val="18"/>
          <w:color w:val="auto"/>
        </w:rPr>
        <w:t xml:space="preserve"> is a complete and accurate list of all assets (including Contracts), properties, services and rights owned or licensed by any of the Selling Parties or any of their respective Affiliates in relation to the Company Business or that constitute Company Assets (including those provided to the Company by any of its pre-closing Affiliates and those that will be provided or made available pursuant to the Transfer Plan).</w:t>
      </w:r>
    </w:p>
    <w:p>
      <w:pPr>
        <w:spacing w:after="0" w:line="71"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tangible assets and properties of the Company are in all material respects in serviceable operating condition and repair (giving due account to the age and length of use of same, ordinary wear and tear excepted) and are adequate for the conduct of the Company Business by Purchaser and its Affiliates in substantially the same manner as it has heretofore been conducted.</w:t>
      </w:r>
    </w:p>
    <w:p>
      <w:pPr>
        <w:spacing w:after="0" w:line="67"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right of ownership, right of use, right of first refusal or contractual obligation to purchase or any other right or interest in or affecting any land or buildings.</w:t>
      </w:r>
    </w:p>
    <w:p>
      <w:pPr>
        <w:spacing w:after="0" w:line="53"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4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Universitätsklinikum Bonn has validly consented to the Sublease and Operating Agreement pursuant to the terms of that certain master lease, dated February 18, 2021, by and between Universitätsklinikum Bonn and IFM GmbH.</w:t>
      </w:r>
    </w:p>
    <w:p>
      <w:pPr>
        <w:spacing w:after="0" w:line="54"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Absence of Certain Activities or Changes</w:t>
      </w:r>
      <w:r>
        <w:rPr>
          <w:rFonts w:ascii="Times New Roman" w:cs="Times New Roman" w:eastAsia="Times New Roman" w:hAnsi="Times New Roman"/>
          <w:sz w:val="18"/>
          <w:szCs w:val="18"/>
          <w:color w:val="auto"/>
        </w:rPr>
        <w:t>. The Company, the Selling Parties and their respective Affiliates have conducted the Company Business and the operations of the Company in the Ordinary Course and there has been no material adverse effect.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661" w:name="page662"/>
    <w:bookmarkEnd w:id="66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color w:val="auto"/>
        </w:rPr>
        <w:t xml:space="preserve"> sets forth a complete and accurate list of (i) the Contracts to which the Company is a party or which are otherwise binding on the Company, (ii) the Contracts related to, used in, reasonably useful for or necessary to the Company Business to which any of the Selling Parties or any of their respective Affiliates is a party (other than Contracts to which Management is the sole counterparty among the Selling Parties and that are used in the Company Business only as part of Management’s general administrative support of the Company in a manner consistent with the support provided to Management’s other Affiliates), indicating which Contracts are exclusively related to the Company Business (such Contracts described in sub-clauses (i) and (ii), together with any other Intellectual Property Agreements, collectively, the “</w:t>
      </w: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 and (iii) the Contracts which are not Company Contracts to which any of the Selling Parties or any of their respective Affiliates is a party or which are otherwise binding on such Person that are used in or reasonably useful to the Company Business.</w:t>
      </w:r>
    </w:p>
    <w:p>
      <w:pPr>
        <w:spacing w:after="0" w:line="83"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Contracts are valid, binding and in full force and effect with respect to the Company or the Selling Parties or any of their respective Affiliates, as applicable, and, to the Selling Parties’ Knowledge, each other party thereto, subject, in each case as to enforcement, to the Enforceability Exceptions. Neither the Company, the Selling Parties nor any of their respective Affiliates is in material breach or material default under any Company Contract, and, to the Selling Parties’ Knowledge, no other party to any Company Contract is in material breach or material default thereunder. Neither the Company, the Selling Parties nor any of their respective Affiliates has given any notice or received any notice or written claim of breach of or default under any Company Contract. Complete and accurate copies of all Company Contracts and all amendments thereto have been Delivered to Purchaser.</w:t>
      </w:r>
    </w:p>
    <w:p>
      <w:pPr>
        <w:spacing w:after="0" w:line="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9" w:lineRule="auto"/>
        <w:tabs>
          <w:tab w:leader="none" w:pos="1240" w:val="left"/>
        </w:tabs>
        <w:numPr>
          <w:ilvl w:val="1"/>
          <w:numId w:val="4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delivery and performance by the Selling Parties of, and the Selling Parties’ compliance with, this Agreement, the execution, delivery and performance by the Selling Parties of, and the Selling Parties’ compliance with, the Ancillary Agreements to which each of them is a party, and the consummation by the Selling Parties of the transactions contemplated hereby and thereby (as applicable) do not and will not (i) violate or conflict with the organizational documents of any of the Selling Parties or the Company, (ii) assuming any consents and approvals referred to in </w:t>
      </w:r>
      <w:r>
        <w:rPr>
          <w:rFonts w:ascii="Times New Roman" w:cs="Times New Roman" w:eastAsia="Times New Roman" w:hAnsi="Times New Roman"/>
          <w:sz w:val="17"/>
          <w:szCs w:val="17"/>
          <w:u w:val="single" w:color="auto"/>
          <w:color w:val="auto"/>
        </w:rPr>
        <w:t>Section 3.9(b)</w:t>
      </w:r>
      <w:r>
        <w:rPr>
          <w:rFonts w:ascii="Times New Roman" w:cs="Times New Roman" w:eastAsia="Times New Roman" w:hAnsi="Times New Roman"/>
          <w:sz w:val="17"/>
          <w:szCs w:val="17"/>
          <w:color w:val="auto"/>
        </w:rPr>
        <w:t xml:space="preserve"> are duly obtained, conflict with or constitute a Default under any Laws or Permits applicable to any of the Selling Parties or the Company,</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319"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any consents and approvals referred to in S</w:t>
      </w:r>
      <w:r>
        <w:rPr>
          <w:rFonts w:ascii="Times New Roman" w:cs="Times New Roman" w:eastAsia="Times New Roman" w:hAnsi="Times New Roman"/>
          <w:sz w:val="18"/>
          <w:szCs w:val="18"/>
          <w:u w:val="single" w:color="auto"/>
          <w:color w:val="auto"/>
        </w:rPr>
        <w:t>ection 3.9(b)</w:t>
      </w:r>
      <w:r>
        <w:rPr>
          <w:rFonts w:ascii="Times New Roman" w:cs="Times New Roman" w:eastAsia="Times New Roman" w:hAnsi="Times New Roman"/>
          <w:sz w:val="18"/>
          <w:szCs w:val="18"/>
          <w:color w:val="auto"/>
        </w:rPr>
        <w:t xml:space="preserve"> are duly obtained, conflict with or result in a Default under, require notice pursuant to, or give rise to a loss of any material benefit to which any of the Selling Parties or the Company is entitled under, any Permits applicable to any of the Selling Parties or any Contract to which any of the Selling Parties or the Company is a party or by which it or any of their respective assets or properties is bound, (iv) result in the creation of any Encumbrance on the Interests (other than restriction on transfer pursuant to applicable securities Laws) or on the properties or assets of the Company, including the Company Assets, or (v) conflict with, alter or impair, the Company’s rights in, to or under any the Company IP or the validity, enforceability, use, right to use, registration, right to register, ownership, priority, duration, scope or effectiveness of any such Company IP or otherwise trigger termination of any licensed rights in, or any additional payment obligations with respect to, any such Company IP.</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662" w:name="page663"/>
    <w:bookmarkEnd w:id="662"/>
    <w:p>
      <w:pPr>
        <w:ind w:firstLine="987"/>
        <w:spacing w:after="0" w:line="277" w:lineRule="auto"/>
        <w:tabs>
          <w:tab w:leader="none" w:pos="1246"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 approval, Order or authorization of, or registration, declaration or filing with, any Governmental Authority or other Person (including any institutional review board, privacy board or ethics committee for any pre-clinical trial being conducted by or on behalf of the Company) is required to be made, obtained or given by any of the Selling Parties in connection with the execution, delivery and performance by any of the Selling Parties of this Agreement, the execution, delivery and performance by any of the Selling Parties or the Company of the Ancillary Agreements to which any of them is a party, or the consummation by any of the Selling Parties or the Company of the transactions contemplated hereby and thereby.</w:t>
      </w:r>
    </w:p>
    <w:p>
      <w:pPr>
        <w:spacing w:after="0" w:line="6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Schedule 3.10 sets forth the unaudited statement of comprehensive income, statement of financial position, cash flow statement and consolidated of changes in equity for the Company as of and for the fiscal years ended December 31, 2020 and December 31, 2021 (such statement of financial position as of December 31, 2021, the “</w:t>
      </w:r>
      <w:r>
        <w:rPr>
          <w:rFonts w:ascii="Times New Roman" w:cs="Times New Roman" w:eastAsia="Times New Roman" w:hAnsi="Times New Roman"/>
          <w:sz w:val="18"/>
          <w:szCs w:val="18"/>
          <w:b w:val="1"/>
          <w:bCs w:val="1"/>
          <w:color w:val="auto"/>
        </w:rPr>
        <w:t>Most Recent Balance Sheet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The Financial Statements have been prepared based on the books and records of the Company, which, for the periods covered by the Financial Statements, have been maintained in all material respects accordance with GAAP, and on that basis the Financial Statements present, in all material respects, the financial position and results of operations of the Company as of the dates thereof and for the respective periods indicated.</w:t>
      </w:r>
    </w:p>
    <w:p>
      <w:pPr>
        <w:spacing w:after="0" w:line="79"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Indebtedness; Liabilities</w:t>
      </w:r>
      <w:r>
        <w:rPr>
          <w:rFonts w:ascii="Times New Roman" w:cs="Times New Roman" w:eastAsia="Times New Roman" w:hAnsi="Times New Roman"/>
          <w:sz w:val="18"/>
          <w:szCs w:val="18"/>
          <w:color w:val="auto"/>
        </w:rPr>
        <w:t xml:space="preserve">. The Company has no Indebtedness or Liabilities. </w:t>
      </w:r>
      <w:r>
        <w:rPr>
          <w:rFonts w:ascii="Times New Roman" w:cs="Times New Roman" w:eastAsia="Times New Roman" w:hAnsi="Times New Roman"/>
          <w:sz w:val="18"/>
          <w:szCs w:val="18"/>
          <w:u w:val="single" w:color="auto"/>
          <w:color w:val="auto"/>
        </w:rPr>
        <w:t>Schedule 2.4(b)(iv)</w:t>
      </w:r>
      <w:r>
        <w:rPr>
          <w:rFonts w:ascii="Times New Roman" w:cs="Times New Roman" w:eastAsia="Times New Roman" w:hAnsi="Times New Roman"/>
          <w:sz w:val="18"/>
          <w:szCs w:val="18"/>
          <w:color w:val="auto"/>
        </w:rPr>
        <w:t xml:space="preserve"> sets forth a complete and accurate list of all amounts that are or would become payable by Discovery or any of its Affiliates, including Management (whether before or following the Closing), to any third parties with respect to work performed or services or goods provided prior to the Closing and relating to MDA5 or NLRP1, including to the Business Employees, the consultants set forth on Schedule 7.3(d), [***].</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89" w:lineRule="auto"/>
        <w:tabs>
          <w:tab w:leader="none" w:pos="1236"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prepared and duly and timely filed all Tax Returns required to be filed by it, and each such Tax Return is complete and accurate in all respects. The Company has timely paid (or has had paid on its behalf) all Taxes due and owing by it (whether or not shown on any Tax Return). There are no Encumbrances for Taxes (other than Encumbrances for taxes not yet due and payable) upon any of the assets of the Company.</w:t>
      </w:r>
    </w:p>
    <w:p>
      <w:pPr>
        <w:spacing w:after="0" w:line="49" w:lineRule="exact"/>
        <w:rPr>
          <w:rFonts w:ascii="Times New Roman" w:cs="Times New Roman" w:eastAsia="Times New Roman" w:hAnsi="Times New Roman"/>
          <w:sz w:val="17"/>
          <w:szCs w:val="17"/>
          <w:color w:val="auto"/>
        </w:rPr>
      </w:pPr>
    </w:p>
    <w:p>
      <w:pPr>
        <w:jc w:val="both"/>
        <w:ind w:right="100" w:firstLine="987"/>
        <w:spacing w:after="0" w:line="261" w:lineRule="auto"/>
        <w:tabs>
          <w:tab w:leader="none" w:pos="124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date of the Most Recent Balance Sheet exceed the reserve for Taxes (excluding any reserve for deferred Taxes established to reflect timing differences between book and Tax income) set forth on the face of the Most Recent Balance Sheet (rather than in any notes thereto) and (ii) will not, as of the close of the Closing Date, exceed that reserve as adjusted for the passage of time through the Closing Date in accordance with the past custom and practice of the Company in filing its Tax Returns.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663" w:name="page664"/>
    <w:bookmarkEnd w:id="663"/>
    <w:p>
      <w:pPr>
        <w:ind w:right="40" w:firstLine="987"/>
        <w:spacing w:after="0" w:line="281" w:lineRule="auto"/>
        <w:tabs>
          <w:tab w:leader="none" w:pos="1236"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deficiencies for any Taxes have been proposed, asserted or assessed against the Company by any Taxing Authority that are still pending and, to the Knowledge of the Selling Parties, no such deficiencies have been threatened. The Company has not waived any statute of limitations in respect of any Tax, nor has the Company requested such a waiver, other than waivers as a result of extensions of time to file Tax Returns that are automatically granted. There is no Action pending with respect to Taxes payable by the Company, and no such Action has been threatened in writing.</w:t>
      </w:r>
    </w:p>
    <w:p>
      <w:pPr>
        <w:spacing w:after="0" w:line="56"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 Taxing Authority in a jurisdiction where the Company does not file Tax Returns that the Company is or may be subject to taxation by, or required to file Tax Returns in, such jurisdiction, and, to the Knowledge of the Selling Parties, there is no basis for any such claim to be made. The Company has never had a permanent establishment in, or been engaged in a trade or business in, any country other than the country in which it is organized.</w:t>
      </w:r>
    </w:p>
    <w:p>
      <w:pPr>
        <w:spacing w:after="0" w:line="71"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the Company is required by Law to withhold have been duly withheld and timely paid to the appropriate Taxing Authority, and the Company has complied with all applicable Laws relating to the withholding and reporting of any payments made to any employee, independent contractor, creditor, shareholder, vendor or other Person.</w:t>
      </w:r>
    </w:p>
    <w:p>
      <w:pPr>
        <w:spacing w:after="0" w:line="67" w:lineRule="exact"/>
        <w:rPr>
          <w:rFonts w:ascii="Times New Roman" w:cs="Times New Roman" w:eastAsia="Times New Roman" w:hAnsi="Times New Roman"/>
          <w:sz w:val="18"/>
          <w:szCs w:val="18"/>
          <w:color w:val="auto"/>
        </w:rPr>
      </w:pPr>
    </w:p>
    <w:p>
      <w:pPr>
        <w:ind w:right="200" w:firstLine="987"/>
        <w:spacing w:after="0" w:line="289" w:lineRule="auto"/>
        <w:tabs>
          <w:tab w:leader="none" w:pos="1216"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never been a member of an affiliated, consolidated, unitary or similar group for Tax purposes. The Company is not liable for the Taxes of any other Person as a result of successor liability, transferee liability, joint or several liability (including pursuant to Treasury Regulations Section 1.1502-6 or any similar provision of state, local, or foreign law), any indemnification provision, any Contract or otherwise.</w:t>
      </w:r>
    </w:p>
    <w:p>
      <w:pPr>
        <w:spacing w:after="0" w:line="49" w:lineRule="exact"/>
        <w:rPr>
          <w:rFonts w:ascii="Times New Roman" w:cs="Times New Roman" w:eastAsia="Times New Roman" w:hAnsi="Times New Roman"/>
          <w:sz w:val="17"/>
          <w:szCs w:val="17"/>
          <w:color w:val="auto"/>
        </w:rPr>
      </w:pPr>
    </w:p>
    <w:p>
      <w:pPr>
        <w:ind w:right="320" w:firstLine="987"/>
        <w:spacing w:after="0" w:line="282" w:lineRule="auto"/>
        <w:tabs>
          <w:tab w:leader="none" w:pos="124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participated in any “reportable transaction” within the meaning of Section 6707A(c)(1) of the Code or any “tax shelter” within the meaning of Section 6662 of the Code.</w:t>
      </w:r>
    </w:p>
    <w:p>
      <w:pPr>
        <w:spacing w:after="0" w:line="53"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24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in, or to exclude any item of deduction from, taxable income for any taxable period (or portion thereof) ending after the Closing as a result of any (i) change in method of accounting for a taxable period (or portion thereof) ending prior to the Closing, (ii) “closing agreement” as described in Section 7121 of the Code (or any corresponding or similar provision of state, local or foreign Law) executed prior to the Closing, (iii) installment sale or open transaction disposition entered into prior to Closing or (iv) prepaid amount received prior to Closing.</w:t>
      </w:r>
    </w:p>
    <w:p>
      <w:pPr>
        <w:spacing w:after="0" w:line="75" w:lineRule="exact"/>
        <w:rPr>
          <w:rFonts w:ascii="Times New Roman" w:cs="Times New Roman" w:eastAsia="Times New Roman" w:hAnsi="Times New Roman"/>
          <w:sz w:val="18"/>
          <w:szCs w:val="18"/>
          <w:color w:val="auto"/>
        </w:rPr>
      </w:pPr>
    </w:p>
    <w:p>
      <w:pPr>
        <w:ind w:right="140" w:firstLine="987"/>
        <w:spacing w:after="0" w:line="255" w:lineRule="auto"/>
        <w:tabs>
          <w:tab w:leader="none" w:pos="120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 to the extent deferred, properly complied in all material respects with all applicable Laws in order to defer the amount of the employer’s share of any “applicable employment taxes” under Section 2302 of the CARES Act, (ii) to the extent applicable, eligible and claimed, or intended to be claimed, properly complied in all material respects with all Laws and duly accounted for any available Tax credits under Sections 7001 through 7004 of the Families First Coronavirus Response Act and Section 2301 of the CARES Act, (iii) not deferred any payroll tax obligations (including those imposed by Sections 3101(a) and 3201 of the Code) (for example, by a failure to timely withhold, deposit or remit such amounts in accordance with the applicable provisions of the Code and the Treasury Regulations promulgated thereunder) pursuant to or in connection with any U.S. presidential memorandum or executive order and (iv) not sought a PPP Loan.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664" w:name="page665"/>
    <w:bookmarkEnd w:id="664"/>
    <w:p>
      <w:pPr>
        <w:ind w:left="-20" w:firstLine="987"/>
        <w:spacing w:after="0" w:line="312" w:lineRule="auto"/>
        <w:tabs>
          <w:tab w:leader="none" w:pos="1186"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duly kept and properly maintained all material records for all taxable years still open for audit that such Person is required to keep for Tax purposes under any applicable Laws, and such records have been made available for inspection at the premises of the Company.</w:t>
      </w:r>
    </w:p>
    <w:p>
      <w:pPr>
        <w:spacing w:after="0" w:line="31" w:lineRule="exact"/>
        <w:rPr>
          <w:rFonts w:ascii="Times New Roman" w:cs="Times New Roman" w:eastAsia="Times New Roman" w:hAnsi="Times New Roman"/>
          <w:sz w:val="17"/>
          <w:szCs w:val="17"/>
          <w:color w:val="auto"/>
        </w:rPr>
      </w:pPr>
    </w:p>
    <w:p>
      <w:pPr>
        <w:ind w:left="-20" w:right="280" w:firstLine="987"/>
        <w:spacing w:after="0" w:line="282" w:lineRule="auto"/>
        <w:tabs>
          <w:tab w:leader="none" w:pos="122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the date of its formation, treated as a partnership for U.S. federal and applicable state and local income tax purposes.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20" w:right="240" w:firstLine="987"/>
        <w:spacing w:after="0" w:line="261" w:lineRule="auto"/>
        <w:tabs>
          <w:tab w:leader="none" w:pos="121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the Selling Parties and their respective Affiliates (solely with respect to the Company Business) has been and currently is in compliance in all material respects with all Laws applicable to the Company Business. Neither the Company, any of the Selling Parties nor any of their respective Affiliates has received any notice from a Governmental Entity that alleges the conduct of the Company Business is not in compliance with any applicable Laws.</w:t>
      </w:r>
    </w:p>
    <w:p>
      <w:pPr>
        <w:spacing w:after="0" w:line="71" w:lineRule="exact"/>
        <w:rPr>
          <w:rFonts w:ascii="Times New Roman" w:cs="Times New Roman" w:eastAsia="Times New Roman" w:hAnsi="Times New Roman"/>
          <w:sz w:val="18"/>
          <w:szCs w:val="18"/>
          <w:color w:val="auto"/>
        </w:rPr>
      </w:pPr>
    </w:p>
    <w:p>
      <w:pPr>
        <w:ind w:left="-20" w:right="120" w:firstLine="987"/>
        <w:spacing w:after="0" w:line="256" w:lineRule="auto"/>
        <w:tabs>
          <w:tab w:leader="none" w:pos="122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Selling Party and their respective Affiliates hold free and clear of all Encumbrances, and are in compliance in all material respects with, all Permits that are necessary to conduct the Company Business. Schedule 3.13(b) sets forth a complete and accurate list of such Permits held by the Company or the Selling Parties or their respective Affiliates. To the Selling Parties’ Knowledge, such Permits will not be adversely affected by the consummation of the transactions contemplated hereby. Such Permits are in full force and effect, neither the Company, the Selling Parties nor any of their respective Affiliates has received any written notice of any violation in respect of any such Permit, and no Action is pending or, to the Knowledge of the Selling Parties, threatened, to revoke or limit any such Permit.</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40" w:firstLine="987"/>
        <w:spacing w:after="0" w:line="261" w:lineRule="auto"/>
        <w:tabs>
          <w:tab w:leader="none" w:pos="121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3.14(a)</w:t>
      </w:r>
      <w:r>
        <w:rPr>
          <w:rFonts w:ascii="Times New Roman" w:cs="Times New Roman" w:eastAsia="Times New Roman" w:hAnsi="Times New Roman"/>
          <w:sz w:val="18"/>
          <w:szCs w:val="18"/>
          <w:color w:val="auto"/>
        </w:rPr>
        <w:t xml:space="preserve"> sets forth a list of all Regulatory Approvals held by the Company or the Selling Parties relating to the Company Business. The Company, the Selling Parties and any of their respective Affiliates have conducted the Company Business (including research, storage, development and testing) in compliance in all material respects with all applicable requirements under the FDCA, the PHSA, the CSA, and their applicable implementing regulations, and all comparable applicable state and foreign applicable Laws.</w:t>
      </w:r>
    </w:p>
    <w:p>
      <w:pPr>
        <w:spacing w:after="0" w:line="71"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2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animal studies or other preclinical tests performed in connection with the Company Business by or on behalf of the Company, any of the Selling Parties or any of their respective Affiliates in connection with the Company Business that have been, or are intended to be, submitted to any Regulatory Authority to support Regulatory Approval of a MDA5 Compound, NLRP1 Compound or any product containing any such compound, either (i) have been conducted in accordance, in all material respects, with applicable Good Laboratory Practice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regulations as described in 21 C.F.R. Part 58 or comparable foreign applicable Laws or (ii) involved experimental research techniques that could not be performed by a registered GLP testing laboratory (with appropriate notice being given to the FDA or applicable Governmental Entity) and have employed the procedures and controls generally used by qualified experts in animal or preclinical study of products comparable to those being developed in connection with the Company Business.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60" w:top="270" w:right="459" w:bottom="1440" w:gutter="0" w:footer="0" w:header="0"/>
        </w:sectPr>
      </w:pPr>
    </w:p>
    <w:bookmarkStart w:id="665" w:name="page666"/>
    <w:bookmarkEnd w:id="665"/>
    <w:p>
      <w:pPr>
        <w:ind w:right="520" w:firstLine="987"/>
        <w:spacing w:after="0" w:line="266" w:lineRule="auto"/>
        <w:tabs>
          <w:tab w:leader="none" w:pos="123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manufacturing operations conducted by or on behalf of the Company or any of the Selling Parties or any of their respective Affiliates in connection with the Company Business have been and are being conducted in accordance, in all material respects, with current Good Manufacturing Practices, as such term is defined by the FDA.</w:t>
      </w:r>
    </w:p>
    <w:p>
      <w:pPr>
        <w:spacing w:after="0" w:line="67"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Selling Parties, the Company or any of their respective Affiliates, nor, to the Selling Parties’ Knowledge, any of their respective managers, directors, officers, or employees has committed any act, made any statement, or failed to make any statement, including with respect to any scientific data or information, that could provide a basis for the FDA to invoke the FDA policy with respect to “Fraud, Untrue Statements of Material Facts, Bribery, and Illegal Gratuities” set forth in 56 Fed. Reg. 46191 (September 10, 1991) and any amendments thereto. None of the Selling Parties, the Company or any of their respective Affiliates nor, to the Selling Parties’ Knowledge, any of their respective managers, directors, officers, or employees engaged in the Company Business has been convicted of any crime or engaged in any conduct that would reasonably be expected to result in (i) debarment under 21 U. S.C. Section 335a or any similar state or foreign applicable Law or (ii) exclusion under 42 U. S.C. Section 1320a– 7 or any similar state or foreign applicable Law.</w:t>
      </w:r>
    </w:p>
    <w:p>
      <w:pPr>
        <w:spacing w:after="0" w:line="83"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any and all written notices of inspectional observations, establishment inspection reports and any other documents received by the Company or any of the Selling Parties or any of their respective Affiliates in connection with the Company Business from the FDA or comparable foreign Governmental Entities that identify or allege lack of compliance with applicable Law of the FDA or comparable foreign Governmental Entities have been Delivered to Purchaser.</w:t>
      </w:r>
    </w:p>
    <w:p>
      <w:pPr>
        <w:spacing w:after="0" w:line="71" w:lineRule="exact"/>
        <w:rPr>
          <w:rFonts w:ascii="Times New Roman" w:cs="Times New Roman" w:eastAsia="Times New Roman" w:hAnsi="Times New Roman"/>
          <w:sz w:val="18"/>
          <w:szCs w:val="18"/>
          <w:color w:val="auto"/>
        </w:rPr>
      </w:pPr>
    </w:p>
    <w:p>
      <w:pPr>
        <w:ind w:right="140" w:firstLine="987"/>
        <w:spacing w:after="0" w:line="266" w:lineRule="auto"/>
        <w:tabs>
          <w:tab w:leader="none" w:pos="121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to the Knowledge of the Selling Parties, threatened with respect to a violation in connection with the Company Business of the FDCA, the PHSA, FDA regulations adopted thereunder, the CSA or any other applicable Laws promulgated by any other United States Governmental Entity.</w:t>
      </w:r>
    </w:p>
    <w:p>
      <w:pPr>
        <w:spacing w:after="0" w:line="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Selling Parties’ Knowledge, threatened against the Company, any of the Selling Parties or any of their respective Affiliates, or relating to the Company Business or the Company’s activities, properties or assets or any Person whose Liability the Company has retained or assumed, either contractually or by operation of Law, or, to the Selling Parties’ Knowledge, (i) against any Member, Employee, manager, officer or director of the Company, any of the Selling Parties or any of their respective Affiliates in connection with such Member’s, Employee’s, manager’s, officer’s or director’s relationship with, or actions taken on behalf of, the Company or (ii) that could reasonably be expected to result in the issuance of an Order restraining, enjoining or otherwise prohibiting or making illegal the consummation of any of the transactions contemplated by this Agreement or any of the Ancillary Agreements or otherwise result in a material diminution of the benefits contemplated by this Agreement or any of the Ancillary Agreements to Purchaser. None of the Company, any of the Selling Parties or any of their respective Affiliates (for such Selling Parties and any of their respective Affiliates, in relation to the Company Business) is a party to or named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666" w:name="page667"/>
    <w:bookmarkEnd w:id="666"/>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and none of its properties or assets are subject to, any Order and there is no Action by the Company, any of the Selling Parties or any of their respective Affiliates currently pending or which the Company, any of the Selling Parties or any of their respective Affiliates intends to initiate. There is no information available to the Company, any of the Selling Parties or any of their respective Affiliates which is likely to result in an Action or any regulatory or administrative investigation being commenced against the Company or, with respect to the Company Business, any of the Selling Parties or any of their respective Affiliates.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Employee and Benefits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Company has no employees.</w:t>
      </w:r>
    </w:p>
    <w:p>
      <w:pPr>
        <w:spacing w:after="0" w:line="117"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3.16(b)</w:t>
      </w:r>
      <w:r>
        <w:rPr>
          <w:rFonts w:ascii="Times New Roman" w:cs="Times New Roman" w:eastAsia="Times New Roman" w:hAnsi="Times New Roman"/>
          <w:sz w:val="18"/>
          <w:szCs w:val="18"/>
          <w:color w:val="auto"/>
        </w:rPr>
        <w:t xml:space="preserve"> contains a complete and accurate list of the following with respect to each Business Employee: (i) name, job title and employing entity, (ii) original hire date and service date (if different), (iii) principal location of employment, (iv) employment status (including exempt or non-exempt, full-time or part-time, temporary or dormant), (v) leave status and anticipated date of return to full-service; (vi) current base salary or wage rate, (vii) target bonus or commission paid for the fiscal year ending December 31, 2021 and bonus or commission opportunity for the fiscal year commencing January 1, 2022, (viii) any material benefits, (ix) vacation and sick leave entitlement and accrual, (x) confirmation of eligibility to work in the applicable jurisdiction and visa status and (xi) information relating to any, past, current or pending disciplinary actions with respect to any such Business Employee. Except for the Business Employees listed on </w:t>
      </w:r>
      <w:r>
        <w:rPr>
          <w:rFonts w:ascii="Times New Roman" w:cs="Times New Roman" w:eastAsia="Times New Roman" w:hAnsi="Times New Roman"/>
          <w:sz w:val="18"/>
          <w:szCs w:val="18"/>
          <w:u w:val="single" w:color="auto"/>
          <w:color w:val="auto"/>
        </w:rPr>
        <w:t>Schedule 3.16(b)</w:t>
      </w:r>
      <w:r>
        <w:rPr>
          <w:rFonts w:ascii="Times New Roman" w:cs="Times New Roman" w:eastAsia="Times New Roman" w:hAnsi="Times New Roman"/>
          <w:sz w:val="18"/>
          <w:szCs w:val="18"/>
          <w:color w:val="auto"/>
        </w:rPr>
        <w:t>, no Employees are employed by the Selling Parties or any of their respective Affiliates who could be a party to any relevant transfer as defined in the Acquired Rights Directive (2001/23/EU) and its implementation in German law in Section 613a German Civil Code. To the Selling Parties’ Knowledge, no Business Employee intends to terminate employment with Management or IFM GmbH. A copy of each Contract with a Business Employee has been Delivered to Purchaser. No Business Employee requires or will require a visa, work permit or employment pass or other similar approval in connection with such Business Employee’s potential employment with Purchaser (or any Affiliate of Purchaser).</w:t>
      </w:r>
    </w:p>
    <w:p>
      <w:pPr>
        <w:spacing w:after="0" w:line="8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IFM GmbH has duly informed prior to Closing the Employees of IFM GmbH set forth on </w:t>
      </w:r>
      <w:r>
        <w:rPr>
          <w:rFonts w:ascii="Times New Roman" w:cs="Times New Roman" w:eastAsia="Times New Roman" w:hAnsi="Times New Roman"/>
          <w:sz w:val="18"/>
          <w:szCs w:val="18"/>
          <w:u w:val="single" w:color="auto"/>
          <w:color w:val="auto"/>
        </w:rPr>
        <w:t>Schedule 3.16(c)</w:t>
      </w:r>
      <w:r>
        <w:rPr>
          <w:rFonts w:ascii="Times New Roman" w:cs="Times New Roman" w:eastAsia="Times New Roman" w:hAnsi="Times New Roman"/>
          <w:sz w:val="18"/>
          <w:szCs w:val="18"/>
          <w:color w:val="auto"/>
        </w:rPr>
        <w:t xml:space="preserve"> of the transfer as defined in the Acquired Rights Directive (2001/23/EU) and its implementation in German law in Section 613(a) German Civil Code in accordance with the requirements stipulated in Section 613(a) para. (5) German Civil Code.</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Employees employed by IFM GmbH objected to the transfer of their employment relationship from IFM GmbH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Odyssey GmbH.</w:t>
      </w:r>
    </w:p>
    <w:p>
      <w:pPr>
        <w:spacing w:after="0" w:line="98" w:lineRule="exact"/>
        <w:rPr>
          <w:rFonts w:ascii="Times New Roman" w:cs="Times New Roman" w:eastAsia="Times New Roman" w:hAnsi="Times New Roman"/>
          <w:sz w:val="18"/>
          <w:szCs w:val="18"/>
          <w:color w:val="auto"/>
        </w:rPr>
      </w:pPr>
    </w:p>
    <w:p>
      <w:pPr>
        <w:jc w:val="both"/>
        <w:ind w:firstLine="987"/>
        <w:spacing w:after="0" w:line="266" w:lineRule="auto"/>
        <w:tabs>
          <w:tab w:leader="none" w:pos="123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Business Employees employed by IFM GmbH, no other Employees of the Selling Parties or their respective Affiliates or any of the other individuals listed on </w:t>
      </w:r>
      <w:r>
        <w:rPr>
          <w:rFonts w:ascii="Times New Roman" w:cs="Times New Roman" w:eastAsia="Times New Roman" w:hAnsi="Times New Roman"/>
          <w:sz w:val="18"/>
          <w:szCs w:val="18"/>
          <w:u w:val="single" w:color="auto"/>
          <w:color w:val="auto"/>
        </w:rPr>
        <w:t>Schedule 7.3(c)(vii)</w:t>
      </w:r>
      <w:r>
        <w:rPr>
          <w:rFonts w:ascii="Times New Roman" w:cs="Times New Roman" w:eastAsia="Times New Roman" w:hAnsi="Times New Roman"/>
          <w:sz w:val="18"/>
          <w:szCs w:val="18"/>
          <w:color w:val="auto"/>
        </w:rPr>
        <w:t xml:space="preserve"> are transferring from IFM GmbH to Odyssey GmbH pursuant to the Acquired Rights Directive (2001/23/EC) and its implementation in German law pursuant to Section 613a German Civil Code or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667" w:name="page668"/>
    <w:bookmarkEnd w:id="667"/>
    <w:p>
      <w:pPr>
        <w:ind w:left="4" w:firstLine="987"/>
        <w:spacing w:after="0" w:line="270" w:lineRule="auto"/>
        <w:tabs>
          <w:tab w:leader="none" w:pos="1220"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3.16(f)</w:t>
      </w:r>
      <w:r>
        <w:rPr>
          <w:rFonts w:ascii="Times New Roman" w:cs="Times New Roman" w:eastAsia="Times New Roman" w:hAnsi="Times New Roman"/>
          <w:sz w:val="17"/>
          <w:szCs w:val="17"/>
          <w:color w:val="auto"/>
        </w:rPr>
        <w:t xml:space="preserve"> contains a complete and accurate list of each individual who currently performs, or who has formerly performed, any services for any of the Selling Parties or any of their respective Affiliates which relate to the Company Business or the Company IP as an independent contractor, consultant, or other non-employee service provider (collectively, “</w:t>
      </w:r>
      <w:r>
        <w:rPr>
          <w:rFonts w:ascii="Times New Roman" w:cs="Times New Roman" w:eastAsia="Times New Roman" w:hAnsi="Times New Roman"/>
          <w:sz w:val="17"/>
          <w:szCs w:val="17"/>
          <w:b w:val="1"/>
          <w:bCs w:val="1"/>
          <w:color w:val="auto"/>
        </w:rPr>
        <w:t>Contractors</w:t>
      </w:r>
      <w:r>
        <w:rPr>
          <w:rFonts w:ascii="Times New Roman" w:cs="Times New Roman" w:eastAsia="Times New Roman" w:hAnsi="Times New Roman"/>
          <w:sz w:val="17"/>
          <w:szCs w:val="17"/>
          <w:color w:val="auto"/>
        </w:rPr>
        <w:t>”), including for each such Contractor the following: (i) name (if an entity, including the name of the individuals employed by or providing service on behalf of such entity), (ii) contact information, (iii) location,</w:t>
      </w:r>
    </w:p>
    <w:p>
      <w:pPr>
        <w:spacing w:after="0" w:line="2" w:lineRule="exact"/>
        <w:rPr>
          <w:rFonts w:ascii="Times New Roman" w:cs="Times New Roman" w:eastAsia="Times New Roman" w:hAnsi="Times New Roman"/>
          <w:sz w:val="17"/>
          <w:szCs w:val="17"/>
          <w:color w:val="auto"/>
        </w:rPr>
      </w:pPr>
    </w:p>
    <w:p>
      <w:pPr>
        <w:jc w:val="both"/>
        <w:ind w:left="4" w:right="140" w:hanging="4"/>
        <w:spacing w:after="0" w:line="253" w:lineRule="auto"/>
        <w:tabs>
          <w:tab w:leader="none" w:pos="309"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services, (v) description of services, and (vi) description of fees. To the Selling Parties’ Knowledge, no current Contractor used by any of the Selling Parties or any of their respective Affiliates which relate to the Company Business intends to terminate the Contractor’s relationship with such entity. The Selling Parties and their respective Affiliates have properly classified such Contractors as an “independent contractor” pursuant to the Code and applicable Laws. A copy of each Contract with a Contractor has been Delivered to Purchaser.</w:t>
      </w:r>
    </w:p>
    <w:p>
      <w:pPr>
        <w:spacing w:after="0" w:line="80"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5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Parties and their respective Affiliates have not employed any temporary workers to perform any services which relate to the Company Business or the Company IP within the meaning of the German Temporary Employment Act (</w:t>
      </w:r>
      <w:r>
        <w:rPr>
          <w:rFonts w:ascii="Times New Roman" w:cs="Times New Roman" w:eastAsia="Times New Roman" w:hAnsi="Times New Roman"/>
          <w:sz w:val="18"/>
          <w:szCs w:val="18"/>
          <w:i w:val="1"/>
          <w:iCs w:val="1"/>
          <w:color w:val="auto"/>
        </w:rPr>
        <w:t>Arbeitnehmerüberlassungsgesetz</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all Employees is terminable at will or, in the case of any Employees employed in Germany, pursuant to applicable Law without any penalty, notice or severance obligations on the part of any of the Selling Parties or any of their respective Affiliates.</w:t>
      </w:r>
    </w:p>
    <w:p>
      <w:pPr>
        <w:spacing w:after="0" w:line="53" w:lineRule="exact"/>
        <w:rPr>
          <w:rFonts w:ascii="Times New Roman" w:cs="Times New Roman" w:eastAsia="Times New Roman" w:hAnsi="Times New Roman"/>
          <w:sz w:val="18"/>
          <w:szCs w:val="18"/>
          <w:color w:val="auto"/>
        </w:rPr>
      </w:pPr>
    </w:p>
    <w:p>
      <w:pPr>
        <w:ind w:left="4" w:right="460" w:firstLine="987"/>
        <w:spacing w:after="0" w:line="266" w:lineRule="auto"/>
        <w:tabs>
          <w:tab w:leader="none" w:pos="1207"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Selling Parties’ Knowledge, no Business Employee or Contractor is a party to, or is otherwise bound by, any agreement or arrangement with any Third Party, including any confidentiality or non-competition agreement, that in any way adversely affects or restricts the performance of such Employee’s or Contractor’s duties related to the Company Business.</w:t>
      </w:r>
    </w:p>
    <w:p>
      <w:pPr>
        <w:spacing w:after="0" w:line="67"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1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and each Contractor has executed a nondisclosure and assignment-of-rights agreement for the benefit of Management or IFM GmbH and Management or IFM GmbH, as the case may be, is the owner of all rights in and to all Intellectual Property created by each Employee or Contractor in performing services which relate to the Company Business.</w:t>
      </w:r>
    </w:p>
    <w:p>
      <w:pPr>
        <w:spacing w:after="0" w:line="67"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25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Parties and their respective Affiliates are up to date in the payment of all remuneration, wages, salaries, commissions, bonuses, social security contributions and other payments due to or in respect of Employees and Contractors. Each of the Selling Parties and their respective Affiliates have otherwise complied with all applicable labor, social security and prevention of occupational hazards obligations in respect of Employees and Contractors. None of the Selling Parties nor any of their respective Affiliates are under any obligation to make any material change in the basis of remuneration or other benefits paid or provided to any Employees or Contractors. None of the Selling Parties nor any of their respective Affiliates are under any obligation to make a payment on redundancy in excess of the statutory redundancy payment provided by Law. No contractual or gratuitous payment or benefit has been made or will become due to be made to any Employee or Contractor, or will be accelerated or vested in any manner, in connection with the transaction contemplated hereby.</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668" w:name="page669"/>
    <w:bookmarkEnd w:id="668"/>
    <w:p>
      <w:pPr>
        <w:ind w:right="60" w:firstLine="987"/>
        <w:spacing w:after="0" w:line="266" w:lineRule="auto"/>
        <w:tabs>
          <w:tab w:leader="none" w:pos="120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does not have, and could not reasonably be expected to have, any Liability with respect to any Taxes (or the withholding thereof), remuneration, wages, salaries, commissions, bonuses, social security contributions and other payments or any benefits in connection with any Employee or Contractor.</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9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is properly classified as an employee under applicable Law. Except from a transfer from IFM GmbH to Odyssey GmbH prior to Closing, none of the Selling Parties nor any of their respective Affiliates in the last three years has been a party to any relevant transfer as defined in the Acquired Rights Directive (2001/23/EC) and its implementation in German law in Section 613a German Civil Code.</w:t>
      </w:r>
    </w:p>
    <w:p>
      <w:pPr>
        <w:spacing w:after="0" w:line="6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Selling Party nor any of their respective Affiliates has given notice of termination or retirement to any Employee. None of the Selling Parties nor any of their respective Affiliates has any current investigations, disciplinary proceedings or appeals in respect of any Employee or Contractor. No allegations of sexual harassment have been made to any of the Selling Parties, any of their respective Affiliates or the Company in the last three years against any Employee or Contractor . No Employee will be entitled to give notice to terminate the Employee’s employment as a result of the consummation of the transactions contemplated hereby.</w:t>
      </w:r>
    </w:p>
    <w:p>
      <w:pPr>
        <w:spacing w:after="0" w:line="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3.16(o)</w:t>
      </w:r>
      <w:r>
        <w:rPr>
          <w:rFonts w:ascii="Times New Roman" w:cs="Times New Roman" w:eastAsia="Times New Roman" w:hAnsi="Times New Roman"/>
          <w:sz w:val="18"/>
          <w:szCs w:val="18"/>
          <w:color w:val="auto"/>
        </w:rPr>
        <w:t xml:space="preserve"> sets forth a complete and accurate list of all agreements and arrangements entered into by any of the Selling Parties, any of their respective Affiliates or the Company with, or recognizing, any labor union, works council, employee association or other labor organization or employee representative body (“</w:t>
      </w:r>
      <w:r>
        <w:rPr>
          <w:rFonts w:ascii="Times New Roman" w:cs="Times New Roman" w:eastAsia="Times New Roman" w:hAnsi="Times New Roman"/>
          <w:sz w:val="18"/>
          <w:szCs w:val="18"/>
          <w:b w:val="1"/>
          <w:bCs w:val="1"/>
          <w:color w:val="auto"/>
        </w:rPr>
        <w:t>Employee Representative Body</w:t>
      </w:r>
      <w:r>
        <w:rPr>
          <w:rFonts w:ascii="Times New Roman" w:cs="Times New Roman" w:eastAsia="Times New Roman" w:hAnsi="Times New Roman"/>
          <w:sz w:val="18"/>
          <w:szCs w:val="18"/>
          <w:color w:val="auto"/>
        </w:rPr>
        <w:t>”). None of the Selling Parties, their respective Affiliates or the Company has any obligation to consult with any Employee Representative Body as a result of the execution and delivery of this Agreement or the consummation of the transactions contemplated hereby. In the past three years, none of the Selling Parties, their respective Affiliates or the Company has been involved in any industrial dispute involving Employees, Contractors or current or former workers that has caused material disruption to the Company Business, including any strikes, work stoppages, work slowdowns or lockouts, and no such disputes are threatened against or involving any of the Selling Parties, any of their respective Affiliates or the Company. None of the Selling Parties, their respective Affiliates or the Company is involved in any existing or pending claim against Employees, Contractors or current or former workers and no such claim has been threatened against any of the Selling Parties, any of their respective Affiliates or the Company. Each of the Selling Parties, their respective Affiliates and the Company is in material compliance with all Laws and collective bargaining agreements, in each case, in respect of employment and employment practices, terms and conditions of employment, wages and hours and occupational health and safety.</w:t>
      </w:r>
    </w:p>
    <w:p>
      <w:pPr>
        <w:spacing w:after="0" w:line="8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3.16(p)</w:t>
      </w:r>
      <w:r>
        <w:rPr>
          <w:rFonts w:ascii="Times New Roman" w:cs="Times New Roman" w:eastAsia="Times New Roman" w:hAnsi="Times New Roman"/>
          <w:sz w:val="18"/>
          <w:szCs w:val="18"/>
          <w:color w:val="auto"/>
        </w:rPr>
        <w:t xml:space="preserve"> lists each employee benefit plan, program, policy, agreement or arrangement that is sponsored, maintained, contributed to or required to be contributed to by any of the Selling Parties, any of their respective Affiliates or the Company with respect to Employees, including any employment, retention, change in control, pension, retirement (qualified and non-qualified), profit sharing, savings, bonus, deferred or incentive compensation, hospitalization, medical, life insurance, disability insurance, paid time off, paid holiday, termination or severance pay, stock purchase, restricted stock, stock option, phantom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669" w:name="page670"/>
    <w:bookmarkEnd w:id="669"/>
    <w:p>
      <w:pPr>
        <w:ind w:left="4" w:right="2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stock appreciation rights, equity-based compensation, health, welfare, or other similar plans, programs, policies, agreements or arrangements (“</w:t>
      </w:r>
      <w:r>
        <w:rPr>
          <w:rFonts w:ascii="Times New Roman" w:cs="Times New Roman" w:eastAsia="Times New Roman" w:hAnsi="Times New Roman"/>
          <w:sz w:val="17"/>
          <w:szCs w:val="17"/>
          <w:b w:val="1"/>
          <w:bCs w:val="1"/>
          <w:color w:val="auto"/>
        </w:rPr>
        <w:t>Employee Plan</w:t>
      </w:r>
      <w:r>
        <w:rPr>
          <w:rFonts w:ascii="Times New Roman" w:cs="Times New Roman" w:eastAsia="Times New Roman" w:hAnsi="Times New Roman"/>
          <w:sz w:val="17"/>
          <w:szCs w:val="17"/>
          <w:color w:val="auto"/>
        </w:rPr>
        <w:t>”). No Employee Plan is sponsored by any of the Selling Parties, any of their respective Affiliates or the Company and none of the Selling Parties, their respective Affiliates or the Company has any Liability with respect to any Employee Plan. All contributions which have become due for payment in relation to the Employee Plans have been paid. Complete and accurate details of the Employee Plans have been Delivered to Purchaser, including: (i) a complete and accurate copy of each Employee Plan and (ii) with respect to each Employee Plan, to the extent applicable:</w:t>
      </w:r>
    </w:p>
    <w:p>
      <w:pPr>
        <w:spacing w:after="0" w:line="3" w:lineRule="exact"/>
        <w:rPr>
          <w:sz w:val="20"/>
          <w:szCs w:val="20"/>
          <w:color w:val="auto"/>
        </w:rPr>
      </w:pPr>
    </w:p>
    <w:p>
      <w:pPr>
        <w:ind w:left="4" w:hanging="4"/>
        <w:spacing w:after="0" w:line="252" w:lineRule="auto"/>
        <w:tabs>
          <w:tab w:leader="none" w:pos="299"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summary plan description (or similar document and summary of material modifications); (B) the trust agreement, any insurance Contracts or other funding arrangements with respect to such plan; (C) the most recent annual report filed by the Company, or any Employee Plan, as the case may be, with any Governmental Authority or Tax Authority (if such report was required by Law); (D) the most recent determination or opinion letters for any plan intended to be qualified under section 401(a) of the Code; and (E) records, notices, filings or written communications with any Governmental Authority or Tax Authority concerning audits or investigations with respect to an Employee Plan within the last three years. None of the Selling Parties, any of their respective Affiliates or the Company has any obligation to compensate any Employee or Contractor for any Taxes, including Taxes payable pursuant to Section 4999 of the Code or additional Taxes payable pursuant to Section 409A of the Code.</w:t>
      </w:r>
    </w:p>
    <w:p>
      <w:pPr>
        <w:spacing w:after="0" w:line="80"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that is intended to be qualified within the meaning of Section 401(a) of the Code is so qualified and has received a favorable determination letter from the IRS (or, if such plan uses a prototype or volume submitter plan document, such prototype or volume submitter plan document has received a favorable opinion from the IRS that the form meets the tax qualification requirements and the applicable Affiliate is entitled to rely on such favorable opinion) to the effect that such Employee Plan satisfies the requirements of Section 401(a) of the Code and that its related trust is exempt from taxation under Section 501(a) of the Code, and there are no facts or circumstances that could reasonably be expected to cause the loss of such qualification or the imposition of material liability, penalty or tax under ERISA, the Code or other applicable Law.</w:t>
      </w:r>
    </w:p>
    <w:p>
      <w:pPr>
        <w:spacing w:after="0" w:line="79"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2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Selling Party, its Affiliate or the Company employing Employees or Contractors maintain a health plan that satisfies the requirements for “minimum essential coverage” under Section 4980H(a) of the Code (as applicable to “applicable large employers” within the meaning of Section 4980H(a) of the Code, without regard to whether such Person is an “applicable large employer”), which minimum essential coverage satisfies an affordability safe harbor under Treasury Regulation Section 54.4980H-5 and provides “minimum value” (as defined in Treasury Regulation Section 54.4980H-1(a)(28)), and have offered such minimum essential coverage to all Employees who are “full-time employees” (within the meaning of Section 4980H of the Code) and their dependents.</w:t>
      </w:r>
    </w:p>
    <w:p>
      <w:pPr>
        <w:spacing w:after="0" w:line="79"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3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Selling Parties, their respective Affiliates or the Company sponsors, contributes to, maintains or has any Liability (whether contingent or otherwise) with respect to any employee benefit plan, program or arrangement relating to Employees (i) that is or was subject to Title IV of ERISA or Section 412 of the Code or Section 302 of ERISA (or similar funding requirements of any Law outside the United States); (ii) a “multiemployer plan” (as defined in Section 3(37) or Section 4001(a)(3) of ERISA); (iii) a “multiple employer welfare</w:t>
      </w:r>
    </w:p>
    <w:p>
      <w:pPr>
        <w:spacing w:after="0" w:line="200" w:lineRule="exact"/>
        <w:rPr>
          <w:sz w:val="20"/>
          <w:szCs w:val="20"/>
          <w:color w:val="auto"/>
        </w:rPr>
      </w:pPr>
    </w:p>
    <w:p>
      <w:pPr>
        <w:spacing w:after="0" w:line="2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670" w:name="page671"/>
    <w:bookmarkEnd w:id="67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arrangement” (as defined in Section 3(4) of ERISA); (iv) a “multiple employer plan” (as defined in Section 4063 or Section 4064 of ERISA); (v) a “voluntary employees’ beneficiary association” (as defined in Section 501(c)(9) of the Code) or any other funded arrangement for the provision of health, other welfare, or fringe benefits; or (vi) any health or other welfare arrangement that is self-insured, nor have any of them ever sponsored, contributed to, maintained, or had any Liability under any arrangement described in this Section 3.16(s). No Employee Plan is a defined benefit pension plan or other arrangement that provides benefits on a defined benefit basis in the event of retirement or redundancy.</w:t>
      </w:r>
    </w:p>
    <w:p>
      <w:pPr>
        <w:spacing w:after="0" w:line="75" w:lineRule="exact"/>
        <w:rPr>
          <w:sz w:val="20"/>
          <w:szCs w:val="20"/>
          <w:color w:val="auto"/>
        </w:rPr>
      </w:pPr>
    </w:p>
    <w:p>
      <w:pPr>
        <w:ind w:firstLine="987"/>
        <w:spacing w:after="0" w:line="254" w:lineRule="auto"/>
        <w:tabs>
          <w:tab w:leader="none" w:pos="120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assets of any Employee Plan are invested in the Interests or the securities of any of the Selling Parties, any of their respective Affiliates or the Company. None of the Selling Parties, any of their respective Affiliates or the Company would reasonably be expected to have any Liability or obligation to provide postretirement health, medical or life insurance benefits to the Employees, Contractors, or current or former workers, officers, or directors, or any dependent or beneficiary thereof, except as otherwise required under applicable Law, or where the covered individual pays the full premium for such coverage. All Employee Plans have been established, maintained and operated in compliance with their governing documents and applicable Law. There are no material Actions pending or, to the Knowledge of the Selling Parties, threatened against any of the Selling Parties, any of their respective Affiliates or the Company in connection with any Employee Plan or against any Employee Plan. Each Employee Plan that is required to be registered with any Governmental Authority or Tax Authority has been maintained in all material respects in good standing with such authority, and no set of circumstances exist that would reasonably be expected to adversely affect such good standing.</w:t>
      </w:r>
    </w:p>
    <w:p>
      <w:pPr>
        <w:spacing w:after="0" w:line="80" w:lineRule="exact"/>
        <w:rPr>
          <w:rFonts w:ascii="Times New Roman" w:cs="Times New Roman" w:eastAsia="Times New Roman" w:hAnsi="Times New Roman"/>
          <w:sz w:val="18"/>
          <w:szCs w:val="18"/>
          <w:color w:val="auto"/>
        </w:rPr>
      </w:pPr>
    </w:p>
    <w:p>
      <w:pPr>
        <w:jc w:val="both"/>
        <w:ind w:right="300" w:firstLine="987"/>
        <w:spacing w:after="0" w:line="261" w:lineRule="auto"/>
        <w:tabs>
          <w:tab w:leader="none" w:pos="124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Selling Party or Affiliate thereof may terminate or amend any Employee Plan, at any time, without incurring any Liability other than with respect to benefits that have already accrued under a retirement plan. None of the Selling Parties, any of their respective Affiliates or the Company has a formal plan, commitment, or proposal, whether legally binding or not, or have made a commitment to employees to create any additional Employee Plan or modify or change any existing Employee Plan.</w:t>
      </w:r>
    </w:p>
    <w:p>
      <w:pPr>
        <w:spacing w:after="0" w:line="71"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due, to any Employees or Contractors; (ii) increase any benefits under any Employee Plan; (iii) result in the acceleration of the payment or vesting of any compensation or benefits; (iv) result in the payment of any amount that could, individually or in combination with any other such payment, constitute an “excess parachute payment,” as defined in Section 280G(b)(1) of the Code; (v) result in the triggering or imposition of any restrictions or limitations on any right of any of the Selling Parties, any of their respective Affiliates or the Company to amend or terminate any Employee Plan; or (vi) entitle the recipient of any payment or benefit to receive a “gross up” payment for any income or other taxes that might be owed with respect to such payment or benefit.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70" w:right="499" w:bottom="1440" w:gutter="0" w:footer="0" w:header="0"/>
        </w:sectPr>
      </w:pPr>
    </w:p>
    <w:bookmarkStart w:id="671" w:name="page672"/>
    <w:bookmarkEnd w:id="67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firstLine="987"/>
        <w:spacing w:after="0" w:line="254" w:lineRule="auto"/>
        <w:tabs>
          <w:tab w:leader="none" w:pos="124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sets forth a complete and accurate list of all Company IP that is (i) either (a) owned by the Company, any of the Selling Parties or any of their respective Affiliates or (b) exclusively licensed to the Company, any of the Selling Parties or any of their respective Affiliates and (ii) subject to any issuance, registration, or application by or with any Governmental Authority or authorized private registrar in any jurisdiction (collectively, “</w:t>
      </w:r>
      <w:r>
        <w:rPr>
          <w:rFonts w:ascii="Times New Roman" w:cs="Times New Roman" w:eastAsia="Times New Roman" w:hAnsi="Times New Roman"/>
          <w:sz w:val="18"/>
          <w:szCs w:val="18"/>
          <w:b w:val="1"/>
          <w:bCs w:val="1"/>
          <w:color w:val="auto"/>
        </w:rPr>
        <w:t>Registered Company IP</w:t>
      </w:r>
      <w:r>
        <w:rPr>
          <w:rFonts w:ascii="Times New Roman" w:cs="Times New Roman" w:eastAsia="Times New Roman" w:hAnsi="Times New Roman"/>
          <w:sz w:val="18"/>
          <w:szCs w:val="18"/>
          <w:color w:val="auto"/>
        </w:rPr>
        <w:t>”), specifying as to each such item, as applicable (A) the owner(s) of the item (including all co- or joint-owners), (B) the jurisdictions in which the item is issued or registered or in which any application for issuance or registration has been filed,</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89"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issuance, registration, or application number of the item, (D) the date of application, issuance or registration of the item and (E) all filing, maintenance, renewal, fees and other deadlines pertaining to the items that are due or otherwise will occur within 180 days of the date hereof. All assignments and other instruments necessary to establish, record, and perfect the Company’s ownership interest in the Registered Company IP have been validly executed, delivered, and filed with the relevant Governmental Authorities and authorized registrars. All required filings and fees related to the Registered Company IP have been timely submitted and paid to the relevant Governmental Authorities and authorized Registrars. All fees, annuities and other payments due to a Governmental Authority associated with filing, prosecuting, issuing, recording, registering or maintaining any Registered Company IP, and, to the Selling Parties’ Knowledge, any other Company IP, have been paid in full in a timely manner to the proper Governmental Authority.</w:t>
      </w:r>
    </w:p>
    <w:p>
      <w:pPr>
        <w:spacing w:after="0" w:line="85"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solely and exclusively owns all right, title and interest in and to the Owned IP, (ii) has a valid and enforceable license to the Licensed IP and (iii) has the right to use and transfer all Company Assets for all purposes without restriction, in each case ((i) and (ii)), free and clear of all Encumbrances, and no other Person has any title to, or interest in, the Owned IP. The Owned IP includes any and all Intellectual Property exclusively related to the Company Business. The Company IP is valid, subsisting, enforceable, not subject to any cause of nullity or expiry, and has not expired as of the date hereof. The Company IP constitutes all the Intellectual Property used in, held for use in, or necessary for, the operation of the Company Business as currently conducted and as contemplated to be conducted. None of the Owned IP or First Party Licensed IP, or to the Selling Parties’ Knowledge, the Third Party Licensed IP, is the subject of any Order, settlement or other disposition of any dispute that restricts or impairs the Company’s use or exploitation of the Company IP, now or in the future. Neither the Company, the Selling Parties nor any of their respective Affiliates are subject to any outstanding or prospective order (including any motion or petition therefor) that does or could reasonably be expected to restrict or impair the ownership or use of any Company IP. Neither the terms and conditions of any Contract nor applicable Law provide for any co-ownership of any Company IP with any other Person.</w:t>
      </w:r>
    </w:p>
    <w:p>
      <w:pPr>
        <w:spacing w:after="0" w:line="83" w:lineRule="exact"/>
        <w:rPr>
          <w:rFonts w:ascii="Times New Roman" w:cs="Times New Roman" w:eastAsia="Times New Roman" w:hAnsi="Times New Roman"/>
          <w:sz w:val="18"/>
          <w:szCs w:val="18"/>
          <w:color w:val="auto"/>
        </w:rPr>
      </w:pPr>
    </w:p>
    <w:p>
      <w:pPr>
        <w:ind w:left="4" w:right="200" w:firstLine="987"/>
        <w:spacing w:after="0" w:line="261" w:lineRule="auto"/>
        <w:tabs>
          <w:tab w:leader="none" w:pos="124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3.17(c)</w:t>
      </w:r>
      <w:r>
        <w:rPr>
          <w:rFonts w:ascii="Times New Roman" w:cs="Times New Roman" w:eastAsia="Times New Roman" w:hAnsi="Times New Roman"/>
          <w:sz w:val="18"/>
          <w:szCs w:val="18"/>
          <w:color w:val="auto"/>
        </w:rPr>
        <w:t xml:space="preserve"> sets forth a complete and accurate list of all Contracts pursuant to which (i) any of the Selling Parties, any of their respective Affiliates or the Company is granted a license, sublicense, covenant not to sue or other right or interest with respect to any Company IP, (ii) any of the Selling Parties, any of their respective Affiliates or the Company grants to any Person a license, sublicense, covenant not to sue or other right or interest with respect to any Company IP or (iii) which otherwise relates to the Selling Parties’, any of their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672" w:name="page673"/>
    <w:bookmarkEnd w:id="672"/>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Affiliate’s or the Company’s ownership or use of any Intellectual Property in the conduct of the Company Business as currently conducted or as contemplated to be conducted (all of the foregoing, “</w:t>
      </w:r>
      <w:r>
        <w:rPr>
          <w:rFonts w:ascii="Times New Roman" w:cs="Times New Roman" w:eastAsia="Times New Roman" w:hAnsi="Times New Roman"/>
          <w:sz w:val="18"/>
          <w:szCs w:val="18"/>
          <w:b w:val="1"/>
          <w:bCs w:val="1"/>
          <w:color w:val="auto"/>
        </w:rPr>
        <w:t>Intellectual Property Agreements</w:t>
      </w:r>
      <w:r>
        <w:rPr>
          <w:rFonts w:ascii="Times New Roman" w:cs="Times New Roman" w:eastAsia="Times New Roman" w:hAnsi="Times New Roman"/>
          <w:sz w:val="18"/>
          <w:szCs w:val="18"/>
          <w:color w:val="auto"/>
        </w:rPr>
        <w:t>”). Complete and accurate copies (or in the case of any oral agreements, a complete and accurate written description) of all Intellectual Property Agreements, including all modifications thereto and waivers thereunder, have been Delivered to Purchaser.</w:t>
      </w:r>
    </w:p>
    <w:p>
      <w:pPr>
        <w:spacing w:after="0" w:line="72" w:lineRule="exact"/>
        <w:rPr>
          <w:sz w:val="20"/>
          <w:szCs w:val="20"/>
          <w:color w:val="auto"/>
        </w:rPr>
      </w:pPr>
    </w:p>
    <w:p>
      <w:pPr>
        <w:ind w:left="1244" w:hanging="253"/>
        <w:spacing w:after="0"/>
        <w:tabs>
          <w:tab w:leader="none" w:pos="1244"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Company Business, as currently conducted, as conducted since its inception and as contemplated to be conducted,</w:t>
      </w:r>
    </w:p>
    <w:p>
      <w:pPr>
        <w:spacing w:after="0" w:line="27" w:lineRule="exact"/>
        <w:rPr>
          <w:rFonts w:ascii="Times New Roman" w:cs="Times New Roman" w:eastAsia="Times New Roman" w:hAnsi="Times New Roman"/>
          <w:sz w:val="18"/>
          <w:szCs w:val="18"/>
          <w:color w:val="auto"/>
        </w:rPr>
      </w:pPr>
    </w:p>
    <w:p>
      <w:pPr>
        <w:ind w:left="4" w:right="60" w:hanging="4"/>
        <w:spacing w:after="0" w:line="251" w:lineRule="auto"/>
        <w:tabs>
          <w:tab w:leader="none" w:pos="219"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and does not infringe, misappropriate, or otherwise violate, and has not infringed, misappropriated, or otherwise violated any other Person’s Intellectual Property rights and (ii) does not constitute, and has not constituted, an unfair competition act under any Law. None of the Selling Parties, any of their respective Affiliates or the Company has received and, to the Selling Parties’ Knowledge, no Third Party licensor of any Third Party Licensed IP has received, any charge, complaint, claim, demand, notice or other communication alleging that such Person or licensor (with respect to such Licensed IP) has infringed, misappropriated or otherwise violated any Person’s Intellectual Property (including any such communication offering a license to any of the Selling Parties, any of their respective Affiliates or the Company or such licensor or suggesting that any such Person or such licensor must license or refrain from using any Intellectual Property of any Person) and, to the Selling Parties’ Knowledge, no facts or circumstances exist that would reasonably be expected to give rise to such an infringement, misappropriation or violation. None of the Selling Parties, any of their respective Affiliates or the Company or, to the Selling Parties’ Knowledge, the Third Party licensor of any Third Party Licensed IP (with respect to such Licensed IP), has sought or received any written opinion of patent counsel that concerns infringement, non-infringement, patentability, validity or enforceability of any Person’s Patent.</w:t>
      </w:r>
    </w:p>
    <w:p>
      <w:pPr>
        <w:spacing w:after="0" w:line="84" w:lineRule="exact"/>
        <w:rPr>
          <w:rFonts w:ascii="Times New Roman" w:cs="Times New Roman" w:eastAsia="Times New Roman" w:hAnsi="Times New Roman"/>
          <w:sz w:val="18"/>
          <w:szCs w:val="18"/>
          <w:color w:val="auto"/>
        </w:rPr>
      </w:pPr>
    </w:p>
    <w:p>
      <w:pPr>
        <w:ind w:left="4" w:right="560" w:firstLine="987"/>
        <w:spacing w:after="0" w:line="266" w:lineRule="auto"/>
        <w:tabs>
          <w:tab w:leader="none" w:pos="124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Selling Parties’ Knowledge, no Person has infringed, misappropriated or otherwise violated the Company IP. None of the Selling Parties, their respective Affiliates or the Company has filed or threatened in writing any claims alleging that any Person has infringed, misappropriated or otherwise violated any Company IP.</w:t>
      </w:r>
    </w:p>
    <w:p>
      <w:pPr>
        <w:spacing w:after="0" w:line="67" w:lineRule="exact"/>
        <w:rPr>
          <w:rFonts w:ascii="Times New Roman" w:cs="Times New Roman" w:eastAsia="Times New Roman" w:hAnsi="Times New Roman"/>
          <w:sz w:val="18"/>
          <w:szCs w:val="18"/>
          <w:color w:val="auto"/>
        </w:rPr>
      </w:pPr>
    </w:p>
    <w:p>
      <w:pPr>
        <w:ind w:left="4" w:firstLine="987"/>
        <w:spacing w:after="0" w:line="254" w:lineRule="auto"/>
        <w:tabs>
          <w:tab w:leader="none" w:pos="122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IP is the subject of any pending or, to the Knowledge of the Selling Parties, threatened cancellation, invalidity or reexamination proceeding or any other Action challenging the ownership, scope, patentability, validity, priority or enforceability of such Intellectual Property, or seeking to deny or restrict the right, title or interest of, or practice or use by any of the Selling Parties, any of their respective Affiliates or the Company in, to, under, or of such Company IP. No opposition, extension of time to oppose, interference, derivation, rejection, or refusal to register has been filed or issued in connection with any Owned IP or First Party Licensed IP or, to the Selling Parties’ Knowledge, Third Party Licensed IP, other than a grant refusal communication or a registration refusal communication issued by a Governmental Authority. None of the Owned IP or First Party Licensed IP or, to the Selling Parties’ Knowledge, the Third Party Licensed IP, has been held to be invalid or unenforceable in a court decision that is not appealed or non-appealable by the Company or the Selling Parties or any of their respective Affiliates, or by any Third Party licensor thereof.</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673" w:name="page674"/>
    <w:bookmarkEnd w:id="673"/>
    <w:p>
      <w:pPr>
        <w:ind w:left="-20" w:right="60" w:firstLine="987"/>
        <w:spacing w:after="0" w:line="258" w:lineRule="auto"/>
        <w:tabs>
          <w:tab w:leader="none" w:pos="122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Patents included in the Owned IP and, to the Selling Parties’ Knowledge, each of the Patents included in the Licensed IP, properly identifies each inventor of the claims thereof as determined in accordance with the Law of the jurisdiction in which such Patents are granted or are pending. Documentation evidencing the assignment of each Patent included in the Owned IP, and, to the Selling Parties’ Knowledge, each Patent included in the Licensed IP, from each named inventor to the respective current owners indicated on </w:t>
      </w: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has been timely and properly recorded with the United States Patent and Trademark Office, or its foreign equivalent, as applicable.</w:t>
      </w:r>
    </w:p>
    <w:p>
      <w:pPr>
        <w:spacing w:after="0" w:line="75"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2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Know-How or Bonn Know-How, or any Confidential Information pertaining to the Company Business, the Bonn License Agreement or Bonn License Activities, (all of the foregoing, “</w:t>
      </w:r>
      <w:r>
        <w:rPr>
          <w:rFonts w:ascii="Times New Roman" w:cs="Times New Roman" w:eastAsia="Times New Roman" w:hAnsi="Times New Roman"/>
          <w:sz w:val="18"/>
          <w:szCs w:val="18"/>
          <w:b w:val="1"/>
          <w:bCs w:val="1"/>
          <w:color w:val="auto"/>
        </w:rPr>
        <w:t>Company Confidential Information</w:t>
      </w:r>
      <w:r>
        <w:rPr>
          <w:rFonts w:ascii="Times New Roman" w:cs="Times New Roman" w:eastAsia="Times New Roman" w:hAnsi="Times New Roman"/>
          <w:sz w:val="18"/>
          <w:szCs w:val="18"/>
          <w:color w:val="auto"/>
        </w:rPr>
        <w:t>”) has been disclosed to any other Person unless such disclosure was made pursuant to an appropriate written confidentiality Contract on the relevant Selling Party’s, its respective Affiliate’s or the Company’s standard form as Delivered to Purchaser. To the Selling Parties’ Knowledge, (i) there has not been any breach by any such other Person of any such Contract and (ii) there has been no disclosure of any Company Confidential Information that would compromise the value or trade secret status of such Company Confidential Information. Each Selling Party, their respective Affiliates and the Company has taken the necessary measures to protect all Company Confidential Information under Law and has taken commercially reasonable measures at least commensurate with industry standards to protect, preserve and maintain the confidentiality and security of such Company Confidential Information and in each such case using not less than a reasonable degree of care under the circumstances.</w:t>
      </w:r>
    </w:p>
    <w:p>
      <w:pPr>
        <w:spacing w:after="0" w:line="80" w:lineRule="exact"/>
        <w:rPr>
          <w:rFonts w:ascii="Times New Roman" w:cs="Times New Roman" w:eastAsia="Times New Roman" w:hAnsi="Times New Roman"/>
          <w:sz w:val="18"/>
          <w:szCs w:val="18"/>
          <w:color w:val="auto"/>
        </w:rPr>
      </w:pPr>
    </w:p>
    <w:p>
      <w:pPr>
        <w:ind w:left="-20" w:firstLine="987"/>
        <w:spacing w:after="0" w:line="277" w:lineRule="auto"/>
        <w:tabs>
          <w:tab w:leader="none" w:pos="1186" w:val="left"/>
        </w:tabs>
        <w:numPr>
          <w:ilvl w:val="0"/>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any fees payable to a Governmental Authority to obtain issuance of, register or maintain any of the Company IP and for any payments required pursuant to a Contract listed on </w:t>
      </w:r>
      <w:r>
        <w:rPr>
          <w:rFonts w:ascii="Times New Roman" w:cs="Times New Roman" w:eastAsia="Times New Roman" w:hAnsi="Times New Roman"/>
          <w:sz w:val="17"/>
          <w:szCs w:val="17"/>
          <w:u w:val="single" w:color="auto"/>
          <w:color w:val="auto"/>
        </w:rPr>
        <w:t>Schedule 3.17(c)</w:t>
      </w:r>
      <w:r>
        <w:rPr>
          <w:rFonts w:ascii="Times New Roman" w:cs="Times New Roman" w:eastAsia="Times New Roman" w:hAnsi="Times New Roman"/>
          <w:sz w:val="17"/>
          <w:szCs w:val="17"/>
          <w:color w:val="auto"/>
        </w:rPr>
        <w:t xml:space="preserve">, no payment by the Company, any of the Selling Parties or any of their respective Affiliates of any kind is required to be made to any Person based on the use of any Intellectual Property. Except as set forth on </w:t>
      </w:r>
      <w:r>
        <w:rPr>
          <w:rFonts w:ascii="Times New Roman" w:cs="Times New Roman" w:eastAsia="Times New Roman" w:hAnsi="Times New Roman"/>
          <w:sz w:val="17"/>
          <w:szCs w:val="17"/>
          <w:u w:val="single" w:color="auto"/>
          <w:color w:val="auto"/>
        </w:rPr>
        <w:t>Schedule 3.17(i)</w:t>
      </w:r>
      <w:r>
        <w:rPr>
          <w:rFonts w:ascii="Times New Roman" w:cs="Times New Roman" w:eastAsia="Times New Roman" w:hAnsi="Times New Roman"/>
          <w:sz w:val="17"/>
          <w:szCs w:val="17"/>
          <w:color w:val="auto"/>
        </w:rPr>
        <w:t>, none of the Company IP was developed or first reduced to practice with funding by, personnel of, or other resources provided by any Governmental Authority or educational or research institution and no Governmental Authority or educational or research institution has any rights in or to any Company IP.</w:t>
      </w:r>
    </w:p>
    <w:p>
      <w:pPr>
        <w:spacing w:after="0" w:line="59" w:lineRule="exact"/>
        <w:rPr>
          <w:rFonts w:ascii="Times New Roman" w:cs="Times New Roman" w:eastAsia="Times New Roman" w:hAnsi="Times New Roman"/>
          <w:sz w:val="17"/>
          <w:szCs w:val="17"/>
          <w:color w:val="auto"/>
        </w:rPr>
      </w:pPr>
    </w:p>
    <w:p>
      <w:pPr>
        <w:ind w:left="-20" w:right="460" w:firstLine="987"/>
        <w:spacing w:after="0" w:line="266" w:lineRule="auto"/>
        <w:tabs>
          <w:tab w:leader="none" w:pos="118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Patents that are listed on </w:t>
      </w: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either the Company or, to the Knowledge of the Selling Parties, the relevant licensor has taken all actions necessary under any Law to secure ownership of such Patents for the relevant licensor or the Company, as applicable.</w:t>
      </w:r>
    </w:p>
    <w:p>
      <w:pPr>
        <w:spacing w:after="0" w:line="67" w:lineRule="exact"/>
        <w:rPr>
          <w:rFonts w:ascii="Times New Roman" w:cs="Times New Roman" w:eastAsia="Times New Roman" w:hAnsi="Times New Roman"/>
          <w:sz w:val="18"/>
          <w:szCs w:val="18"/>
          <w:color w:val="auto"/>
        </w:rPr>
      </w:pPr>
    </w:p>
    <w:p>
      <w:pPr>
        <w:ind w:left="-20" w:right="80" w:firstLine="987"/>
        <w:spacing w:after="0" w:line="255" w:lineRule="auto"/>
        <w:tabs>
          <w:tab w:leader="none" w:pos="122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Selling Parties and their respective Affiliates, as applicable, have caused all Employees and Contractors and any other consultants of any such party, in each case who have performed any services related to the Company Business or practiced Intellectual Property licensed under or otherwise conducted Bonn License Activities to execute a binding and enforceable Contract which includes provisions sufficient to ensure that the Company (with respect to Owned IP) or one of the Selling Parties or their Affiliates (with respect to Licensed IP) is the exclusive owner of all Intellectual Property created or developed by or on behalf of such Persons within the scope of or resulting from his or her employment or other engagement with the Company or the applicable Selling Party or their respective Affiliate. Complete and accurate copies of the forms of Contracts referred to in the foregoing sentence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60" w:top="270" w:right="479" w:bottom="1440" w:gutter="0" w:footer="0" w:header="0"/>
        </w:sectPr>
      </w:pPr>
    </w:p>
    <w:bookmarkStart w:id="674" w:name="page675"/>
    <w:bookmarkEnd w:id="67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been Delivered to Purchaser, and to Selling Parties’ Knowledge, no breach of any such Contract by the other party thereto has occurred or been threatened. No Employee or Contractor or other consultant owns any right, title, or interest in or to any Intellectual Property relating to the Company Business or to the practice of any Intellectual Property licensed under the Bonn License Agreement, or to the conduct of any Bonn License Activities that was created or developed by such Employee or Contractor or consultant during his or her employment or other engagement with any of the Selling Parties, any of their respective Affiliates or the Company.</w:t>
      </w:r>
    </w:p>
    <w:p>
      <w:pPr>
        <w:spacing w:after="0" w:line="75" w:lineRule="exact"/>
        <w:rPr>
          <w:sz w:val="20"/>
          <w:szCs w:val="20"/>
          <w:color w:val="auto"/>
        </w:rPr>
      </w:pPr>
    </w:p>
    <w:p>
      <w:pPr>
        <w:ind w:right="20" w:firstLine="987"/>
        <w:spacing w:after="0" w:line="255" w:lineRule="auto"/>
        <w:tabs>
          <w:tab w:leader="none" w:pos="12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Selling Parties of, and the Selling Parties’ compliance with, this Agreement, the execution, delivery and performance by the Selling Parties and the Company of, and Selling Parties’ and the Company’s compliance with, the Ancillary Agreements to which each of them are parties, and consummation by the Selling Parties and the Company of the transactions contemplated hereby and thereby (including the assignment of the Bonn License Agreement to the Company) do not and will not conflict or will conflict with, alter or impair, any of Purchaser’s or its Affiliates’, or the Selling Parties’ or their respective Affiliates’, rights in, to or under any Company IP or the validity, enforceability, right to practice or use, registration, right to register, license, assign or transfer, ownership, priority, duration, scope or effectiveness of any of the Company IP or otherwise trigger any additional payment obligations with respect to, any of the Company IP.</w:t>
      </w:r>
    </w:p>
    <w:p>
      <w:pPr>
        <w:spacing w:after="0" w:line="80" w:lineRule="exact"/>
        <w:rPr>
          <w:rFonts w:ascii="Times New Roman" w:cs="Times New Roman" w:eastAsia="Times New Roman" w:hAnsi="Times New Roman"/>
          <w:sz w:val="18"/>
          <w:szCs w:val="18"/>
          <w:color w:val="auto"/>
        </w:rPr>
      </w:pPr>
    </w:p>
    <w:p>
      <w:pPr>
        <w:ind w:right="80" w:firstLine="987"/>
        <w:spacing w:after="0" w:line="266" w:lineRule="auto"/>
        <w:tabs>
          <w:tab w:leader="none" w:pos="129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inventions, Intellectual Property or technological improvements (i) that constitute Company IP, (ii) that were created or developed by any consultant providing services to the Selling Parties or any of their respective Affiliates, and (iii) with respect to which any party other than the Selling Parties would have any rights or entitlements (including under the German Act Employee Inventions).</w:t>
      </w:r>
    </w:p>
    <w:p>
      <w:pPr>
        <w:spacing w:after="0" w:line="67"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IT Systems are in good working condition and are sufficient for the operation of the Company’s Business as currently conducted and as contemplated to be conducted. There has been no material malfunction, failure, continued substandard performance, denial-of-service, or other cyber or security incident, including any cyberattack, or other impairment of the Company IT Systems that has resulted or is reasonably likely to result in material disruption or damage to the Company Business or the Bonn License Activities that has not been remediated in all respects. The Selling Parties and their respective Affiliates have taken all reasonable steps and implemented industry standard procedures to safeguard the confidentiality, availability, security, and integrity of the Company IT Systems, including implementing and maintaining appropriate backup, disaster recovery, and Software and hardware support arrangements.</w:t>
      </w:r>
    </w:p>
    <w:p>
      <w:pPr>
        <w:spacing w:after="0" w:line="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 The Company, the Selling Parties and their respective Affiliates are in material compliance with all Laws, applicable Contracts and applicable policies of each of the Company, Selling Parties or any of their Affiliates relating to the collection, use, disclosure, retention, protection or processing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with “</w:t>
      </w:r>
      <w:r>
        <w:rPr>
          <w:rFonts w:ascii="Times New Roman" w:cs="Times New Roman" w:eastAsia="Times New Roman" w:hAnsi="Times New Roman"/>
          <w:sz w:val="18"/>
          <w:szCs w:val="18"/>
          <w:b w:val="1"/>
          <w:bCs w:val="1"/>
          <w:color w:val="auto"/>
        </w:rPr>
        <w:t>Processed</w:t>
      </w:r>
      <w:r>
        <w:rPr>
          <w:rFonts w:ascii="Times New Roman" w:cs="Times New Roman" w:eastAsia="Times New Roman" w:hAnsi="Times New Roman"/>
          <w:sz w:val="18"/>
          <w:szCs w:val="18"/>
          <w:color w:val="auto"/>
        </w:rPr>
        <w:t>” having a consistent meaning) of Personal Data or Company Confidential Information (collectively, the “</w:t>
      </w:r>
      <w:r>
        <w:rPr>
          <w:rFonts w:ascii="Times New Roman" w:cs="Times New Roman" w:eastAsia="Times New Roman" w:hAnsi="Times New Roman"/>
          <w:sz w:val="18"/>
          <w:szCs w:val="18"/>
          <w:b w:val="1"/>
          <w:bCs w:val="1"/>
          <w:color w:val="auto"/>
        </w:rPr>
        <w:t>Data Protection Requirements</w:t>
      </w:r>
      <w:r>
        <w:rPr>
          <w:rFonts w:ascii="Times New Roman" w:cs="Times New Roman" w:eastAsia="Times New Roman" w:hAnsi="Times New Roman"/>
          <w:sz w:val="18"/>
          <w:szCs w:val="18"/>
          <w:color w:val="auto"/>
        </w:rPr>
        <w:t>”), and each of the Selling Parties and their respective Affiliates is in material compliance with all Data Protection Requirements in connection with the Company Business and the Bonn License Activities. None of the Selling Parties, any of their respective Affiliates or the Company has received any notice from any Governmental Authority, other data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75" w:name="page676"/>
    <w:bookmarkEnd w:id="67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protection Authority or data subject alleging non-compliance with any Data Protection Requirement; and (b) the Processing of Personal Data by any of the Selling Parties, any of their respective Affiliates or the Company has not been the subject of any Actions (whether of a criminal, civil or administrative nature) and to the Selling Parties’ Knowledge, there are no facts or circumstances which could form the basis for any such an Action. The Company, the Selling Parties and their respective Affiliates have implemented and maintained reasonable administrative, technical, physical and contractual measures to protect Personal Data and Company Confidential Information from unauthorized Processing, loss or destruction, and to ensure compliance with Data Protection Requirements, including in their arrangements with service providers that process Personal Data on their behalf. With respect to any Personal Data Processed in connection with the Company Business or the Bonn License Activities, the Selling Parties and their respective Affiliates have also implemented and maintained reasonable administrative, technical, physical and contractual measures to protect Personal Data and Company Confidential Information from unauthorized Processing, loss or destruction, and to ensure compliance with Data Protection Requirements, including in its arrangements with service providers that process Personal Data on its behalf.</w:t>
      </w:r>
    </w:p>
    <w:p>
      <w:pPr>
        <w:spacing w:after="0" w:line="8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Transactions with Certain Persons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no Related Party has or has had, either directly or indirectly, a material interest in: (a) any Person that purchases from or sells, licenses or furnishes to the Company or any of the Selling Parties or any of their respective Affiliates any material goods, property, technology, Intellectual Property or other property rights, or renders any services to the Company any of the Selling Parties or any of their respective Affiliates in relation to the Company Business, (b) any Contract in relation to the Company Business to which the Company any of the Selling Parties or any of their respective Affiliates is a party or by which it is bound or to which any of its properties or assets is subject, or (c) any property or right, tangible or intangible, that is used by the Company or any of the Selling Parties or any of their respective Affiliates in relation to the Company Business.</w:t>
      </w:r>
    </w:p>
    <w:p>
      <w:pPr>
        <w:spacing w:after="0" w:line="8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sets forth a complete and accurate list of all insurance policies of the Company of any kind currently in force and effect, including any policies which cover the Company or its managers, directors or officers. Complete and accurate copies of such insurance policies have been Delivered to Purchaser. There is no claim pending under any such policies. All such insurance policies insure the Company in reasonably sufficient amounts against normal risks usually insured against by Persons operating businesses similar to the Company Business, and are sufficient for compliance with Law and for compliance with any obligations under any Contract of the Company. Each such policy is valid and binding, and is or has been, as applicable, in effect during the entire policy period stated therefor. The Company does not have any self-insurance or co-insurance programs. The Company is not in Default under any provision of any such insurance policy and the Company has not received any written notice of cancellation, modification or nonrenewal of any such insurance.</w:t>
      </w:r>
    </w:p>
    <w:p>
      <w:pPr>
        <w:spacing w:after="0" w:line="8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none of the Selling Parties nor any of their respective Representatives or Affiliates or the Company has entered into any Contract with any broker, finder or similar agent or any Person that will result in an obligation of Purchaser or any of its respective Affiliates or the Company to pay any finder’s fee, brokerage fees or commission or similar payment in connection with the transactions contemplated by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676" w:name="page677"/>
    <w:bookmarkEnd w:id="676"/>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3.22 </w:t>
      </w:r>
      <w:r>
        <w:rPr>
          <w:rFonts w:ascii="Times New Roman" w:cs="Times New Roman" w:eastAsia="Times New Roman" w:hAnsi="Times New Roman"/>
          <w:sz w:val="18"/>
          <w:szCs w:val="18"/>
          <w:u w:val="single" w:color="auto"/>
          <w:color w:val="auto"/>
        </w:rPr>
        <w:t>Powers of Attorney</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3.22</w:t>
      </w:r>
      <w:r>
        <w:rPr>
          <w:rFonts w:ascii="Times New Roman" w:cs="Times New Roman" w:eastAsia="Times New Roman" w:hAnsi="Times New Roman"/>
          <w:sz w:val="18"/>
          <w:szCs w:val="18"/>
          <w:color w:val="auto"/>
        </w:rPr>
        <w:t xml:space="preserve"> is a complete and accurate list of the persons to whom the Company has granted general or specific powers of attorney, whether or not registered.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The Company does not maintain any bank accounts.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29"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Purchaser hereby represents and warrants to the Selling Parties, as of the date hereof, as follows, with each such representation and warranty subject to the exceptions set forth in the correspondingly numbered section of any disclosure letter delivered by Purchaser to the Sellers in connection with the execution of this Agreement: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Purchaser is a corporation duly incorporated, validly existing and in good standing under the laws of the state of Delaware.</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Purchaser has all requisite corporate power and authority, and has taken all corporate action necessary, to execute, deliver and perform its obligations under this Agreement and the Ancillary Agreements to which it is a party and to consummate the transactions contemplated to be consummated by it hereunder and thereunder. This Agreement has been, and the Ancillary Agreements to which Purchaser is a party are duly executed and delivered by Purchaser, and, assuming the due authorization, execution and delivery by the other parties hereto and thereto, is the legal, valid and binding obligation of Purchaser, enforceable against Purchaser in accordance with their respective terms, except as enforcement may be limited by the Enforceability Exceptions.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Purchaser of and Purchaser’s compliance with this Agreement and the Ancillary Agreements to which it is a party and the consummation by Purchaser of the transactions contemplated hereby and thereby do not and will not (i) violate or conflict with the organizational documents of Purchaser, or (ii) conflict with or constitute a Default under any Laws or Permits applicable to Purchaser, except for any such violation or Default that would not materially affect Purchaser’s ability to perform any of its obligations under this Agreement or the Ancillary Agreements to which it is a party or consummate the transactions contemplated hereby or thereby.</w:t>
      </w:r>
    </w:p>
    <w:p>
      <w:pPr>
        <w:spacing w:after="0" w:line="7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declaration to, or filing or registration with, any Governmental Authority or any other Person is required to be made, obtained or given by Purchaser in connection with the execution, delivery and performance by Purchaser of this Agreement or the Ancillary Agreements to which it is a party or the consummation by Purchaser of the transactions to be consummated by it hereunder or thereunder.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677" w:name="page678"/>
    <w:bookmarkEnd w:id="677"/>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Neither Purchaser nor any of its Affiliates has entered into any Contract with any broker, finder or similar agent or any Person that will result in the obligation of any of the Selling Parties or any of their respective Affiliates to pay any finder’s fee, brokerage fees or commission or similar payment in connection with the transactions contemplated by this Agreement.</w:t>
      </w:r>
    </w:p>
    <w:p>
      <w:pPr>
        <w:spacing w:after="0" w:line="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All Purchaser Non-Voting Common Stock to be issued as Shares hereunder will be, when issued on the terms and conditions of this Agreement, duly authorized, validly issued, fully paid and nonassessable and not subject to or issued in violation of any purchase option, call option, right of first refusal, preemptive right, subscription right or any similar right under any provision of the certificate of incorporation or bylaws of Purchaser, as amended or restated from time to time. Purchaser has reserved out of its authorized capital stock a sufficient number of shares of Purchaser Non-Voting Common Stock to issue such Purchaser Non-Voting Common Stock at the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p>
    <w:p>
      <w:pPr>
        <w:spacing w:after="0" w:line="113" w:lineRule="exact"/>
        <w:rPr>
          <w:sz w:val="20"/>
          <w:szCs w:val="20"/>
          <w:color w:val="auto"/>
        </w:rPr>
      </w:pPr>
    </w:p>
    <w:p>
      <w:pPr>
        <w:jc w:val="both"/>
        <w:ind w:right="580" w:firstLine="987"/>
        <w:spacing w:after="0" w:line="268" w:lineRule="auto"/>
        <w:tabs>
          <w:tab w:leader="none" w:pos="123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the Confidentiality Agreement, dated as of December 13, 2021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between Purchaser and IFM Therapeutics, LLC, shall terminate and shall be of no further force or effect with no surviving obligations restricting Purchaser.</w:t>
      </w:r>
    </w:p>
    <w:p>
      <w:pPr>
        <w:spacing w:after="0" w:line="66"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(a) hereof, from the Closing Date until the later of (1) ten years following the Closing Date and (2) the payment of the final Milestone Payment contemplated hereunder (the “</w:t>
      </w:r>
      <w:r>
        <w:rPr>
          <w:rFonts w:ascii="Times New Roman" w:cs="Times New Roman" w:eastAsia="Times New Roman" w:hAnsi="Times New Roman"/>
          <w:sz w:val="18"/>
          <w:szCs w:val="18"/>
          <w:b w:val="1"/>
          <w:bCs w:val="1"/>
          <w:color w:val="auto"/>
        </w:rPr>
        <w:t>Confidentiality Period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80" w:firstLine="1428"/>
        <w:spacing w:after="0" w:line="252" w:lineRule="auto"/>
        <w:tabs>
          <w:tab w:leader="none" w:pos="1647"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Selling Parties shall, and shall cause their respective Affiliates and Representatives to, (x) treat and hold as confidential, and not disclose or provide access to any Person (other than the Selling Parties’ Affiliates and Representatives on a need-to-know basis for the purpose of performing their respective obligations or exercising their respective rights under this Agreement or any Ancillary Agreement) the Purchaser Confidential Information and (y) not use any of the Purchaser Confidential Information for any purpose other than to perform their respective obligations or exercise their respective rights under this Agreement or the Ancillary Agreements or, to the extent such Purchaser Confidential Information is not exclusively related to the Company Business, for such Selling Party’s internal research and development activities. In the event that during the Confidentiality Period, any of the Selling Parties or any of their respective Affiliates or Representatives becomes legally compelled to disclose any such Purchaser Confidential Information, (A) such Selling Party or its respective Affiliate shall provide Purchaser with prompt written notice of such requirement so that Purchaser may seek a protective order or other remedy or waive compliance with this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(and, if Purchaser seeks such a protective order or other remedy, the Selling Parties shall, and shall cause their respective Affiliates and Representatives to, reasonably cooperate with Purchaser’s efforts related thereto) and (B) in the event that such protective order or other remedy is not obtained, or Purchaser waives compliance with this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the Selling Party or its respective Affiliate so compelled to disclose Purchaser Confidential Information shall furnish only that portion of such Purchaser Confidential Information that is legally required to be provided and exercise its commercially reasonable efforts to obtain assurances that confidential treatment will be accorded such information; and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678" w:name="page679"/>
    <w:bookmarkEnd w:id="678"/>
    <w:p>
      <w:pPr>
        <w:ind w:left="4" w:firstLine="1428"/>
        <w:spacing w:after="0" w:line="253" w:lineRule="auto"/>
        <w:tabs>
          <w:tab w:leader="none" w:pos="1701"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Purchaser shall, and shall cause its respective Affiliates and Representatives to, (x) treat and hold as confidential, and not disclose or provide access to any Person (other than Purchaser’s Affiliates and Representatives on a need-to-know basis for the purpose of performing its obligations or exercising its rights under this Agreement or any Ancillary Agreement) the Selling Parties Confidential Information and (y) not use any of the Selling Parties Confidential Information for any purpose other than to perform its obligations or exercise its rights under this Agreement or the Ancillary Agreements. In the event that during the Confidentiality Period, Purchaser or any of its Affiliates or Representatives becomes legally compelled to disclose any such Selling Parties Confidential Information, (A) Purchaser or its Affiliate shall provide such Selling Party with prompt written notice of such requirement so that such Selling Party may seek a protective order or other remedy or waive compliance with this </w:t>
      </w:r>
      <w:r>
        <w:rPr>
          <w:rFonts w:ascii="Times New Roman" w:cs="Times New Roman" w:eastAsia="Times New Roman" w:hAnsi="Times New Roman"/>
          <w:sz w:val="18"/>
          <w:szCs w:val="18"/>
          <w:u w:val="single" w:color="auto"/>
          <w:color w:val="auto"/>
        </w:rPr>
        <w:t>Section 5.1(b)</w:t>
      </w:r>
    </w:p>
    <w:p>
      <w:pPr>
        <w:spacing w:after="0" w:line="2"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49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if such Selling Party seeks such a protective order or other remedy, Purchaser shall, and shall cause its Affiliates and Representatives to, reasonably cooperate with such Selling Party’s efforts related thereto) and (B) in the event that such protective order or other remedy is not obtained, or such Selling Party waives compliance with this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Purchaser or its Affiliate so compelled to disclose Confidential Information shall furnish only that portion of such Selling Parties Confidential Information that is legally required to be provided and exercise its commercially reasonable efforts to obtain assurances that confidential treatment will be accorded such information.</w:t>
      </w:r>
    </w:p>
    <w:p>
      <w:pPr>
        <w:spacing w:after="0" w:line="79"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Neither the Selling Parties nor any of their respective Affiliates or Representatives shall issue a press release or public announcement or otherwise make any public disclosure concerning this Agreement or the subject matter or terms and conditions of this Agreement or the transactions contemplated hereby without the prior written approval of Purchaser.</w:t>
      </w:r>
    </w:p>
    <w:p>
      <w:pPr>
        <w:spacing w:after="0" w:line="68"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The Selling Parties shall cause all amounts owed by or to the Company, on the one hand, to or by any of the Selling Parties or their respective Affiliates (other than the Company), on the other hand, prior to the Closing to be paid in full or deemed cancelled prior to the Closing.</w:t>
      </w:r>
    </w:p>
    <w:p>
      <w:pPr>
        <w:spacing w:after="0" w:line="68"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Missing Assets</w:t>
      </w:r>
      <w:r>
        <w:rPr>
          <w:rFonts w:ascii="Times New Roman" w:cs="Times New Roman" w:eastAsia="Times New Roman" w:hAnsi="Times New Roman"/>
          <w:sz w:val="18"/>
          <w:szCs w:val="18"/>
          <w:color w:val="auto"/>
        </w:rPr>
        <w:t>. If Purchaser reasonably determines that any Company Asset has not been assigned, licensed or otherwise transferred or made available to the Company or Purchaser as contemplated hereunder or in any Ancillary Agreement, Purchaser shall notify the Selling Parties of such determination, which notice shall be in writing and shall include a reasonably detailed description of the applicable Company Asset. In such event, to the extent Purchaser reasonably believes such Company Asset is exclusively related to the Company Business, the Selling Parties shall, and shall cause their respective Affiliates to, use commercially reasonable efforts to transfer, convey, assign, including providing physical delivery thereof, to Purchaser or the Company as promptly as practicable at no additional cost (subject to the receipt of any required consents of Third Parties and on the terms and subject to the conditions of this Agreement), such Company Asset, including on the terms set forth on Exhibit B. For any Company Asset not exclusively related, but in the Purchaser’s reasonable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4"/>
          </w:cols>
          <w:pgMar w:left="436" w:top="270" w:right="439" w:bottom="1440" w:gutter="0" w:footer="0" w:header="0"/>
        </w:sectPr>
      </w:pPr>
    </w:p>
    <w:bookmarkStart w:id="679" w:name="page680"/>
    <w:bookmarkEnd w:id="67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determination, used in, reasonably useful for or necessary to, the Company Business as currently conducted or contemplated to be conducted, the Selling Parties shall (i) provide a copy of, or a reasonable share of any physical quantities of, such Company Asset and (ii) to the extent not covered by the License Agreement do hereby grant to Purchaser and its Affiliates (including the Company) an exclusive (with respect to the conduct of the Company Business or other Exploitation of MDA5 Compounds or NLRP1 Compounds, and otherwise non-exclusive), royalty-free, fully paid up, irrevocable, perpetual, worldwide, transferrable, sublicensable (through multiple levels), right and license to use and Exploit and otherwise fully exercise all intellectual property rights in, to or under each such Company Asset. The Selling Parties shall use all commercially reasonable efforts to secure any and all necessary rights from their respective Affiliates to grant to Purchaser and its Affiliates the rights and licenses under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To the extent such Company Assets cannot be transferred, conveyed, assigned, or licensed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and until such Company Assets are transferred, conveyed, assigned or licensed, the Selling Parties will cooperate with Purchaser to establish an agency type or any other similar arrangement reasonably acceptable to Purchaser and the Selling Parties intended to both (i) provide Purchaser or its Affiliates, to the fullest extent practicable, the claims, rights and benefits of any such Company Asset, and (ii) cause Purchaser to bear all costs and Liabilities thereunder from and after the Closing in accordance with this Agreement (including by means of any subcontracting, sublicensing or subleasing arrangement).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POST-CLOSING COVENANTS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The Selling Parties shall ensure that all information reasonably necessary for any filings, notices, petitions, submissions, statements, registrations, submissions of information, applications or submissions of other documents required by any Governmental Authority in connection with the transactions contemplated hereby has been transferred to Purchaser at the Closing.</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40" w:firstLine="987"/>
        <w:spacing w:after="0" w:line="266" w:lineRule="auto"/>
        <w:tabs>
          <w:tab w:leader="none" w:pos="123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Without limiting any of the other provisions of this Section 6.1, the Parties shall cooperate fully, as and to the extent reasonably requested by any of them, in connection with the filing of Tax Returns pursuant to this Agreement and any audit, litigation or other proceeding with respect to Taxes. The party requesting such cooperation will pay the reasonable out-of-pocket expenses of the other party.</w:t>
      </w:r>
    </w:p>
    <w:p>
      <w:pPr>
        <w:spacing w:after="0" w:line="67"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and other such Taxes, and any conveyance fees, recording charges and other fees and charges (including any penalties and interest) incurred in connection with consummation of the transactions contemplated hereby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if any, shall be borne and paid by the Sellers. The Sellers or Purchaser (as required by Law) shall prepare and timely file (or cause to be prepared and timely filed) at its own expense all Tax Returns required to be filed in respect of any such Taxes.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80" w:name="page681"/>
    <w:bookmarkEnd w:id="680"/>
    <w:p>
      <w:pPr>
        <w:ind w:right="280" w:firstLine="987"/>
        <w:spacing w:after="0" w:line="261" w:lineRule="auto"/>
        <w:tabs>
          <w:tab w:leader="none" w:pos="123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U.S. federal income tax purposes (and for applicable state, local and foreign tax purposes), Purchaser and Sellers agree to treat Purchaser’s purchase of the Interests in the manner required by Revenue Ruling 99-6 such that the Company is deemed to make a liquidating distribution of its assets to the Sellers and the Purchaser is deemed to acquire, by purchase from the Sellers, all of the Company’s assets immediately following the deemed distribution.</w:t>
      </w:r>
    </w:p>
    <w:p>
      <w:pPr>
        <w:spacing w:after="0" w:line="7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Delivery of Virtual Data Room Electronic Copy</w:t>
      </w:r>
      <w:r>
        <w:rPr>
          <w:rFonts w:ascii="Times New Roman" w:cs="Times New Roman" w:eastAsia="Times New Roman" w:hAnsi="Times New Roman"/>
          <w:sz w:val="18"/>
          <w:szCs w:val="18"/>
          <w:color w:val="auto"/>
        </w:rPr>
        <w:t>. Promptly following the Closing Date, the Sellers shall deliver to Purchaser a CD or other electronic storage device containing the complete and accurate contents, as of the date three Business Days prior to the Closing Date, of the electronic documentation site established on behalf of the Sellers in connection with the transactions contemplated hereby.</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inducement to Purchaser to enter into this Agreement and each of the Ancillary Agreements to which it is a party and consummate the transactions contemplated hereby and thereby and for other good and sufficient consideration, each of the Selling Parties, with the intention of binding itself and such Selling Parties’ Representatives, Affiliates, heirs, executors, administrators, assigns and any other Person claiming by, through or under any of the foregoing (the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does hereby as of the Closing unconditionally and irrevocably release, acquit and forever discharge Purchaser and each of its past, present and future Affiliates and Representatives, including the Company, and all Persons acting by, through, under, or in concert with such Persons (the “</w:t>
      </w:r>
      <w:r>
        <w:rPr>
          <w:rFonts w:ascii="Times New Roman" w:cs="Times New Roman" w:eastAsia="Times New Roman" w:hAnsi="Times New Roman"/>
          <w:sz w:val="18"/>
          <w:szCs w:val="18"/>
          <w:b w:val="1"/>
          <w:bCs w:val="1"/>
          <w:color w:val="auto"/>
        </w:rPr>
        <w:t>Releasees</w:t>
      </w:r>
      <w:r>
        <w:rPr>
          <w:rFonts w:ascii="Times New Roman" w:cs="Times New Roman" w:eastAsia="Times New Roman" w:hAnsi="Times New Roman"/>
          <w:sz w:val="18"/>
          <w:szCs w:val="18"/>
          <w:color w:val="auto"/>
        </w:rPr>
        <w:t>”), of and from any and all actions, causes of action, suits, arbitrations, other Actions, demands, debts, Contracts, agreements, promises, Liabilities and Damages of any nature whatsoever, known or unknown, suspected or unsuspected, fixed or contingent, direct, derivative, vicarious or otherwise, whether based in contract, tort, or other legal, statutory, or equitable theory of recovery, each as though fully set forth at length herein (collectively,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the Releasors now have or may hereafter have against the Releasees, or any of them, by reason of any matter, cause, act, omission or thing whatsoever in any way arising out of, based upon, or relating to such Seller’s ownership of Interests, the organization of the Company, the operation of the Company Business prior to the Closing, including any employment-related obligations or liabilities, which for the avoidance of doubt shall include any obligations or liabilities arising from the treatment of employees of IFM GmbH or any of its Affiliates or arrangements with such employees as set forth herein pursuant to the Acquired Rights Directive (2001/23/EC) and its implementation in German law pursuant to Section 613a German Civil Code or otherwise (the “</w:t>
      </w:r>
      <w:r>
        <w:rPr>
          <w:rFonts w:ascii="Times New Roman" w:cs="Times New Roman" w:eastAsia="Times New Roman" w:hAnsi="Times New Roman"/>
          <w:sz w:val="18"/>
          <w:szCs w:val="18"/>
          <w:b w:val="1"/>
          <w:bCs w:val="1"/>
          <w:color w:val="auto"/>
        </w:rPr>
        <w:t>Released Matters</w:t>
      </w:r>
      <w:r>
        <w:rPr>
          <w:rFonts w:ascii="Times New Roman" w:cs="Times New Roman" w:eastAsia="Times New Roman" w:hAnsi="Times New Roman"/>
          <w:sz w:val="18"/>
          <w:szCs w:val="18"/>
          <w:color w:val="auto"/>
        </w:rPr>
        <w:t xml:space="preserve">”); provided, however, that nothing set forth in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shall affect the ability of any Seller to enforce its rights and remedies under this Agreement in accordance with the terms hereof. The Selling Parties expressly consent that this general release shall be given full force and effect according to each and all of its express terms and provisions, including those relating to unknown and unsuspected Released Matters (notwithstanding any Law that expressly limits the effectiveness of a general release of unknown, unsuspected or unanticipated Claims). Notwithstanding the foregoing, nothing in this Agreement or any Ancillary Agreement to which Purchaser is a party shall be interpreted to release Purchaser from any of its obligations to the Selling Parties under this Agreement or any Ancillary Agreement to which Purchaser is a party.</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681" w:name="page682"/>
    <w:bookmarkEnd w:id="681"/>
    <w:p>
      <w:pPr>
        <w:ind w:right="240" w:firstLine="987"/>
        <w:spacing w:after="0" w:line="258" w:lineRule="auto"/>
        <w:tabs>
          <w:tab w:leader="none" w:pos="124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Selling Parties represents and warrants to Purchaser that there has been no assignment or other transfer of any interest in any Claim arising out of or based upon any of the Released Matters which any such Selling Party may have against any of the Releasees, and each Selling Party agrees to indemnify and hold the Releasees harmless from, and compensate and reimburse them for, any Liability, Claims or Damages incurred as a result of any Person asserting any such assignment or transfer of any rights or Claims under any such assignment or transfer from such party.</w:t>
      </w:r>
    </w:p>
    <w:p>
      <w:pPr>
        <w:spacing w:after="0" w:line="75" w:lineRule="exact"/>
        <w:rPr>
          <w:rFonts w:ascii="Times New Roman" w:cs="Times New Roman" w:eastAsia="Times New Roman" w:hAnsi="Times New Roman"/>
          <w:sz w:val="18"/>
          <w:szCs w:val="18"/>
          <w:color w:val="auto"/>
        </w:rPr>
      </w:pPr>
    </w:p>
    <w:p>
      <w:pPr>
        <w:ind w:right="180" w:firstLine="987"/>
        <w:spacing w:after="0" w:line="255" w:lineRule="auto"/>
        <w:tabs>
          <w:tab w:leader="none" w:pos="123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Party represents and warrants to Purchaser that neither it nor any of its Affiliates has filed, and such Selling Party shall not, and shall cause its Affiliates not to, file or otherwise seek to assert or assist any other Person in filing or otherwise seeking to assert, nor as of the date hereof has, any Claim arising out of or based upon any of the Released Matters against any of the Releasees. Each Selling Party agrees that if it hereafter commences, joins in, or in any manner seeks relief through any Action arising out of, based upon, or relating to any of the Claims released hereunder, or in any manner asserts against the Releasees any of the Claims released hereunder, including through any motion to reconsider, reopen or appeal the dismissal of the Action, then such Selling Party shall pay to the Releasees against whom such Claim(s) is asserted all Damages incurred by such Releasees in defending or otherwise responding to such Claim.</w:t>
      </w:r>
    </w:p>
    <w:p>
      <w:pPr>
        <w:spacing w:after="0" w:line="80"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Releasors also releases (i) the Business Employees from all restrictive covenants in favor of any Releasor or Releasor-affiliated entity and (ii) Purchaser, its Affiliates’ and Purchaser’s and its Affiliates’ respective employees, directors and officers, in their respective capacities as employees, directors or officers and in their individual capacities, from all (x) non-compete restrictive covenants in favor of any Releasor or Releasor-affiliated entity with respect to the Company Business and (y) no-solicitation and no-hire covenants in favor of any Releasor or Releasor-affiliated entity.</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Non-Competition; Non-Solicitation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until the [***] anniversary of the Closing Date, the Selling Parties shall not, and shall cause their respective Affiliates not to, directly or indirectly, (i) participate or engage in or (ii) own, manage, operate, or control any Person, or allow any of its members, managers, directors, officers, employees or agents to serve as a member, manager, director, officer, employee or agent of, or as a consultant, contractor or advisor to, any Person (other than Purchaser and its Affiliates) that participates or engages in, a Competing Business; provided, however, that nothing herein shall prevent the Selling Parties or any of their respective Affiliates from acquiring, solely as a passive investment and through market purchases, less than five percent of the outstanding equity securities of any Person engaged in a Competing Business to the extent that (A) such equity securities are traded on a national securities exchange or on the over-the-counter market and (B) none of the Selling Parties or any of their respective Affiliates is part of any control group of such Person or has any role in the governance of such Person.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682" w:name="page683"/>
    <w:bookmarkEnd w:id="682"/>
    <w:p>
      <w:pPr>
        <w:ind w:left="4" w:right="20" w:firstLine="987"/>
        <w:spacing w:after="0" w:line="268" w:lineRule="auto"/>
        <w:tabs>
          <w:tab w:leader="none" w:pos="1250" w:val="left"/>
        </w:tabs>
        <w:numPr>
          <w:ilvl w:val="1"/>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Closing until the [***] anniversary of the Closing Date, the Selling Parties shall not, and shall cause their respective Affiliates not to, directly or indirectly, hire or solicit for employment any Person who at such time is or during the immediately preceding six months was employed by or provided services to the Company or provided services supporting the businesses of Purchaser or its Affiliates (a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or influence, entice or encourage any Restricted Person to terminate such Person’s employment or contractor relationship with Purchaser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its Affiliates (including the Company); provided that these prohibitions shall not apply to (i) solicitations made to the public or the industry generally through advertising or electronic listing which are not targeted at employees of Purchaser or any of its Affiliates (including the Company) or</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hiring any person in connection with solicitations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who was not otherwise solicited in breach of this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4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Selling Parties hereby agree that the covenants set forth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are reasonable in duration and scope and are reasonable and necessary to protect the benefits received by Purchaser pursuant to this Agreement and the transactions contemplated hereby.</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6" w:lineRule="auto"/>
        <w:tabs>
          <w:tab w:leader="none" w:pos="124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agrees and understands that the Shares are passive, non-voting shares of Purchaser Non-Voting Common Stock and such Seller is not entitled to any right to direct or cause the direction of the management or policies of Purchaser through the ownership of voting securities or otherwise.</w:t>
      </w:r>
    </w:p>
    <w:p>
      <w:pPr>
        <w:spacing w:after="0" w:line="67"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understands and agrees that, but for the waiver made herein, such Seller would be entitled, upon written demand under oath stating the purpose thereof, to inspect for any proper purpose, and to make copies and extracts from, Purchaser’s stock ledger, a list of its stockholders, and its other books and records, and the books and records of subsidiaries of Purchaser, if any, under the circumstances and in the manner provided in Section 220 of the Delaware General Corporation Law (any and all such rights, and any and all such other rights of Purchaser as may be provided for in Section 220, the “</w:t>
      </w:r>
      <w:r>
        <w:rPr>
          <w:rFonts w:ascii="Times New Roman" w:cs="Times New Roman" w:eastAsia="Times New Roman" w:hAnsi="Times New Roman"/>
          <w:sz w:val="18"/>
          <w:szCs w:val="18"/>
          <w:b w:val="1"/>
          <w:bCs w:val="1"/>
          <w:color w:val="auto"/>
        </w:rPr>
        <w:t>Inspection Rights</w:t>
      </w:r>
      <w:r>
        <w:rPr>
          <w:rFonts w:ascii="Times New Roman" w:cs="Times New Roman" w:eastAsia="Times New Roman" w:hAnsi="Times New Roman"/>
          <w:sz w:val="18"/>
          <w:szCs w:val="18"/>
          <w:color w:val="auto"/>
        </w:rPr>
        <w:t>”). Seller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w:t>
      </w:r>
    </w:p>
    <w:p>
      <w:pPr>
        <w:spacing w:after="0" w:line="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Securities Laws; Restrictions on Transfer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60" w:firstLine="987"/>
        <w:spacing w:after="0" w:line="281" w:lineRule="auto"/>
        <w:tabs>
          <w:tab w:leader="none" w:pos="1240"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Seller agrees and understands that the Shares have not been, and will not be, registered under the Securities Act or the securities laws of any state or other Governmental Authority and that the Shares may be sold or disposed of only in one or more transactions (i) registered under the Securities Act, applicable state securities laws or the laws of any other applicable Governmental Authority or (ii) as to which an exemption from the registration requirements of the Securities Act, applicable state securities laws or the laws of any other applicable Governmental Authority is available.</w:t>
      </w:r>
    </w:p>
    <w:p>
      <w:pPr>
        <w:spacing w:after="0" w:line="56" w:lineRule="exact"/>
        <w:rPr>
          <w:rFonts w:ascii="Times New Roman" w:cs="Times New Roman" w:eastAsia="Times New Roman" w:hAnsi="Times New Roman"/>
          <w:sz w:val="17"/>
          <w:szCs w:val="17"/>
          <w:color w:val="auto"/>
        </w:rPr>
      </w:pPr>
    </w:p>
    <w:p>
      <w:pPr>
        <w:ind w:left="4" w:right="40" w:firstLine="987"/>
        <w:spacing w:after="0" w:line="261" w:lineRule="auto"/>
        <w:tabs>
          <w:tab w:leader="none" w:pos="125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agrees that for so long as any Shares are “restricted securities” within the meaning of Rule 144(a)(3) under the Securities Act, it will not, and will procure that its Affiliates do not, resell in the United States or to any U.S. Person, or to any person acting for the benefit or account of any U.S. Person, any Shares that have been acquired by any of them unless pursuant to registration under the Securities Act or pursuant to an available exemption from registration.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683" w:name="page684"/>
    <w:bookmarkEnd w:id="683"/>
    <w:p>
      <w:pPr>
        <w:ind w:firstLine="987"/>
        <w:spacing w:after="0" w:line="256" w:lineRule="auto"/>
        <w:tabs>
          <w:tab w:leader="none" w:pos="123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Seller agrees that he, she or it shall only sell, assign, transfer or otherwise dispose of shares of Purchaser Non-Voting Common Stock that it acquires in connection with this Agreement or subsequently acquires (i) in compliance with the organizational documents of Purchaser, any stockholder or other agreements to which the Seller is bound and this Agreement, and (ii) if, prior to such sale, assignment, transfer or other disposal, the applicable transferee signs a counterpart to this Agreement pursuant to which such transferee agrees to be bound by the terms of this Agreement and to be a “Seller” hereunder; provided that, any subsequent transfer of Purchaser Non-Voting Common Stock by any such transferee shall also be made pursuant to, and in accordance with, all of the provisions of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to the same extent as if each such transferee were a Seller.</w:t>
      </w:r>
    </w:p>
    <w:p>
      <w:pPr>
        <w:spacing w:after="0" w:line="79" w:lineRule="exact"/>
        <w:rPr>
          <w:rFonts w:ascii="Times New Roman" w:cs="Times New Roman" w:eastAsia="Times New Roman" w:hAnsi="Times New Roman"/>
          <w:sz w:val="18"/>
          <w:szCs w:val="18"/>
          <w:color w:val="auto"/>
        </w:rPr>
      </w:pPr>
    </w:p>
    <w:p>
      <w:pPr>
        <w:ind w:right="320" w:firstLine="987"/>
        <w:spacing w:after="0" w:line="266" w:lineRule="auto"/>
        <w:tabs>
          <w:tab w:leader="none" w:pos="124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agrees that, if requested by a holder of Purchaser Non-Voting Common Stock and no more than two (2) times per year, it shall provide such holder an accurate statement of the end of the most recent calendar quarter reflecting such holder’s outstanding equity interest in Purchaser, on a fully diluted basis.</w:t>
      </w:r>
    </w:p>
    <w:p>
      <w:pPr>
        <w:spacing w:after="0" w:line="6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Transfer Plan</w:t>
      </w:r>
      <w:r>
        <w:rPr>
          <w:rFonts w:ascii="Times New Roman" w:cs="Times New Roman" w:eastAsia="Times New Roman" w:hAnsi="Times New Roman"/>
          <w:sz w:val="18"/>
          <w:szCs w:val="18"/>
          <w:color w:val="auto"/>
        </w:rPr>
        <w:t>. The Selling Parties shall, and shall cause their respective Affiliates to, transfer all assets or property set forth on the Transfer Plan to Purchaser and its respective Affiliates within the time periods (and in any event no later than 30 days following Closing) and according to the procedures set forth in the Transfer Plan. Notwithstanding anything to the contrary in this Agreement, all assets, including [***] to be transferred pursuant to the Transfer Plan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be deemed to exclusively relate to the Company Business and shall be assigned to the Company pursuant to the relevant Ancillary Agreement; provided, however, if no later than June 3, 2022, the Selling Parties believe that any [***] is not exclusively related to the Company Business (each 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then (i) the Selling Parties may provide written notice to Purchaser to such effect, which notice shall include a list of any such [***] and (ii) only to the extent Purchaser agrees in writing, in its sole discretion, that any [***] is not exclusively related to the Company Business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then any such [***] shall no longer be deemed to exclusively relate to the Company Business and such [***] shall be added to Schedule 2 of the License Agreement and be subject to the terms of the License Agreement.</w:t>
      </w:r>
    </w:p>
    <w:p>
      <w:pPr>
        <w:spacing w:after="0" w:line="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Business Employees</w:t>
      </w:r>
      <w:r>
        <w:rPr>
          <w:rFonts w:ascii="Times New Roman" w:cs="Times New Roman" w:eastAsia="Times New Roman" w:hAnsi="Times New Roman"/>
          <w:sz w:val="18"/>
          <w:szCs w:val="18"/>
          <w:color w:val="auto"/>
        </w:rPr>
        <w:t>. From and after the Closing, none of the Business Employees shall perform any services for the Selling Parties or any of their respective Affiliates.</w:t>
      </w:r>
    </w:p>
    <w:p>
      <w:pPr>
        <w:spacing w:after="0" w:line="54"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Each of the Selling Parties shall notify Purchaser within one Business Day upon its receipt of: (i) any comments from any officials of any Governmental Authority in connection with any filings made related to the Company Business, (ii) any communications from any Person with respect to the Company Business or the Company Assets and (iii) any request by any officials of any Governmental Authority for amendments or supplements to any filings made pursuant to, or information provided to comply in all material respects with, any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84" w:name="page685"/>
    <w:bookmarkEnd w:id="68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the Obligations of Each Party</w:t>
      </w:r>
      <w:r>
        <w:rPr>
          <w:rFonts w:ascii="Times New Roman" w:cs="Times New Roman" w:eastAsia="Times New Roman" w:hAnsi="Times New Roman"/>
          <w:sz w:val="18"/>
          <w:szCs w:val="18"/>
          <w:color w:val="auto"/>
        </w:rPr>
        <w:t>. The respective obligations of the Selling Parties and Purchaser to consummate the transactions provided for hereby shall be subject to the satisfaction at or prior to the Closing Date of the following condition:</w:t>
      </w:r>
    </w:p>
    <w:p>
      <w:pPr>
        <w:spacing w:after="0" w:line="54" w:lineRule="exact"/>
        <w:rPr>
          <w:sz w:val="20"/>
          <w:szCs w:val="20"/>
          <w:color w:val="auto"/>
        </w:rPr>
      </w:pPr>
    </w:p>
    <w:p>
      <w:pPr>
        <w:ind w:right="100" w:firstLine="987"/>
        <w:spacing w:after="0" w:line="282" w:lineRule="auto"/>
        <w:tabs>
          <w:tab w:leader="none" w:pos="123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Governmental Authority of competent jurisdiction shall have enacted, issued, promulgated, enforced or entered any Order or Law that (i) is in effect and (ii) has the effect of prohibiting or preventing the consummation of the transactions contemplated hereby.</w:t>
      </w:r>
    </w:p>
    <w:p>
      <w:pPr>
        <w:spacing w:after="0" w:line="54" w:lineRule="exact"/>
        <w:rPr>
          <w:sz w:val="20"/>
          <w:szCs w:val="20"/>
          <w:color w:val="auto"/>
        </w:rPr>
      </w:pPr>
    </w:p>
    <w:p>
      <w:pPr>
        <w:ind w:right="2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Conditions to the Obligations of the Sellers</w:t>
      </w:r>
      <w:r>
        <w:rPr>
          <w:rFonts w:ascii="Times New Roman" w:cs="Times New Roman" w:eastAsia="Times New Roman" w:hAnsi="Times New Roman"/>
          <w:sz w:val="17"/>
          <w:szCs w:val="17"/>
          <w:color w:val="auto"/>
        </w:rPr>
        <w:t>. The obligations of the Selling Parties to consummate the transactions contemplated hereby are subject to the satisfaction, on or prior to the Closing Date, of each of the following conditions, any of which may be waived by the Selling Parties:</w:t>
      </w:r>
    </w:p>
    <w:p>
      <w:pPr>
        <w:spacing w:after="0" w:line="32" w:lineRule="exact"/>
        <w:rPr>
          <w:sz w:val="20"/>
          <w:szCs w:val="20"/>
          <w:color w:val="auto"/>
        </w:rPr>
      </w:pPr>
    </w:p>
    <w:p>
      <w:pPr>
        <w:ind w:right="40" w:firstLine="987"/>
        <w:spacing w:after="0" w:line="258" w:lineRule="auto"/>
        <w:tabs>
          <w:tab w:leader="none" w:pos="123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of Purchaser shall be true and correct as of the date hereof (except that those representations and warranties which address matters only as of a particular date need only be true and correct as of such date), except to the extent that the failure of such representations and warranties to be true and correct (without giving effect to any limitation as to “materiality” set forth therein) would not, individually or in the aggregate, materially and adversely affect Purchaser’s ability to consummate the transactions to be consummated by Purchaser hereunder.</w:t>
      </w:r>
    </w:p>
    <w:p>
      <w:pPr>
        <w:spacing w:after="0" w:line="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Purchaser shall have performed or complied in all material respects with all agreements, covenants and obligations required by this Agreement to be performed or complied with by it on or prior to the Closing Date.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 The Selling Parties shall have received the following:</w:t>
      </w:r>
    </w:p>
    <w:p>
      <w:pPr>
        <w:spacing w:after="0" w:line="117" w:lineRule="exact"/>
        <w:rPr>
          <w:rFonts w:ascii="Times New Roman" w:cs="Times New Roman" w:eastAsia="Times New Roman" w:hAnsi="Times New Roman"/>
          <w:sz w:val="18"/>
          <w:szCs w:val="18"/>
          <w:color w:val="auto"/>
        </w:rPr>
      </w:pPr>
    </w:p>
    <w:p>
      <w:pPr>
        <w:ind w:right="640" w:firstLine="1428"/>
        <w:spacing w:after="0" w:line="282" w:lineRule="auto"/>
        <w:tabs>
          <w:tab w:leader="none" w:pos="1647"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the Closing Date and executed and delivered by an officer (or similar authorized person) of Purchaser, certifying that each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have been satisfied;</w:t>
      </w:r>
    </w:p>
    <w:p>
      <w:pPr>
        <w:spacing w:after="0" w:line="53"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Consideration,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accurate copies of the Ancillary Agreements executed and delivered by the parties thereto;</w:t>
      </w:r>
    </w:p>
    <w:p>
      <w:pPr>
        <w:spacing w:after="0" w:line="117" w:lineRule="exact"/>
        <w:rPr>
          <w:rFonts w:ascii="Times New Roman" w:cs="Times New Roman" w:eastAsia="Times New Roman" w:hAnsi="Times New Roman"/>
          <w:sz w:val="18"/>
          <w:szCs w:val="18"/>
          <w:color w:val="auto"/>
        </w:rPr>
      </w:pPr>
    </w:p>
    <w:p>
      <w:pPr>
        <w:ind w:right="140" w:firstLine="1428"/>
        <w:spacing w:after="0" w:line="261" w:lineRule="auto"/>
        <w:tabs>
          <w:tab w:leader="none" w:pos="1737"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Purchaser’s board of directors (A) authorizing the execution and delivery of this Agreement and the consummation of the transactions contemplated hereby, (B) approving the issuance of the Shares to the Sellers in accordance with the terms of this Agreement, and (C) approving the entry into the electronic stock ledger of Purchaser the names of the Sellers as the holders of the Shares (when issued hereunder) and the making of such entries into other corporate records of Purchaser as may be necessary;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685" w:name="page686"/>
    <w:bookmarkEnd w:id="685"/>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such other documents or instruments as the Selling Parties reasonably request to consummate the transactions contemplated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9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the Obligations of Purchaser</w:t>
      </w:r>
      <w:r>
        <w:rPr>
          <w:rFonts w:ascii="Times New Roman" w:cs="Times New Roman" w:eastAsia="Times New Roman" w:hAnsi="Times New Roman"/>
          <w:sz w:val="18"/>
          <w:szCs w:val="18"/>
          <w:color w:val="auto"/>
        </w:rPr>
        <w:t>. The obligations of Purchaser to consummate the transactions contemplated hereby are subject to the satisfaction, on or prior to the Closing Date, of each of the following conditions, any of which may be waived by Purchaser:</w:t>
      </w:r>
    </w:p>
    <w:p>
      <w:pPr>
        <w:spacing w:after="0" w:line="54" w:lineRule="exact"/>
        <w:rPr>
          <w:sz w:val="20"/>
          <w:szCs w:val="20"/>
          <w:color w:val="auto"/>
        </w:rPr>
      </w:pPr>
    </w:p>
    <w:p>
      <w:pPr>
        <w:ind w:right="80" w:firstLine="987"/>
        <w:spacing w:after="0" w:line="258" w:lineRule="auto"/>
        <w:tabs>
          <w:tab w:leader="none" w:pos="123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 Each of the Fundamental Representations shall be true and correct in all respects as of the date hereof (except that those representations and warranties which address matters only as of a particular date need only be true and correct as of such date) and (ii) the representations and warranties of each Selling Party contained in this Agreement (other than the Fundamental Representations) shall be true and correct in all material respects as of the date hereof (except that those representations and warranties which address matters only as of a particular date need only be true and correct in all material respects as of such date).</w:t>
      </w:r>
    </w:p>
    <w:p>
      <w:pPr>
        <w:spacing w:after="0" w:line="75"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Each Selling Party shall have performed or complied in all material respects with all agreements, covenants and obligations required by this Agreement to be performed or complied with by such Selling Party on or prior to the Closing Date.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 Purchaser shall have received the following:</w:t>
      </w:r>
    </w:p>
    <w:p>
      <w:pPr>
        <w:spacing w:after="0" w:line="117" w:lineRule="exact"/>
        <w:rPr>
          <w:rFonts w:ascii="Times New Roman" w:cs="Times New Roman" w:eastAsia="Times New Roman" w:hAnsi="Times New Roman"/>
          <w:sz w:val="18"/>
          <w:szCs w:val="18"/>
          <w:color w:val="auto"/>
        </w:rPr>
      </w:pPr>
    </w:p>
    <w:p>
      <w:pPr>
        <w:ind w:right="160" w:firstLine="1428"/>
        <w:spacing w:after="0" w:line="282" w:lineRule="auto"/>
        <w:tabs>
          <w:tab w:leader="none" w:pos="1647"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and accurate Closing Financial Certificate, certified as such by the chief executive officer of Parent, containing such supporting documentation, information and calculations as are reasonably requested by Purchaser;</w:t>
      </w:r>
    </w:p>
    <w:p>
      <w:pPr>
        <w:spacing w:after="0" w:line="53"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executed United States Internal Revenue Service Form W-9 from each Seller and Management;</w:t>
      </w:r>
    </w:p>
    <w:p>
      <w:pPr>
        <w:spacing w:after="0" w:line="117" w:lineRule="exact"/>
        <w:rPr>
          <w:rFonts w:ascii="Times New Roman" w:cs="Times New Roman" w:eastAsia="Times New Roman" w:hAnsi="Times New Roman"/>
          <w:sz w:val="18"/>
          <w:szCs w:val="18"/>
          <w:color w:val="auto"/>
        </w:rPr>
      </w:pPr>
    </w:p>
    <w:p>
      <w:pPr>
        <w:ind w:right="280" w:firstLine="1428"/>
        <w:spacing w:after="0" w:line="282" w:lineRule="auto"/>
        <w:tabs>
          <w:tab w:leader="none" w:pos="1747"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resignations, effective as of the Closing, of all of the managers, directors and officers of the Company, in form and substance reasonably satisfactory to Purchaser;</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transfers, in form and substance reasonably satisfactory to Purchaser, duly executed by the registered holder thereof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 of Purchaser;</w:t>
      </w:r>
    </w:p>
    <w:p>
      <w:pPr>
        <w:spacing w:after="0" w:line="98"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the Closing Date and executed and delivered by a director (or similar authorized person) of each of the Selling Parties, certifying that each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Closing Date and executed and delivered by a director (or similar authorized person) of each Selling</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certifying: (A) that attached thereto are the organizational documents of the Company as in effect at the time of the Closing, (B) that attached thereto are the resolutions (or similar authorizing documents) of such Selling Party authorizing the execution, delivery and performance of this Agreement and the transactions contemplated by this Agreement, and all such resolutions (or similar authorizing documents) are in full force and effect and are all of the resolutions (or similar authorizing documents) adopted in connection with the transactions contemplated hereby, and (C) the names and signatures of the Persons who are authorized to sign this Agreement on behalf of such Selling Party;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86" w:name="page687"/>
    <w:bookmarkEnd w:id="686"/>
    <w:p>
      <w:pPr>
        <w:ind w:left="4" w:right="20" w:firstLine="1428"/>
        <w:spacing w:after="0" w:line="258" w:lineRule="auto"/>
        <w:tabs>
          <w:tab w:leader="none" w:pos="1791"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duly executed termination or settlement agreement with the employees listed on </w:t>
      </w:r>
      <w:r>
        <w:rPr>
          <w:rFonts w:ascii="Times New Roman" w:cs="Times New Roman" w:eastAsia="Times New Roman" w:hAnsi="Times New Roman"/>
          <w:sz w:val="18"/>
          <w:szCs w:val="18"/>
          <w:u w:val="single" w:color="auto"/>
          <w:color w:val="auto"/>
        </w:rPr>
        <w:t>Schedule 7.3(c)(vii)</w:t>
      </w:r>
      <w:r>
        <w:rPr>
          <w:rFonts w:ascii="Times New Roman" w:cs="Times New Roman" w:eastAsia="Times New Roman" w:hAnsi="Times New Roman"/>
          <w:sz w:val="18"/>
          <w:szCs w:val="18"/>
          <w:color w:val="auto"/>
        </w:rPr>
        <w:t xml:space="preserve"> in form and substance reasonably satisfactory to Purchaser, (A) terminating such employees’ employment with IFM GmbH, (B) setting forth that any employment relationship between IFM GmbH or any of its Affiliates and such employees have been validly terminated and (C) certifying that such employees are not transferring from IFM GmbH to Odyssey GmbH pursuant to the Acquired Rights Directive (2001/23/EC) and its implementation in German law pursuant to Section 613a German Civil Code or otherwise;</w:t>
      </w:r>
    </w:p>
    <w:p>
      <w:pPr>
        <w:spacing w:after="0" w:line="75" w:lineRule="exact"/>
        <w:rPr>
          <w:rFonts w:ascii="Times New Roman" w:cs="Times New Roman" w:eastAsia="Times New Roman" w:hAnsi="Times New Roman"/>
          <w:sz w:val="18"/>
          <w:szCs w:val="18"/>
          <w:color w:val="auto"/>
        </w:rPr>
      </w:pPr>
    </w:p>
    <w:p>
      <w:pPr>
        <w:ind w:left="4" w:right="80" w:firstLine="1428"/>
        <w:spacing w:after="0" w:line="266" w:lineRule="auto"/>
        <w:tabs>
          <w:tab w:leader="none" w:pos="1841"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duly executed by each Business Employee employed by IFM GmbH in form and substance reasonably satisfactory to Purchaser whereby such Business Employees waive their right to object to the transfer of their employment relationships from IFM GmbH to Odyssey GmbH prior to the expiration of the objection period pursuant to Section 613a(5) of the German Civil Code;</w:t>
      </w:r>
    </w:p>
    <w:p>
      <w:pPr>
        <w:spacing w:after="0" w:line="6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duly executed by (A) the employees listed on </w:t>
      </w:r>
      <w:r>
        <w:rPr>
          <w:rFonts w:ascii="Times New Roman" w:cs="Times New Roman" w:eastAsia="Times New Roman" w:hAnsi="Times New Roman"/>
          <w:sz w:val="18"/>
          <w:szCs w:val="18"/>
          <w:u w:val="single" w:color="auto"/>
          <w:color w:val="auto"/>
        </w:rPr>
        <w:t>Schedule 7.3(c)(vii)</w:t>
      </w:r>
      <w:r>
        <w:rPr>
          <w:rFonts w:ascii="Times New Roman" w:cs="Times New Roman" w:eastAsia="Times New Roman" w:hAnsi="Times New Roman"/>
          <w:sz w:val="18"/>
          <w:szCs w:val="18"/>
          <w:color w:val="auto"/>
        </w:rPr>
        <w:t xml:space="preserve"> and (B) the employees listed on </w:t>
      </w:r>
      <w:r>
        <w:rPr>
          <w:rFonts w:ascii="Times New Roman" w:cs="Times New Roman" w:eastAsia="Times New Roman" w:hAnsi="Times New Roman"/>
          <w:sz w:val="18"/>
          <w:szCs w:val="18"/>
          <w:u w:val="single" w:color="auto"/>
          <w:color w:val="auto"/>
        </w:rPr>
        <w:t>Schedule 7.3(c)</w:t>
      </w:r>
    </w:p>
    <w:p>
      <w:pPr>
        <w:spacing w:after="0" w:line="27" w:lineRule="exact"/>
        <w:rPr>
          <w:rFonts w:ascii="Times New Roman" w:cs="Times New Roman" w:eastAsia="Times New Roman" w:hAnsi="Times New Roman"/>
          <w:sz w:val="18"/>
          <w:szCs w:val="18"/>
          <w:color w:val="auto"/>
        </w:rPr>
      </w:pPr>
    </w:p>
    <w:p>
      <w:pPr>
        <w:ind w:left="4" w:right="140" w:hanging="4"/>
        <w:spacing w:after="0" w:line="255" w:lineRule="auto"/>
        <w:tabs>
          <w:tab w:leader="none" w:pos="309" w:val="left"/>
        </w:tabs>
        <w:numPr>
          <w:ilvl w:val="0"/>
          <w:numId w:val="5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 form and substance reasonably satisfactory to Purchaser certifying that such employees are not transferring from IFM GmbH to Odyssey GmbH pursuant to the Acquired Rights Directive (2001/23/EC) and its implementation in German law pursuant to Section 613a German Civil Code or otherwise;</w:t>
      </w:r>
    </w:p>
    <w:p>
      <w:pPr>
        <w:spacing w:after="0" w:line="77" w:lineRule="exact"/>
        <w:rPr>
          <w:rFonts w:ascii="Times New Roman" w:cs="Times New Roman" w:eastAsia="Times New Roman" w:hAnsi="Times New Roman"/>
          <w:sz w:val="18"/>
          <w:szCs w:val="18"/>
          <w:u w:val="single" w:color="auto"/>
          <w:color w:val="auto"/>
        </w:rPr>
      </w:pPr>
    </w:p>
    <w:p>
      <w:pPr>
        <w:ind w:left="4" w:right="20" w:firstLine="1428"/>
        <w:spacing w:after="0" w:line="282" w:lineRule="auto"/>
        <w:tabs>
          <w:tab w:leader="none" w:pos="1691"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contracts, Purchaser’s standard form of Confidentiality Agreement and other reasonable and customary employment documentation, duly executed by the Business Employees;</w:t>
      </w:r>
    </w:p>
    <w:p>
      <w:pPr>
        <w:spacing w:after="0" w:line="53" w:lineRule="exact"/>
        <w:rPr>
          <w:rFonts w:ascii="Times New Roman" w:cs="Times New Roman" w:eastAsia="Times New Roman" w:hAnsi="Times New Roman"/>
          <w:sz w:val="18"/>
          <w:szCs w:val="18"/>
          <w:color w:val="auto"/>
        </w:rPr>
      </w:pPr>
    </w:p>
    <w:p>
      <w:pPr>
        <w:ind w:left="4" w:right="400" w:firstLine="1428"/>
        <w:spacing w:after="0" w:line="282" w:lineRule="auto"/>
        <w:tabs>
          <w:tab w:leader="none" w:pos="1741"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Adoption Agreement duly executed by the Sellers to that certain Voting Agreement, dated as of August 31, 2021, by and among Purchaser and the stockholders of Purchaser party thereto, as amended;</w:t>
      </w:r>
    </w:p>
    <w:p>
      <w:pPr>
        <w:spacing w:after="0" w:line="53"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accurate copies of the Ancillary Agreements executed and delivered by the parties thereto;</w:t>
      </w:r>
    </w:p>
    <w:p>
      <w:pPr>
        <w:spacing w:after="0" w:line="117" w:lineRule="exact"/>
        <w:rPr>
          <w:rFonts w:ascii="Times New Roman" w:cs="Times New Roman" w:eastAsia="Times New Roman" w:hAnsi="Times New Roman"/>
          <w:sz w:val="18"/>
          <w:szCs w:val="18"/>
          <w:color w:val="auto"/>
        </w:rPr>
      </w:pPr>
    </w:p>
    <w:p>
      <w:pPr>
        <w:ind w:left="4" w:firstLine="1428"/>
        <w:spacing w:after="0" w:line="282" w:lineRule="auto"/>
        <w:tabs>
          <w:tab w:leader="none" w:pos="1841"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Agreement, duly executed by Management and the Company, terminating the Intercompany Services Agreement by and between the Company and Management, dated November 25, 2019; and</w:t>
      </w:r>
    </w:p>
    <w:p>
      <w:pPr>
        <w:spacing w:after="0" w:line="53" w:lineRule="exact"/>
        <w:rPr>
          <w:rFonts w:ascii="Times New Roman" w:cs="Times New Roman" w:eastAsia="Times New Roman" w:hAnsi="Times New Roman"/>
          <w:sz w:val="18"/>
          <w:szCs w:val="18"/>
          <w:color w:val="auto"/>
        </w:rPr>
      </w:pPr>
    </w:p>
    <w:p>
      <w:pPr>
        <w:ind w:left="1824" w:hanging="392"/>
        <w:spacing w:after="0"/>
        <w:tabs>
          <w:tab w:leader="none" w:pos="1824"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or instruments as Purchaser reasonably requests to consummate the transactions contemplated by this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98" w:lineRule="exact"/>
        <w:rPr>
          <w:rFonts w:ascii="Times New Roman" w:cs="Times New Roman" w:eastAsia="Times New Roman" w:hAnsi="Times New Roman"/>
          <w:sz w:val="18"/>
          <w:szCs w:val="18"/>
          <w:color w:val="auto"/>
        </w:rPr>
      </w:pPr>
    </w:p>
    <w:p>
      <w:pPr>
        <w:ind w:left="4" w:right="580" w:firstLine="987"/>
        <w:spacing w:after="0" w:line="282" w:lineRule="auto"/>
        <w:tabs>
          <w:tab w:leader="none" w:pos="125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xml:space="preserve">. The Company shall have received, and the Company shall have delivered to Purchaser consents of the Persons set forth on </w:t>
      </w:r>
      <w:r>
        <w:rPr>
          <w:rFonts w:ascii="Times New Roman" w:cs="Times New Roman" w:eastAsia="Times New Roman" w:hAnsi="Times New Roman"/>
          <w:sz w:val="18"/>
          <w:szCs w:val="18"/>
          <w:u w:val="single" w:color="auto"/>
          <w:color w:val="auto"/>
        </w:rPr>
        <w:t>Schedule 7.3(d)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70" w:right="439" w:bottom="1440" w:gutter="0" w:footer="0" w:header="0"/>
        </w:sectPr>
      </w:pPr>
    </w:p>
    <w:bookmarkStart w:id="687" w:name="page688"/>
    <w:bookmarkEnd w:id="68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Survival of Representations</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shall survive the Closing until the date that is [***] months after the Final Transfer Date; provided, however, that the representations and warranties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(Organization),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(No Subsidiaries),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(Authorization),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(Ownership of Interests; Capitalization), </w:t>
      </w:r>
      <w:r>
        <w:rPr>
          <w:rFonts w:ascii="Times New Roman" w:cs="Times New Roman" w:eastAsia="Times New Roman" w:hAnsi="Times New Roman"/>
          <w:sz w:val="17"/>
          <w:szCs w:val="17"/>
          <w:u w:val="single" w:color="auto"/>
          <w:color w:val="auto"/>
        </w:rPr>
        <w:t>Section 3.6(a)</w:t>
      </w:r>
      <w:r>
        <w:rPr>
          <w:rFonts w:ascii="Times New Roman" w:cs="Times New Roman" w:eastAsia="Times New Roman" w:hAnsi="Times New Roman"/>
          <w:sz w:val="17"/>
          <w:szCs w:val="17"/>
          <w:color w:val="auto"/>
        </w:rPr>
        <w:t xml:space="preserve"> (Title to Properties and Assets),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(Indebtedness; Liabilities), </w:t>
      </w:r>
      <w:r>
        <w:rPr>
          <w:rFonts w:ascii="Times New Roman" w:cs="Times New Roman" w:eastAsia="Times New Roman" w:hAnsi="Times New Roman"/>
          <w:sz w:val="17"/>
          <w:szCs w:val="17"/>
          <w:u w:val="single" w:color="auto"/>
          <w:color w:val="auto"/>
        </w:rPr>
        <w:t>Section 3.12</w:t>
      </w:r>
      <w:r>
        <w:rPr>
          <w:rFonts w:ascii="Times New Roman" w:cs="Times New Roman" w:eastAsia="Times New Roman" w:hAnsi="Times New Roman"/>
          <w:sz w:val="17"/>
          <w:szCs w:val="17"/>
          <w:color w:val="auto"/>
        </w:rPr>
        <w:t xml:space="preserve"> (Taxes), </w:t>
      </w:r>
      <w:r>
        <w:rPr>
          <w:rFonts w:ascii="Times New Roman" w:cs="Times New Roman" w:eastAsia="Times New Roman" w:hAnsi="Times New Roman"/>
          <w:sz w:val="17"/>
          <w:szCs w:val="17"/>
          <w:u w:val="single" w:color="auto"/>
          <w:color w:val="auto"/>
        </w:rPr>
        <w:t>Section 3.16(m)</w:t>
      </w:r>
      <w:r>
        <w:rPr>
          <w:rFonts w:ascii="Times New Roman" w:cs="Times New Roman" w:eastAsia="Times New Roman" w:hAnsi="Times New Roman"/>
          <w:sz w:val="17"/>
          <w:szCs w:val="17"/>
          <w:color w:val="auto"/>
        </w:rPr>
        <w:t xml:space="preserve"> (Intellectual Property), and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(No Brokers) (collectively, the “</w:t>
      </w:r>
      <w:r>
        <w:rPr>
          <w:rFonts w:ascii="Times New Roman" w:cs="Times New Roman" w:eastAsia="Times New Roman" w:hAnsi="Times New Roman"/>
          <w:sz w:val="17"/>
          <w:szCs w:val="17"/>
          <w:b w:val="1"/>
          <w:bCs w:val="1"/>
          <w:color w:val="auto"/>
        </w:rPr>
        <w:t>Fundamental Representations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Sections 4.1</w:t>
      </w:r>
      <w:r>
        <w:rPr>
          <w:rFonts w:ascii="Times New Roman" w:cs="Times New Roman" w:eastAsia="Times New Roman" w:hAnsi="Times New Roman"/>
          <w:sz w:val="17"/>
          <w:szCs w:val="17"/>
          <w:color w:val="auto"/>
        </w:rPr>
        <w:t xml:space="preserve"> (Organization),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(Authorization) and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(No Brokers) shall survive until the later of (1) [***] years following the Closing Date and (2) the date on which the final Milestone Payment contemplated hereunder shall become due and payable. All of the covenants and other agreements of the Parties contained in this Agreement for which performance or fulfillment is contemplated to have occurred (a) prior to the Closing shall survive the Closing until the date that is [***] months after the Final Transfer Date and</w:t>
      </w:r>
    </w:p>
    <w:p>
      <w:pPr>
        <w:ind w:left="4" w:hanging="4"/>
        <w:spacing w:after="0" w:line="252" w:lineRule="auto"/>
        <w:tabs>
          <w:tab w:leader="none" w:pos="259"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following the Closing shall survive until fully performed or fulfilled. Any claim for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must be asserted by a Claim Notice within the applicable survival period contemplated by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if such a Claim Notice is given within such applicable period, the survival period for such representation, warranty, covenant or other agreement with respect to such claim shall continue until the claim is fully resolved. The right to indemnification or other remedy based on the representations, warranties, covenants and agreements herein will not be affected by any investigation conducted with respect to, or any knowledge at any time, whether before or after the execution and delivery of this Agreement, with respect to the accuracy or inaccuracy of or compliance with, any such representation, warranty, covenant or agreement.</w:t>
      </w:r>
    </w:p>
    <w:p>
      <w:pPr>
        <w:spacing w:after="0" w:line="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87"/>
        <w:spacing w:after="0" w:line="256" w:lineRule="auto"/>
        <w:tabs>
          <w:tab w:leader="none" w:pos="124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subject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Selling Parties, jointly and severally shall indemnify and hold harmless Purchaser and each of its Affiliates (including the Company) and each of Purchaser’s and such Affiliates’ respective Representatives (the “</w:t>
      </w:r>
      <w:r>
        <w:rPr>
          <w:rFonts w:ascii="Times New Roman" w:cs="Times New Roman" w:eastAsia="Times New Roman" w:hAnsi="Times New Roman"/>
          <w:sz w:val="18"/>
          <w:szCs w:val="18"/>
          <w:b w:val="1"/>
          <w:bCs w:val="1"/>
          <w:color w:val="auto"/>
        </w:rPr>
        <w:t>Purchaser Indemnified Parties</w:t>
      </w:r>
      <w:r>
        <w:rPr>
          <w:rFonts w:ascii="Times New Roman" w:cs="Times New Roman" w:eastAsia="Times New Roman" w:hAnsi="Times New Roman"/>
          <w:sz w:val="18"/>
          <w:szCs w:val="18"/>
          <w:color w:val="auto"/>
        </w:rPr>
        <w:t>”) from and against, and compensate and reimburse each of them for, any and all damages, claims, losses, costs, Liabilities, Taxes, expenses or amounts paid in settlement, including interest, fines, penalties, reasonable attorneys’ fees and costs and expenses of investigation, defense, enforcement of this Agreement and remedial action (collectively,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asserted against, suffered, sustained, accrued or incurred by such Purchaser Indemnified Party arising out of or relating to:</w:t>
      </w:r>
    </w:p>
    <w:p>
      <w:pPr>
        <w:spacing w:after="0" w:line="79"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651"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inaccuracy in any representation or warranty made by the Selling Parties in this Agreement or in any certificate (including the Closing Financial Certificate) delivered to Purchaser pursuant to this Agreement (without giving effect to any materiality threshold or qualifier contained therein);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688" w:name="page689"/>
    <w:bookmarkEnd w:id="688"/>
    <w:p>
      <w:pPr>
        <w:ind w:right="400" w:firstLine="1428"/>
        <w:spacing w:after="0" w:line="282" w:lineRule="auto"/>
        <w:tabs>
          <w:tab w:leader="none" w:pos="1697"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failure of the Selling Parties to perform or any breach by the Selling Parties of any covenant or obligation of the Selling Parties in or pursuant to this Agreement;</w:t>
      </w:r>
    </w:p>
    <w:p>
      <w:pPr>
        <w:spacing w:after="0" w:line="53" w:lineRule="exact"/>
        <w:rPr>
          <w:rFonts w:ascii="Times New Roman" w:cs="Times New Roman" w:eastAsia="Times New Roman" w:hAnsi="Times New Roman"/>
          <w:sz w:val="18"/>
          <w:szCs w:val="18"/>
          <w:color w:val="auto"/>
        </w:rPr>
      </w:pPr>
    </w:p>
    <w:p>
      <w:pPr>
        <w:ind w:right="160" w:firstLine="1428"/>
        <w:spacing w:after="0" w:line="277" w:lineRule="auto"/>
        <w:tabs>
          <w:tab w:leader="none" w:pos="1747" w:val="left"/>
        </w:tabs>
        <w:numPr>
          <w:ilvl w:val="1"/>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inaccuracy contained in the Allocation Schedule or any failure of the Allocation Schedule to allocate the Closing Consideration in accordance with the provisions of the Company’s organizational documents, and the terms and conditions of this Agreement; (B) any claim or allegation made by or on behalf of any current, former or alleged Member challenging, disputing or objecting to the amount of the Closing Consideration, the amount of any Milestone Payment or any other payment received or to be received by any such current, former or alleged Member; or (C) any other claim or allegation by any Person other than a Seller asserting a right to receive any portion of the Transaction Consideration;</w:t>
      </w:r>
    </w:p>
    <w:p>
      <w:pPr>
        <w:spacing w:after="0" w:line="59" w:lineRule="exact"/>
        <w:rPr>
          <w:rFonts w:ascii="Times New Roman" w:cs="Times New Roman" w:eastAsia="Times New Roman" w:hAnsi="Times New Roman"/>
          <w:sz w:val="17"/>
          <w:szCs w:val="17"/>
          <w:color w:val="auto"/>
        </w:rPr>
      </w:pPr>
    </w:p>
    <w:p>
      <w:pPr>
        <w:ind w:right="660" w:firstLine="1428"/>
        <w:spacing w:after="0" w:line="282" w:lineRule="auto"/>
        <w:tabs>
          <w:tab w:leader="none" w:pos="1737"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or intentional misrepresentation by or on behalf of the Selling Parties or the Company in connection with this Agreement or the transactions contemplated hereby;</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Pre-Closing Taxes;</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737"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former employees of IFM GmbH or any of its Affiliates who is not offered employment by Purchaser or any of its Affiliates as expressly contemplated by this Agreement; and</w:t>
      </w:r>
    </w:p>
    <w:p>
      <w:pPr>
        <w:spacing w:after="0" w:line="53" w:lineRule="exact"/>
        <w:rPr>
          <w:rFonts w:ascii="Times New Roman" w:cs="Times New Roman" w:eastAsia="Times New Roman" w:hAnsi="Times New Roman"/>
          <w:sz w:val="18"/>
          <w:szCs w:val="18"/>
          <w:color w:val="auto"/>
        </w:rPr>
      </w:pPr>
    </w:p>
    <w:p>
      <w:pPr>
        <w:ind w:right="260" w:firstLine="1428"/>
        <w:spacing w:after="0" w:line="282" w:lineRule="auto"/>
        <w:tabs>
          <w:tab w:leader="none" w:pos="1787"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Transaction Expenses or Liabilities of the Company relating to any pre-Closing activities of the Company that remained outstanding as of the Closing.</w:t>
      </w:r>
    </w:p>
    <w:p>
      <w:pPr>
        <w:spacing w:after="0" w:line="53" w:lineRule="exact"/>
        <w:rPr>
          <w:rFonts w:ascii="Times New Roman" w:cs="Times New Roman" w:eastAsia="Times New Roman" w:hAnsi="Times New Roman"/>
          <w:sz w:val="18"/>
          <w:szCs w:val="18"/>
          <w:color w:val="auto"/>
        </w:rPr>
      </w:pPr>
    </w:p>
    <w:p>
      <w:pPr>
        <w:ind w:right="420" w:firstLine="987"/>
        <w:spacing w:after="0" w:line="261" w:lineRule="auto"/>
        <w:tabs>
          <w:tab w:leader="none" w:pos="124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subject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Purchaser shall indemnify and hold harmless each of the Selling Parties and each of their respective Representatives and Affiliates (the “</w:t>
      </w:r>
      <w:r>
        <w:rPr>
          <w:rFonts w:ascii="Times New Roman" w:cs="Times New Roman" w:eastAsia="Times New Roman" w:hAnsi="Times New Roman"/>
          <w:sz w:val="18"/>
          <w:szCs w:val="18"/>
          <w:b w:val="1"/>
          <w:bCs w:val="1"/>
          <w:color w:val="auto"/>
        </w:rPr>
        <w:t>Seller Indemnified Parties</w:t>
      </w:r>
      <w:r>
        <w:rPr>
          <w:rFonts w:ascii="Times New Roman" w:cs="Times New Roman" w:eastAsia="Times New Roman" w:hAnsi="Times New Roman"/>
          <w:sz w:val="18"/>
          <w:szCs w:val="18"/>
          <w:color w:val="auto"/>
        </w:rPr>
        <w:t>” and collectively with Purchaser Indemnified Parties,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from and against, and compensate and reimburse each of them for, any and all Damages asserted against, suffered, sustained, accrued or incurred by the Seller Indemnified Party arising out of or relating to:</w:t>
      </w:r>
    </w:p>
    <w:p>
      <w:pPr>
        <w:spacing w:after="0" w:line="71" w:lineRule="exact"/>
        <w:rPr>
          <w:rFonts w:ascii="Times New Roman" w:cs="Times New Roman" w:eastAsia="Times New Roman" w:hAnsi="Times New Roman"/>
          <w:sz w:val="18"/>
          <w:szCs w:val="18"/>
          <w:color w:val="auto"/>
        </w:rPr>
      </w:pPr>
    </w:p>
    <w:p>
      <w:pPr>
        <w:ind w:right="620" w:firstLine="1428"/>
        <w:spacing w:after="0" w:line="312" w:lineRule="auto"/>
        <w:tabs>
          <w:tab w:leader="none" w:pos="1647" w:val="left"/>
        </w:tabs>
        <w:numPr>
          <w:ilvl w:val="1"/>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or any inaccuracy in any representation or warranty made by Purchaser in this Agreement or any certificate delivered to the Selling Parties pursuant to this Agreement (without giving effect to any materiality threshold or qualifier contained therein); or</w:t>
      </w:r>
    </w:p>
    <w:p>
      <w:pPr>
        <w:spacing w:after="0" w:line="31" w:lineRule="exact"/>
        <w:rPr>
          <w:rFonts w:ascii="Times New Roman" w:cs="Times New Roman" w:eastAsia="Times New Roman" w:hAnsi="Times New Roman"/>
          <w:sz w:val="17"/>
          <w:szCs w:val="17"/>
          <w:color w:val="auto"/>
        </w:rPr>
      </w:pPr>
    </w:p>
    <w:p>
      <w:pPr>
        <w:ind w:left="1700" w:hanging="272"/>
        <w:spacing w:after="0"/>
        <w:tabs>
          <w:tab w:leader="none" w:pos="170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Purchaser to perform or any breach by Purchaser of any covenant or obligation of Purchaser in this Agreement.</w:t>
      </w:r>
    </w:p>
    <w:p>
      <w:pPr>
        <w:spacing w:after="0" w:line="113" w:lineRule="exact"/>
        <w:rPr>
          <w:rFonts w:ascii="Times New Roman" w:cs="Times New Roman" w:eastAsia="Times New Roman" w:hAnsi="Times New Roman"/>
          <w:sz w:val="18"/>
          <w:szCs w:val="18"/>
          <w:color w:val="auto"/>
        </w:rPr>
      </w:pPr>
    </w:p>
    <w:p>
      <w:pPr>
        <w:ind w:firstLine="987"/>
        <w:spacing w:after="0" w:line="259" w:lineRule="auto"/>
        <w:tabs>
          <w:tab w:leader="none" w:pos="123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not limited to Third Party Claims, but includes Damages incurred or sustained by such Indemnified Parties in the absence of Third Party Claims, and payments by an Indemnified Party shall not be a condition precedent to recovery; provided that Damages shall only include punitive damages to the extent such Indemnified Party is determined by a court of competent jurisdiction to be actually liable to a Third Party for such Damages in connection with a Third Party Claim and such Third Party Claim is subject to indemnification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89" w:name="page690"/>
    <w:bookmarkEnd w:id="6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Times New Roman" w:cs="Times New Roman" w:eastAsia="Times New Roman" w:hAnsi="Times New Roman"/>
          <w:sz w:val="18"/>
          <w:szCs w:val="18"/>
          <w:u w:val="single" w:color="auto"/>
          <w:color w:val="auto"/>
        </w:rPr>
        <w:t>Notice of Claims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72" w:lineRule="auto"/>
        <w:tabs>
          <w:tab w:leader="none" w:pos="1236"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Indemnified Party seeking indemnification hereunder shall, within the relevant limitation period provided for in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above, give to the Party which is obligated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to provide indemnification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a notice (a “</w:t>
      </w:r>
      <w:r>
        <w:rPr>
          <w:rFonts w:ascii="Times New Roman" w:cs="Times New Roman" w:eastAsia="Times New Roman" w:hAnsi="Times New Roman"/>
          <w:sz w:val="17"/>
          <w:szCs w:val="17"/>
          <w:b w:val="1"/>
          <w:bCs w:val="1"/>
          <w:color w:val="auto"/>
        </w:rPr>
        <w:t>Claim Notice</w:t>
      </w:r>
      <w:r>
        <w:rPr>
          <w:rFonts w:ascii="Times New Roman" w:cs="Times New Roman" w:eastAsia="Times New Roman" w:hAnsi="Times New Roman"/>
          <w:sz w:val="17"/>
          <w:szCs w:val="17"/>
          <w:color w:val="auto"/>
        </w:rPr>
        <w:t>”) describing in reasonable detail the facts giving rise to such claim for indemnification and shall include in such Claim Notice whether such claim relates to a claim by a Third Party against such Indemnified Party (a “</w:t>
      </w:r>
      <w:r>
        <w:rPr>
          <w:rFonts w:ascii="Times New Roman" w:cs="Times New Roman" w:eastAsia="Times New Roman" w:hAnsi="Times New Roman"/>
          <w:sz w:val="17"/>
          <w:szCs w:val="17"/>
          <w:b w:val="1"/>
          <w:bCs w:val="1"/>
          <w:color w:val="auto"/>
        </w:rPr>
        <w:t>Third Party Claim</w:t>
      </w:r>
      <w:r>
        <w:rPr>
          <w:rFonts w:ascii="Times New Roman" w:cs="Times New Roman" w:eastAsia="Times New Roman" w:hAnsi="Times New Roman"/>
          <w:sz w:val="17"/>
          <w:szCs w:val="17"/>
          <w:color w:val="auto"/>
        </w:rPr>
        <w:t>”) and (if then known) the amount or the method of computation of the amount of such claim, and a reference to the provision of this Agreement upon which such claim is based; provided, that a Claim Notice in respect of any Action by or against a Third Party as to which indemnification shall be sought shall be given promptly after the Indemnified Party becomes aware that such Action has been commenced; and provided further, that failure to timely give such notice shall not affect such Indemnified Party’s right to indemnification hereunder except to the extent the Indemnifying Party shall have been materially prejudiced by such failure.</w:t>
      </w:r>
    </w:p>
    <w:p>
      <w:pPr>
        <w:spacing w:after="0" w:line="63" w:lineRule="exact"/>
        <w:rPr>
          <w:rFonts w:ascii="Times New Roman" w:cs="Times New Roman" w:eastAsia="Times New Roman" w:hAnsi="Times New Roman"/>
          <w:sz w:val="17"/>
          <w:szCs w:val="17"/>
          <w:color w:val="auto"/>
        </w:rPr>
      </w:pPr>
    </w:p>
    <w:p>
      <w:pPr>
        <w:ind w:right="140" w:firstLine="987"/>
        <w:spacing w:after="0" w:line="256" w:lineRule="auto"/>
        <w:tabs>
          <w:tab w:leader="none" w:pos="124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 Third Party Claim, the Indemnifying Party shall have 20 Business Days following receipt of any Claim Notice pursuant hereto to (i) agree to such indemnification claim and the amount or method of determination set forth in the Claim Notice and satisfy such indemnification claim, (A) in the case of a Purchaser Indemnified Party, at Purchaser’s election, by wire transfer of immediately available funds or in accordance with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or (B) in the case of a Seller Indemnified Party, by wire transfer of immediately available funds or (ii) to provide such Indemnified Party with notice that it disagrees with any such indemnification claim or the amount or method of determination set forth in the Claim Notice and thereafter comply with the dispute resolution provisions set forth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Third Party Claims</w:t>
      </w:r>
      <w:r>
        <w:rPr>
          <w:rFonts w:ascii="Times New Roman" w:cs="Times New Roman" w:eastAsia="Times New Roman" w:hAnsi="Times New Roman"/>
          <w:sz w:val="18"/>
          <w:szCs w:val="18"/>
          <w:color w:val="auto"/>
        </w:rPr>
        <w:t xml:space="preserve">. With respect to any Third Party Claim (a) that seeks as recovery solely the payment of money damages, (b) that will not result in the Indemnified Party becoming subject to injunctive or other relief or otherwise adversely affect the business or reputation of Purchaser or any of its Affiliates (including the Company), (c) that does not involve any allegation of criminal conduct or potential enforcement penalties by any Governmental Authority, and (d) if the Indemnified Party is a Purchaser Indemnified Party, the amount does not exceed the Closing Consideration and the Third Party Claim does not relate to Company IP, the Indemnifying Party shall have 15 days following receipt of the Claim Notice with respect to such Third Party Claim to deliver to the Indemnified Party a written acknowledgement that (i) such Third Party Claim is an indemnifiable claim for which it is liable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subject to the limitations set forth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and (ii) it will undertake, conduct and control (in accordance with the terms hereof), through counsel of its own choosing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counsel must be reasonably acceptable to the Indemnified Party) and at its own expense, the settlement or defense thereof, in which case the Indemnifying Party shall have the right to conduct and control the settlement or defense of such Third Party Claim. The Indemnified Party shall reasonably cooperate with the Indemnifying Party and its counsel in connection therewith and may participate in such settlement or defense through counsel chosen by such Indemnified Party and paid at its own expense, provided that, if in the opinion of counsel for the Indemnified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90" w:name="page691"/>
    <w:bookmarkEnd w:id="69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there is a reasonable likelihood of a conflict of interest between the Indemnifying Party and the Indemnified Party, the Indemnifying Party shall be responsible for reasonable fees and expenses of one counsel to such Indemnified Party in connection with such settlement or defense. If the Indemnifying Party does not so notify the Indemnified Party within such 15-day period (or the Indemnifying Party notifies the Indemnified Party that it disputes such indemnification claim during such 15-day period), the Indemnified Party shall have the right to undertake, at the Indemnifying Party’s cost, risk and expense, the defense or settlement of such Third Party Claim but shall not thereby waive any right to indemnity therefor pursuant to this Agreement; provided that the Indemnifying Party may participate in such settlement or defense through counsel chosen by such Indemnifying Party and paid at its own expense. The Indemnifying Party shall (A) reasonably cooperate with the Indemnified Party and its counsel in connection with the settlement or defense of any Third Party Claim for which the Indemnified Party undertakes the defense or settlement and (B) advance the Indemnified Party promptly and periodically for the reasonable costs of settling or defending against such Third Party Claim (including reasonable attorneys’ fees and expenses). The Indemnifying Party shall not, except with the consent of the Indemnified Party, enter into any settlement of a Third Party Claim that</w:t>
      </w:r>
    </w:p>
    <w:p>
      <w:pPr>
        <w:spacing w:after="0" w:line="5" w:lineRule="exact"/>
        <w:rPr>
          <w:sz w:val="20"/>
          <w:szCs w:val="20"/>
          <w:color w:val="auto"/>
        </w:rPr>
      </w:pPr>
    </w:p>
    <w:p>
      <w:pPr>
        <w:ind w:left="4" w:right="20" w:hanging="4"/>
        <w:spacing w:after="0" w:line="251" w:lineRule="auto"/>
        <w:tabs>
          <w:tab w:leader="none" w:pos="259"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any admission of fault by the Indemnified Party, (2) provides for any remedy other than money damages, (3) will not be paid entirely by the Indemnifying Party, or (4) does not include as an unconditional term thereof the giving by the Person or Persons asserting such claim to all Indemnified Parties of an unconditional release from all Liability with respect to such claim or consent to entry of any judgment. No Indemnified Party may pay or settle any Third Party Claim without the consent of the Sellers, with respect to claims where the Sellers are (or any Seller is) the Indemnifying Party, or of Purchaser, with respect to claims where Purchaser is the Indemnifying Party, in either case, which consent shall not be unreasonably withheld, conditioned or delayed. Notwithstanding the foregoing, no Seller shall be entitled to (x) control any claim relating to Taxes of Purchaser or its Affiliates, or the Company for any Post-Closing Tax Period or (y) settle, either administratively or after the commencement of any Action, any claim for Taxes which could adversely affect the Liability of Purchaser or its Affiliates, or the Company for Taxes for any Post-Closing Tax Period, in either case ((x) and (y)), without the prior written consent of Purchaser.</w:t>
      </w:r>
    </w:p>
    <w:p>
      <w:pPr>
        <w:spacing w:after="0" w:line="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Limitations on Indemnity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80" w:firstLine="987"/>
        <w:spacing w:after="0" w:line="266" w:lineRule="auto"/>
        <w:tabs>
          <w:tab w:leader="none" w:pos="12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each Selling Parties’ liability for its own commission of fraud or intentional misrepresentation, the aggregate liability of such Selling Parties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exceed an amount equal to the sum of the Closing Consideration and the Milestone Payments that become payable under the terms of this Agreement.</w:t>
      </w:r>
    </w:p>
    <w:p>
      <w:pPr>
        <w:spacing w:after="0" w:line="67"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Agreement to the contrary notwithstanding, in the event that any Selling Party is obligated to indemnify any Purchaser Indemnified Party for any Damages pursuant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Purchaser shall be permitted to cancel for no consideration a number of Shares issued to any Seller equal to (i) the aggregate amount of such Damages for which the Indemnifying Party is liable pursuant to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divided by (ii) the Per Share Value.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91" w:name="page692"/>
    <w:bookmarkEnd w:id="691"/>
    <w:p>
      <w:pPr>
        <w:ind w:right="60" w:firstLine="987"/>
        <w:spacing w:after="0" w:line="256" w:lineRule="auto"/>
        <w:tabs>
          <w:tab w:leader="none" w:pos="123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any such redemption and cancellation of shares of Purchaser Non-Voting Common Stock under this </w:t>
      </w:r>
      <w:r>
        <w:rPr>
          <w:rFonts w:ascii="Times New Roman" w:cs="Times New Roman" w:eastAsia="Times New Roman" w:hAnsi="Times New Roman"/>
          <w:sz w:val="18"/>
          <w:szCs w:val="18"/>
          <w:u w:val="single" w:color="auto"/>
          <w:color w:val="auto"/>
        </w:rPr>
        <w:t>Section 8.5(c)</w:t>
      </w:r>
      <w:r>
        <w:rPr>
          <w:rFonts w:ascii="Times New Roman" w:cs="Times New Roman" w:eastAsia="Times New Roman" w:hAnsi="Times New Roman"/>
          <w:sz w:val="18"/>
          <w:szCs w:val="18"/>
          <w:color w:val="auto"/>
        </w:rPr>
        <w:t xml:space="preserve">, Purchaser shall deliver written notice to the applicable Seller setting forth the amount of such Damages and the number of shares of Purchaser Non-Voting Common Stock to be cancelled and shall reflect such cancellation (and reissue, as applicable) in book entry form in Purchaser’s electronic stock ledger. In furtherance of any exercise by Purchaser of its right to cancel shares of Purchaser Non-Voting Common Stock under this </w:t>
      </w:r>
      <w:r>
        <w:rPr>
          <w:rFonts w:ascii="Times New Roman" w:cs="Times New Roman" w:eastAsia="Times New Roman" w:hAnsi="Times New Roman"/>
          <w:sz w:val="18"/>
          <w:szCs w:val="18"/>
          <w:u w:val="single" w:color="auto"/>
          <w:color w:val="auto"/>
        </w:rPr>
        <w:t>Section 8.5(c)</w:t>
      </w:r>
      <w:r>
        <w:rPr>
          <w:rFonts w:ascii="Times New Roman" w:cs="Times New Roman" w:eastAsia="Times New Roman" w:hAnsi="Times New Roman"/>
          <w:sz w:val="18"/>
          <w:szCs w:val="18"/>
          <w:color w:val="auto"/>
        </w:rPr>
        <w:t>, each of the Sellers hereby appoints Purchaser’s chief executive officer as their respective attorney-in-fact to take such action as is reasonably necessary to cause the redemption and cancellation of the shares of Purchaser Non-Voting Common Stock comprising the Shares issued to such Seller.</w:t>
      </w:r>
    </w:p>
    <w:p>
      <w:pPr>
        <w:spacing w:after="0" w:line="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Damages for which indemnification is provided under this Agreement shall be net of any amounts actually recovered by the Indemnified Party under insurance policies with respect to such Damages in excess of the sum of (i) reasonable out-of-pocket costs and expenses relating to collection under such policies, (ii) any incremental increase in premiums directly resulting therefrom, and (iii) any deductible or retention associated therewith; provided that no Indemnified Party shall have any obligation to make a claim under any insurance policy, and any amounts recovered under insurance policies shall be secondary source of remedy for Damages (the indemnification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being the primary source).</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Law, any payment made by a Person indemnifying a Indemnified Party pursuant to this</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treated on the Parties’ Tax Returns and otherwise as an adjustment to the aggregate consideration payable by Purchaser for the Interests,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for all Tax purposes.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Payment of Indemnification Claims; Set-off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3" w:lineRule="auto"/>
        <w:tabs>
          <w:tab w:leader="none" w:pos="1236"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amount has been claimed by a Purchaser Indemnified Party pursuant to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(whether or not finally determined to be owed by the Sellers), and if the Milestone Payments have not yet been fully paid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Purchaser may set-off such amounts claimed against any Milestone Payments then due and payable but not yet paid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on a dollar-for-dollar basis, notwithstanding any objection by the Sellers; provided that any such set-off is not intended to, and shall not, affect the amount, Tax characterization or other Tax treatment of any payment hereunder for withholding tax purposes. The exercise of such right of set-off by Purchaser in good faith, whether or not the claim is ultimately determined to be justified, will not constitute a breach of this Agreement. Once an indemnification claim by a Purchaser Indemnified Party is finally determined in accordance with this Agreement, if the Damages relating to such claim are determined to be less than the amount set-off against the Milestone Payments, Purchaser shall, within 10 Business Days following such final determination, notify the Sellers of the same and pay such excess amount to the Sellers. Any claim, the Indemnifying Party’s Liability therefor and the amount of the related Damages shall be “</w:t>
      </w:r>
      <w:r>
        <w:rPr>
          <w:rFonts w:ascii="Times New Roman" w:cs="Times New Roman" w:eastAsia="Times New Roman" w:hAnsi="Times New Roman"/>
          <w:sz w:val="18"/>
          <w:szCs w:val="18"/>
          <w:b w:val="1"/>
          <w:bCs w:val="1"/>
          <w:color w:val="auto"/>
        </w:rPr>
        <w:t>finally determined</w:t>
      </w:r>
      <w:r>
        <w:rPr>
          <w:rFonts w:ascii="Times New Roman" w:cs="Times New Roman" w:eastAsia="Times New Roman" w:hAnsi="Times New Roman"/>
          <w:sz w:val="18"/>
          <w:szCs w:val="18"/>
          <w:color w:val="auto"/>
        </w:rPr>
        <w:t>” when the Parties to such claim have so determined by mutual written agreement or, if disputed, when a final Order of a Chosen Court shall have been entered, concerning such matters.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92" w:name="page693"/>
    <w:bookmarkEnd w:id="692"/>
    <w:p>
      <w:pPr>
        <w:ind w:right="80" w:firstLine="987"/>
        <w:spacing w:after="0" w:line="256" w:lineRule="auto"/>
        <w:tabs>
          <w:tab w:leader="none" w:pos="1246"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Selling Party waives, and acknowledges and agrees that such Seller shall not have and shall not exercise or assert (or attempt to exercise or assert), any right of contribution, right of indemnity or other right or remedy against Purchaser or the Company, or any of their respective Affiliates or Representatives, assigns or successors, for any indemnification claims asserted by any Purchaser Indemnified Party in connection with any indemnification obligation or any other Liability to which such Selling Party may become subject under or in connection with this Agreement, it being acknowledged and agreed that the representations, warranties, covenants and agreements of the Selling Parties are solely for the benefit of Purchaser Indemnified Parties.</w:t>
      </w:r>
    </w:p>
    <w:p>
      <w:pPr>
        <w:spacing w:after="0" w:line="7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To the extent permitted by Law, the Parties agree to treat all payments made or redemption and cancellation of shares of Purchaser Non-Voting Common Stock comprising the Shares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under any other indemnity provision contained in this Agreement, and for any misrepresentations or breach of warranties or covenants, as adjustments to the consideration payable for the Interests hereunder for all Tax purposes.</w:t>
      </w:r>
    </w:p>
    <w:p>
      <w:pPr>
        <w:spacing w:after="0" w:line="7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The remedies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the sole and exclusive monetary remedies of Purchaser and the Selling Parties with respect to any breach of any representations, warranties, covenants and agreements of Purchaser or the Selling Parties set forth in this Agreement or otherwise as between Purchaser and the Selling Parties arising out of this Agreement, regardless of the theory or cause of action pled, except for the remedies of specific performance, injunction and other equitable relief; provided, however, that neither Purchaser nor the Selling Parties shall be deemed to have waived any rights, claims, causes of action or remedies in the case of a Party’s fraud or intentional misrepresentation. The foregoing shall in no way limit the remedies available to any Person under any Ancillary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Shares and Share Certificate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60" w:firstLine="987"/>
        <w:spacing w:after="0" w:line="282" w:lineRule="auto"/>
        <w:tabs>
          <w:tab w:leader="none" w:pos="123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issued to the Sellers hereunder shall be represented by digital certificates and shall be recorded in book entry form in Purchaser’s electronic stock ledger.</w:t>
      </w:r>
    </w:p>
    <w:p>
      <w:pPr>
        <w:spacing w:after="0" w:line="53"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Purchaser shall be permitted to rely, without further inquiry, on the Allocation Schedule in delivering any Shares to the Sellers under this Agreement.</w:t>
      </w:r>
    </w:p>
    <w:p>
      <w:pPr>
        <w:spacing w:after="0" w:line="5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Neither this Agreement nor any of the rights, interests or obligations hereunder shall be assigned by any of the Parties, in whole or in part (whether by operation of law or otherwise), without the prior written consent of the other Party, and any attempt to make any such assignment without such consent shall be null and void, except that (a) Purchaser may assign, in its sole discretion, any or all of its rights, interests and obligations under this Agreement to any Affiliate of Purchaser without the consent of the other Parties (and an Affiliate of Purchaser may assign, in its sole discretion, any or all of its rights, interests and obligations under this Agreement to another Affiliate of Purchaser or to Purchaser without the consent of the other Parties) and (b) Purchaser may assign, in its sole discretion, any or all of its rights, interests and obligations under this Agreement to any entity that acquires all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93" w:name="page694"/>
    <w:bookmarkEnd w:id="69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substantially all of Purchaser’s assets related to this Agreement, whether by merger, stock purchase, asset purchase or otherwise, without the consent of the other Parties. Subject to the foregoing, this Agreement shall be binding upon and inure to the benefit of the Parties hereto and their respective successors, heirs, executors, administrators and permitted assigns.</w:t>
      </w:r>
    </w:p>
    <w:p>
      <w:pPr>
        <w:spacing w:after="0" w:line="6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waivers and other communications pursuant to this Agreement will be in writing and will be deemed given if delivered personally or delivered by electronic mail or globally recognized express delivery service to the Parties at the addresses set forth below or to such other address as the Party to whom notice is to be given is furnished to the other Parties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such delivery service’s systems.</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Purchaser,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Odyssey Therapeutics,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Ann Arbor, MI 48107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Gary D. Glick</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Jack S. Bodner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jbodner@cov.com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IFM Therapeutics,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855 Boylston Street, 11th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Management,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IFM Management,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IFM Therapeutics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855 Boylston Street, 11th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80"/>
          </w:cols>
          <w:pgMar w:left="440" w:top="270" w:right="579" w:bottom="1440" w:gutter="0" w:footer="0" w:header="0"/>
        </w:sectPr>
      </w:pPr>
    </w:p>
    <w:bookmarkStart w:id="694" w:name="page695"/>
    <w:bookmarkEnd w:id="6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IFM GmbH,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IFM International GmbH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IFM Therapeutics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855 Boylston Street, 11th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Quattro,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IFM Quattro,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IFM Therapeutics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855 Boylston Street, 11th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Cinque,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IFM Cinque,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IFM Therapeutics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855 Boylston Street, 11th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Continua,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IFM Continua,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IFM Therapeutics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855 Boylston Street, 11th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William D. Collins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wcollins@goodwinlaw.com</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039"/>
          </w:cols>
          <w:pgMar w:left="1420" w:top="270" w:right="1440" w:bottom="1440" w:gutter="0" w:footer="0" w:header="0"/>
        </w:sectPr>
      </w:pPr>
    </w:p>
    <w:bookmarkStart w:id="695" w:name="page696"/>
    <w:bookmarkEnd w:id="6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Governing Law; Jurisdiction; Service of Process;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will be governed by, and enforced and construed in accordance with, the Law of the State of Delaware, including its statutes of limitations, without regard to the conflict of Laws rules of such state that would result in the application of the Laws of another jurisdiction.</w:t>
      </w:r>
    </w:p>
    <w:p>
      <w:pPr>
        <w:spacing w:after="0" w:line="7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Each Party irrevocably agrees that any Action against it arising out of or in connection with this Agreement or the transactions contemplated by this Agreement or disputes relating hereto (whether for breach of contract, tortious conduct or otherwise) shall be brought exclusively in any Delaware State court, or Federal court of the United States of America, sitting in Delaware, and any appellate court from any appeal thereof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and hereby irrevocably accepts and submits to the exclusive jurisdiction and venue of the Chosen Courts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personam </w:t>
      </w:r>
      <w:r>
        <w:rPr>
          <w:rFonts w:ascii="Times New Roman" w:cs="Times New Roman" w:eastAsia="Times New Roman" w:hAnsi="Times New Roman"/>
          <w:sz w:val="18"/>
          <w:szCs w:val="18"/>
          <w:color w:val="auto"/>
        </w:rPr>
        <w:t>with respect to any such Action and waives to the fullest extent permitted by Law any objection that it may now or hereafter have that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has been brought in an inconvenient forum.</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Party agrees that:</w:t>
      </w:r>
    </w:p>
    <w:p>
      <w:pPr>
        <w:spacing w:after="0" w:line="117" w:lineRule="exact"/>
        <w:rPr>
          <w:rFonts w:ascii="Times New Roman" w:cs="Times New Roman" w:eastAsia="Times New Roman" w:hAnsi="Times New Roman"/>
          <w:sz w:val="18"/>
          <w:szCs w:val="18"/>
          <w:color w:val="auto"/>
        </w:rPr>
      </w:pPr>
    </w:p>
    <w:p>
      <w:pPr>
        <w:ind w:right="160" w:firstLine="1428"/>
        <w:spacing w:after="0" w:line="282" w:lineRule="auto"/>
        <w:tabs>
          <w:tab w:leader="none" w:pos="1647"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 of any process, summons, notice or document by registered mail to its address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be effective service of process for any action, suit or proceeding brought against it under this Agreement in the Chosen Courts; and</w:t>
      </w:r>
    </w:p>
    <w:p>
      <w:pPr>
        <w:spacing w:after="0" w:line="53" w:lineRule="exact"/>
        <w:rPr>
          <w:rFonts w:ascii="Times New Roman" w:cs="Times New Roman" w:eastAsia="Times New Roman" w:hAnsi="Times New Roman"/>
          <w:sz w:val="18"/>
          <w:szCs w:val="18"/>
          <w:color w:val="auto"/>
        </w:rPr>
      </w:pPr>
    </w:p>
    <w:p>
      <w:pPr>
        <w:ind w:right="480" w:firstLine="1428"/>
        <w:spacing w:after="0" w:line="282" w:lineRule="auto"/>
        <w:tabs>
          <w:tab w:leader="none" w:pos="1697"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a process agent to notify it of any process will not invalidate the relevant proceedings or render service of those proceeding ineffective. Nothing in this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xml:space="preserve"> affects any other method of service allowed by Law.</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IRREVOCABLY WAIVES, TO THE FULLEST EXTENT PERMITTED BY LAW,</w:t>
      </w:r>
    </w:p>
    <w:p>
      <w:pPr>
        <w:spacing w:after="0" w:line="27" w:lineRule="exact"/>
        <w:rPr>
          <w:rFonts w:ascii="Times New Roman" w:cs="Times New Roman" w:eastAsia="Times New Roman" w:hAnsi="Times New Roman"/>
          <w:sz w:val="18"/>
          <w:szCs w:val="18"/>
          <w:color w:val="auto"/>
        </w:rPr>
      </w:pPr>
    </w:p>
    <w:p>
      <w:pPr>
        <w:ind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9.4(d)</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620" w:firstLine="987"/>
        <w:spacing w:after="0" w:line="282" w:lineRule="auto"/>
        <w:tabs>
          <w:tab w:leader="none" w:pos="123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Disputes</w:t>
      </w:r>
      <w:r>
        <w:rPr>
          <w:rFonts w:ascii="Times New Roman" w:cs="Times New Roman" w:eastAsia="Times New Roman" w:hAnsi="Times New Roman"/>
          <w:sz w:val="18"/>
          <w:szCs w:val="18"/>
          <w:color w:val="auto"/>
        </w:rPr>
        <w:t xml:space="preserve">. Notwithstanding anything to the contrary in this Agreement, all Payment Disputes shall be pursued against Purchaser solely by the Sellers’ in accordance with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440" w:top="270" w:right="519" w:bottom="1440" w:gutter="0" w:footer="0" w:header="0"/>
        </w:sectPr>
      </w:pPr>
    </w:p>
    <w:bookmarkStart w:id="696" w:name="page697"/>
    <w:bookmarkEnd w:id="696"/>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modified, superseded or cancelled and any of the terms, covenants, representations, warranties or conditions hereof may be waived only by an instrument in writing signed by both Parties or, in the case of a waiver, by or on behalf of the Party waiving compliance. No course of dealing between the Parties shall be effective to amend or waive any provision of this Agreement. The waiver by any Party of any right hereunder or of the failure to perform or of a breach by any other Party shall not be deemed a waiver of any other right hereunder or of any other breach or failure by such other Party whether of a similar nature or otherwise.</w:t>
      </w:r>
    </w:p>
    <w:p>
      <w:pPr>
        <w:spacing w:after="0" w:line="7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herein, all fees and expenses incurred in connection with this Agreement and the transactions contemplated hereby, including fees and expenses of financial advisors, financial sponsors, legal counsel and other advisors, shall be paid by the Party incurring such expenses whether or not the transactions contemplated hereby are consummated; provided, however, that the Selling Parties, jointly and severally, shall be responsible for all Transaction Expenses of the Company, any of the Selling Parties or any of their respective Affiliates.</w:t>
      </w:r>
    </w:p>
    <w:p>
      <w:pPr>
        <w:spacing w:after="0" w:line="7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8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Upon the reasonable request of Purchaser or the Sellers, each Party will on and after the Closing Date execute and deliver, or cause to be executed and delivered, to the other Party such other documents, assignments and other instruments or will take, or cause to be taken, all such further actions as may be reasonably required to effect and evidence the provisions of this Agreement and the transactions contemplated hereby to have occurred at Closing.</w:t>
      </w:r>
    </w:p>
    <w:p>
      <w:pPr>
        <w:spacing w:after="0" w:line="7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Nothing expressed or referred to in this Agreement will be construed to give any Person other than the Parties (and their successors and permitted assigns), Indemnified Parties that are not Parties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Releasees that are not Parties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any legal or equitable right, remedy, or claim under or with respect to this Agreement or any provision of this Agreement.</w:t>
      </w:r>
    </w:p>
    <w:p>
      <w:pPr>
        <w:spacing w:after="0" w:line="68"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697" w:name="page698"/>
    <w:bookmarkEnd w:id="69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Injunctive Relief; Specific Performance</w:t>
      </w:r>
      <w:r>
        <w:rPr>
          <w:rFonts w:ascii="Times New Roman" w:cs="Times New Roman" w:eastAsia="Times New Roman" w:hAnsi="Times New Roman"/>
          <w:sz w:val="18"/>
          <w:szCs w:val="18"/>
          <w:color w:val="auto"/>
        </w:rPr>
        <w:t>. The Parties hereby acknowledge that irreparable damage would occur in the event that any of the provisions of this Agreement were not performed in accordance with their specific terms or were otherwise breached and that the non-breaching Parties would not have any adequate remedy at law. Accordingly, the Parties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Any requirements for the securing or posting of any bond with such remedy are waived.</w:t>
      </w:r>
    </w:p>
    <w:p>
      <w:pPr>
        <w:spacing w:after="0" w:line="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this Agreement, unless the context otherwise requires, references: (a) to the Recitals, Articles, Sections, Exhibits or Schedules are to a Recital, Article or Section of, or Exhibit or Schedule to, this Agreement; (b) to any agreement (including this Agreement) or contract are to the agreement or contract as amended, modified, supplemented or replaced from time to time in accordance with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with respect to the representations and warranties of the Selling Parties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(c) to any statute, rule or regulation shall be deemed to refer to such statute, rule or regulation as amended from time to time and to any rules, regulations or guidance promulgated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representations and warranties contained in this Agreement that are made as of a specific date or dates, references to any statute, rule or regulation shall be deemed to refer to such statute, rule or regulation, as amended (and, in the case of statutes, any rules and regulations promulgated under such statutes), in each case, as of such date; (d) to any Person include any successor, heir, executor or administrator, as applicable, to that Person or permitted assigns of that Person; and (e) to this Agreement are to this Agreement and the Exhibits and Schedules to it, taken as a whole. The table of contents and headings contained herein are for reference purposes only and do not limit or otherwise affect any of the provisions of this Agreement. Whenever the words “include,” “includes” or “including” are used in this Agreement, they shall be deemed to be followed by the words “without limitation.” Whenever the words “herein,” “hereby” or “hereunder” are used in this Agreement, they shall be deemed to refer to this Agreement as a whole and not to any specific Section, unless otherwise indicated. The terms herein defined in the singular shall have a comparable meaning when used in the plural, and vice versa. “</w:t>
      </w:r>
      <w:r>
        <w:rPr>
          <w:rFonts w:ascii="Times New Roman" w:cs="Times New Roman" w:eastAsia="Times New Roman" w:hAnsi="Times New Roman"/>
          <w:sz w:val="18"/>
          <w:szCs w:val="18"/>
          <w:u w:val="single" w:color="auto"/>
          <w:color w:val="auto"/>
        </w:rPr>
        <w:t>Extent</w:t>
      </w:r>
      <w:r>
        <w:rPr>
          <w:rFonts w:ascii="Times New Roman" w:cs="Times New Roman" w:eastAsia="Times New Roman" w:hAnsi="Times New Roman"/>
          <w:sz w:val="18"/>
          <w:szCs w:val="18"/>
          <w:color w:val="auto"/>
        </w:rPr>
        <w:t>” in the phrase “to the extent” means the degree to which a subject or other thing extends, and such phrase does not mean simply “if.” The masculine, feminine and neuter genders used herein shall include each other gender. The terms “dollars” and “$” means dollars of the United States of America. The word “or” is used in the inclusive sense (and/or).</w:t>
      </w:r>
    </w:p>
    <w:p>
      <w:pPr>
        <w:spacing w:after="0" w:line="8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translations, the English version shall control.</w:t>
      </w:r>
    </w:p>
    <w:p>
      <w:pPr>
        <w:spacing w:after="0" w:line="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such counterpart hereof shall be deemed to be an original instrument, but all such counterparts together shall constitute but one agreement. Delivery of an executed counterpart of a signature page of this Agreement by facsimile, electronic mail or other electronic transmission shall be effective as delivery of a manually executed original counterpart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98" w:name="page699"/>
    <w:bookmarkEnd w:id="69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Exhibits and Schedules referenced in this Agreement are a material part hereof and shall be treated as if fully incorporated into the body of the Agreement. This Agreement, together with the Confidentiality Agreement and the other documents and instruments specifically referred to herein, all Exhibits and Schedules hereto, and the Selling Parties’ Disclosure Letter, constitutes the entire agreement among the Parties and their respective Affiliates pertaining to the subject matter hereof and supersedes all prior agreements, understandings, negotiations and discussions, whether oral or written, of the Parties with respect to the subject matter hereof.</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20"/>
          </w:cols>
          <w:pgMar w:left="440" w:top="270" w:right="639" w:bottom="1440" w:gutter="0" w:footer="0" w:header="0"/>
        </w:sectPr>
      </w:pPr>
    </w:p>
    <w:bookmarkStart w:id="699" w:name="page700"/>
    <w:bookmarkEnd w:id="69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or caused this Agreement to be duly executed by their respective officers thereunto duly authorized, all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ODYSSEY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Gary D. Glick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Membership Interest Purchase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700" w:name="page701"/>
    <w:bookmarkEnd w:id="70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or caused this Agreement to be duly executed by their respective officers thereunto duly authorized, all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IFM THERAPEUTICS,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 Martin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 Martin Seidel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IFM MANAGEMENT,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 Martin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 Martin Seidel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IFM THERAPEUTICS GMBH</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 Martin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 Martin Seidel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IFM QUATTRO,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 Martin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 Martin Seidel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IFM CINQUE,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 Martin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 Martin Seidel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IFM CONTINUA,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 Martin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 Martin Seidel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Membership Interest Purchase Agreement</w:t>
      </w:r>
      <w:r>
        <w:rPr>
          <w:rFonts w:ascii="Times New Roman" w:cs="Times New Roman" w:eastAsia="Times New Roman" w:hAnsi="Times New Roman"/>
          <w:sz w:val="18"/>
          <w:szCs w:val="18"/>
          <w:color w:val="auto"/>
        </w:rPr>
        <w:t>]</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E95EAC"/>
    <w:multiLevelType w:val="hybridMultilevel"/>
    <w:lvl w:ilvl="0">
      <w:lvlJc w:val="left"/>
      <w:lvlText w:val="(%1)"/>
      <w:numFmt w:val="decimal"/>
      <w:start w:val="1"/>
    </w:lvl>
  </w:abstractNum>
  <w:abstractNum w:abstractNumId="1">
    <w:nsid w:val="4B697C7A"/>
    <w:multiLevelType w:val="hybridMultilevel"/>
    <w:lvl w:ilvl="0">
      <w:lvlJc w:val="left"/>
      <w:lvlText w:val="•"/>
      <w:numFmt w:val="bullet"/>
      <w:start w:val="1"/>
    </w:lvl>
  </w:abstractNum>
  <w:abstractNum w:abstractNumId="2">
    <w:nsid w:val="51A27AA6"/>
    <w:multiLevelType w:val="hybridMultilevel"/>
    <w:lvl w:ilvl="0">
      <w:lvlJc w:val="left"/>
      <w:lvlText w:val="•"/>
      <w:numFmt w:val="bullet"/>
      <w:start w:val="1"/>
    </w:lvl>
  </w:abstractNum>
  <w:abstractNum w:abstractNumId="3">
    <w:nsid w:val="613183F2"/>
    <w:multiLevelType w:val="hybridMultilevel"/>
    <w:lvl w:ilvl="0">
      <w:lvlJc w:val="left"/>
      <w:lvlText w:val="•"/>
      <w:numFmt w:val="bullet"/>
      <w:start w:val="1"/>
    </w:lvl>
  </w:abstractNum>
  <w:abstractNum w:abstractNumId="4">
    <w:nsid w:val="634102B4"/>
    <w:multiLevelType w:val="hybridMultilevel"/>
    <w:lvl w:ilvl="0">
      <w:lvlJc w:val="left"/>
      <w:lvlText w:val="•"/>
      <w:numFmt w:val="bullet"/>
      <w:start w:val="1"/>
    </w:lvl>
  </w:abstractNum>
  <w:abstractNum w:abstractNumId="5">
    <w:nsid w:val="65BF9DA8"/>
    <w:multiLevelType w:val="hybridMultilevel"/>
    <w:lvl w:ilvl="0">
      <w:lvlJc w:val="left"/>
      <w:lvlText w:val="•"/>
      <w:numFmt w:val="bullet"/>
      <w:start w:val="1"/>
    </w:lvl>
  </w:abstractNum>
  <w:abstractNum w:abstractNumId="6">
    <w:nsid w:val="21A2ECCA"/>
    <w:multiLevelType w:val="hybridMultilevel"/>
    <w:lvl w:ilvl="0">
      <w:lvlJc w:val="left"/>
      <w:lvlText w:val="•"/>
      <w:numFmt w:val="bullet"/>
      <w:start w:val="1"/>
    </w:lvl>
  </w:abstractNum>
  <w:abstractNum w:abstractNumId="7">
    <w:nsid w:val="4D5C4899"/>
    <w:multiLevelType w:val="hybridMultilevel"/>
    <w:lvl w:ilvl="0">
      <w:lvlJc w:val="left"/>
      <w:lvlText w:val="•"/>
      <w:numFmt w:val="bullet"/>
      <w:start w:val="1"/>
    </w:lvl>
  </w:abstractNum>
  <w:abstractNum w:abstractNumId="8">
    <w:nsid w:val="3C3B72B2"/>
    <w:multiLevelType w:val="hybridMultilevel"/>
    <w:lvl w:ilvl="0">
      <w:lvlJc w:val="left"/>
      <w:lvlText w:val="•"/>
      <w:numFmt w:val="bullet"/>
      <w:start w:val="1"/>
    </w:lvl>
  </w:abstractNum>
  <w:abstractNum w:abstractNumId="9">
    <w:nsid w:val="155EC4C2"/>
    <w:multiLevelType w:val="hybridMultilevel"/>
    <w:lvl w:ilvl="0">
      <w:lvlJc w:val="left"/>
      <w:lvlText w:val="•"/>
      <w:numFmt w:val="bullet"/>
      <w:start w:val="1"/>
    </w:lvl>
  </w:abstractNum>
  <w:abstractNum w:abstractNumId="10">
    <w:nsid w:val="65D2A137"/>
    <w:multiLevelType w:val="hybridMultilevel"/>
    <w:lvl w:ilvl="0">
      <w:lvlJc w:val="left"/>
      <w:lvlText w:val="(%1)"/>
      <w:numFmt w:val="decimal"/>
      <w:start w:val="1"/>
    </w:lvl>
  </w:abstractNum>
  <w:abstractNum w:abstractNumId="11">
    <w:nsid w:val="6EBB1F2A"/>
    <w:multiLevelType w:val="hybridMultilevel"/>
    <w:lvl w:ilvl="0">
      <w:lvlJc w:val="left"/>
      <w:lvlText w:val="(%1)"/>
      <w:numFmt w:val="decimal"/>
      <w:start w:val="1"/>
    </w:lvl>
  </w:abstractNum>
  <w:abstractNum w:abstractNumId="12">
    <w:nsid w:val="6FBF29CB"/>
    <w:multiLevelType w:val="hybridMultilevel"/>
    <w:lvl w:ilvl="0">
      <w:lvlJc w:val="left"/>
      <w:lvlText w:val="(%1)"/>
      <w:numFmt w:val="decimal"/>
      <w:start w:val="3"/>
    </w:lvl>
  </w:abstractNum>
  <w:abstractNum w:abstractNumId="13">
    <w:nsid w:val="550B8808"/>
    <w:multiLevelType w:val="hybridMultilevel"/>
    <w:lvl w:ilvl="0">
      <w:lvlJc w:val="left"/>
      <w:lvlText w:val="•"/>
      <w:numFmt w:val="bullet"/>
      <w:start w:val="1"/>
    </w:lvl>
  </w:abstractNum>
  <w:abstractNum w:abstractNumId="14">
    <w:nsid w:val="34CC3ACF"/>
    <w:multiLevelType w:val="hybridMultilevel"/>
    <w:lvl w:ilvl="0">
      <w:lvlJc w:val="left"/>
      <w:lvlText w:val="•"/>
      <w:numFmt w:val="bullet"/>
      <w:start w:val="1"/>
    </w:lvl>
  </w:abstractNum>
  <w:abstractNum w:abstractNumId="15">
    <w:nsid w:val="4E556261"/>
    <w:multiLevelType w:val="hybridMultilevel"/>
    <w:lvl w:ilvl="0">
      <w:lvlJc w:val="left"/>
      <w:lvlText w:val="•"/>
      <w:numFmt w:val="bullet"/>
      <w:start w:val="1"/>
    </w:lvl>
  </w:abstractNum>
  <w:abstractNum w:abstractNumId="16">
    <w:nsid w:val="4C672FC9"/>
    <w:multiLevelType w:val="hybridMultilevel"/>
    <w:lvl w:ilvl="0">
      <w:lvlJc w:val="left"/>
      <w:lvlText w:val="•"/>
      <w:numFmt w:val="bullet"/>
      <w:start w:val="1"/>
    </w:lvl>
  </w:abstractNum>
  <w:abstractNum w:abstractNumId="17">
    <w:nsid w:val="52A311C3"/>
    <w:multiLevelType w:val="hybridMultilevel"/>
    <w:lvl w:ilvl="0">
      <w:lvlJc w:val="left"/>
      <w:lvlText w:val="•"/>
      <w:numFmt w:val="bullet"/>
      <w:start w:val="1"/>
    </w:lvl>
  </w:abstractNum>
  <w:abstractNum w:abstractNumId="18">
    <w:nsid w:val="44EF6B80"/>
    <w:multiLevelType w:val="hybridMultilevel"/>
    <w:lvl w:ilvl="0">
      <w:lvlJc w:val="left"/>
      <w:lvlText w:val="•"/>
      <w:numFmt w:val="bullet"/>
      <w:start w:val="1"/>
    </w:lvl>
  </w:abstractNum>
  <w:abstractNum w:abstractNumId="19">
    <w:nsid w:val="12FCDE5E"/>
    <w:multiLevelType w:val="hybridMultilevel"/>
    <w:lvl w:ilvl="0">
      <w:lvlJc w:val="left"/>
      <w:lvlText w:val="•"/>
      <w:numFmt w:val="bullet"/>
      <w:start w:val="1"/>
    </w:lvl>
  </w:abstractNum>
  <w:abstractNum w:abstractNumId="20">
    <w:nsid w:val="4A1D606E"/>
    <w:multiLevelType w:val="hybridMultilevel"/>
    <w:lvl w:ilvl="0">
      <w:lvlJc w:val="left"/>
      <w:lvlText w:val="•"/>
      <w:numFmt w:val="bullet"/>
      <w:start w:val="1"/>
    </w:lvl>
  </w:abstractNum>
  <w:abstractNum w:abstractNumId="21">
    <w:nsid w:val="4382503"/>
    <w:multiLevelType w:val="hybridMultilevel"/>
    <w:lvl w:ilvl="0">
      <w:lvlJc w:val="left"/>
      <w:lvlText w:val="•"/>
      <w:numFmt w:val="bullet"/>
      <w:start w:val="1"/>
    </w:lvl>
  </w:abstractNum>
  <w:abstractNum w:abstractNumId="22">
    <w:nsid w:val="59B76E28"/>
    <w:multiLevelType w:val="hybridMultilevel"/>
    <w:lvl w:ilvl="0">
      <w:lvlJc w:val="left"/>
      <w:lvlText w:val="•"/>
      <w:numFmt w:val="bullet"/>
      <w:start w:val="1"/>
    </w:lvl>
  </w:abstractNum>
  <w:abstractNum w:abstractNumId="23">
    <w:nsid w:val="4252C2DA"/>
    <w:multiLevelType w:val="hybridMultilevel"/>
    <w:lvl w:ilvl="0">
      <w:lvlJc w:val="left"/>
      <w:lvlText w:val="•"/>
      <w:numFmt w:val="bullet"/>
      <w:start w:val="1"/>
    </w:lvl>
  </w:abstractNum>
  <w:abstractNum w:abstractNumId="24">
    <w:nsid w:val="6A92EF4C"/>
    <w:multiLevelType w:val="hybridMultilevel"/>
    <w:lvl w:ilvl="0">
      <w:lvlJc w:val="left"/>
      <w:lvlText w:val="•"/>
      <w:numFmt w:val="bullet"/>
      <w:start w:val="1"/>
    </w:lvl>
  </w:abstractNum>
  <w:abstractNum w:abstractNumId="25">
    <w:nsid w:val="41ED20D7"/>
    <w:multiLevelType w:val="hybridMultilevel"/>
    <w:lvl w:ilvl="0">
      <w:lvlJc w:val="left"/>
      <w:lvlText w:val="•"/>
      <w:numFmt w:val="bullet"/>
      <w:start w:val="1"/>
    </w:lvl>
  </w:abstractNum>
  <w:abstractNum w:abstractNumId="26">
    <w:nsid w:val="E6B3F6A"/>
    <w:multiLevelType w:val="hybridMultilevel"/>
    <w:lvl w:ilvl="0">
      <w:lvlJc w:val="left"/>
      <w:lvlText w:val="•"/>
      <w:numFmt w:val="bullet"/>
      <w:start w:val="1"/>
    </w:lvl>
  </w:abstractNum>
  <w:abstractNum w:abstractNumId="27">
    <w:nsid w:val="3EB21819"/>
    <w:multiLevelType w:val="hybridMultilevel"/>
    <w:lvl w:ilvl="0">
      <w:lvlJc w:val="left"/>
      <w:lvlText w:val="•"/>
      <w:numFmt w:val="bullet"/>
      <w:start w:val="1"/>
    </w:lvl>
  </w:abstractNum>
  <w:abstractNum w:abstractNumId="28">
    <w:nsid w:val="41531DED"/>
    <w:multiLevelType w:val="hybridMultilevel"/>
    <w:lvl w:ilvl="0">
      <w:lvlJc w:val="left"/>
      <w:lvlText w:val="•"/>
      <w:numFmt w:val="bullet"/>
      <w:start w:val="1"/>
    </w:lvl>
  </w:abstractNum>
  <w:abstractNum w:abstractNumId="29">
    <w:nsid w:val="6353CD2"/>
    <w:multiLevelType w:val="hybridMultilevel"/>
    <w:lvl w:ilvl="0">
      <w:lvlJc w:val="left"/>
      <w:lvlText w:val="•"/>
      <w:numFmt w:val="bullet"/>
      <w:start w:val="1"/>
    </w:lvl>
  </w:abstractNum>
  <w:abstractNum w:abstractNumId="30">
    <w:nsid w:val="683CAAD3"/>
    <w:multiLevelType w:val="hybridMultilevel"/>
    <w:lvl w:ilvl="0">
      <w:lvlJc w:val="left"/>
      <w:lvlText w:val="•"/>
      <w:numFmt w:val="bullet"/>
      <w:start w:val="1"/>
    </w:lvl>
  </w:abstractNum>
  <w:abstractNum w:abstractNumId="31">
    <w:nsid w:val="313C7C99"/>
    <w:multiLevelType w:val="hybridMultilevel"/>
    <w:lvl w:ilvl="0">
      <w:lvlJc w:val="left"/>
      <w:lvlText w:val="•"/>
      <w:numFmt w:val="bullet"/>
      <w:start w:val="1"/>
    </w:lvl>
  </w:abstractNum>
  <w:abstractNum w:abstractNumId="32">
    <w:nsid w:val="519EB94C"/>
    <w:multiLevelType w:val="hybridMultilevel"/>
    <w:lvl w:ilvl="0">
      <w:lvlJc w:val="left"/>
      <w:lvlText w:val="•"/>
      <w:numFmt w:val="bullet"/>
      <w:start w:val="1"/>
    </w:lvl>
  </w:abstractNum>
  <w:abstractNum w:abstractNumId="33">
    <w:nsid w:val="39DF2579"/>
    <w:multiLevelType w:val="hybridMultilevel"/>
    <w:lvl w:ilvl="0">
      <w:lvlJc w:val="left"/>
      <w:lvlText w:val="•"/>
      <w:numFmt w:val="bullet"/>
      <w:start w:val="1"/>
    </w:lvl>
  </w:abstractNum>
  <w:abstractNum w:abstractNumId="34">
    <w:nsid w:val="126E008B"/>
    <w:multiLevelType w:val="hybridMultilevel"/>
    <w:lvl w:ilvl="0">
      <w:lvlJc w:val="left"/>
      <w:lvlText w:val="•"/>
      <w:numFmt w:val="bullet"/>
      <w:start w:val="1"/>
    </w:lvl>
  </w:abstractNum>
  <w:abstractNum w:abstractNumId="35">
    <w:nsid w:val="34DFBC00"/>
    <w:multiLevelType w:val="hybridMultilevel"/>
    <w:lvl w:ilvl="0">
      <w:lvlJc w:val="left"/>
      <w:lvlText w:val="•"/>
      <w:numFmt w:val="bullet"/>
      <w:start w:val="1"/>
    </w:lvl>
  </w:abstractNum>
  <w:abstractNum w:abstractNumId="36">
    <w:nsid w:val="1F9EC322"/>
    <w:multiLevelType w:val="hybridMultilevel"/>
    <w:lvl w:ilvl="0">
      <w:lvlJc w:val="left"/>
      <w:lvlText w:val="•"/>
      <w:numFmt w:val="bullet"/>
      <w:start w:val="1"/>
    </w:lvl>
  </w:abstractNum>
  <w:abstractNum w:abstractNumId="37">
    <w:nsid w:val="3410ED56"/>
    <w:multiLevelType w:val="hybridMultilevel"/>
    <w:lvl w:ilvl="0">
      <w:lvlJc w:val="left"/>
      <w:lvlText w:val="•"/>
      <w:numFmt w:val="bullet"/>
      <w:start w:val="1"/>
    </w:lvl>
  </w:abstractNum>
  <w:abstractNum w:abstractNumId="38">
    <w:nsid w:val="23C049A"/>
    <w:multiLevelType w:val="hybridMultilevel"/>
    <w:lvl w:ilvl="0">
      <w:lvlJc w:val="left"/>
      <w:lvlText w:val="•"/>
      <w:numFmt w:val="bullet"/>
      <w:start w:val="1"/>
    </w:lvl>
  </w:abstractNum>
  <w:abstractNum w:abstractNumId="39">
    <w:nsid w:val="5BDA35D4"/>
    <w:multiLevelType w:val="hybridMultilevel"/>
    <w:lvl w:ilvl="0">
      <w:lvlJc w:val="left"/>
      <w:lvlText w:val="(%1)"/>
      <w:numFmt w:val="lowerLetter"/>
      <w:start w:val="2"/>
    </w:lvl>
  </w:abstractNum>
  <w:abstractNum w:abstractNumId="40">
    <w:nsid w:val="496FB218"/>
    <w:multiLevelType w:val="hybridMultilevel"/>
    <w:lvl w:ilvl="0">
      <w:lvlJc w:val="left"/>
      <w:lvlText w:val="•"/>
      <w:numFmt w:val="bullet"/>
      <w:start w:val="1"/>
    </w:lvl>
  </w:abstractNum>
  <w:abstractNum w:abstractNumId="41">
    <w:nsid w:val="680EA5D1"/>
    <w:multiLevelType w:val="hybridMultilevel"/>
    <w:lvl w:ilvl="0">
      <w:lvlJc w:val="left"/>
      <w:lvlText w:val="•"/>
      <w:numFmt w:val="bullet"/>
      <w:start w:val="1"/>
    </w:lvl>
  </w:abstractNum>
  <w:abstractNum w:abstractNumId="42">
    <w:nsid w:val="4A9554FE"/>
    <w:multiLevelType w:val="hybridMultilevel"/>
    <w:lvl w:ilvl="0">
      <w:lvlJc w:val="left"/>
      <w:lvlText w:val="•"/>
      <w:numFmt w:val="bullet"/>
      <w:start w:val="1"/>
    </w:lvl>
  </w:abstractNum>
  <w:abstractNum w:abstractNumId="43">
    <w:nsid w:val="392EDBE4"/>
    <w:multiLevelType w:val="hybridMultilevel"/>
    <w:lvl w:ilvl="0">
      <w:lvlJc w:val="left"/>
      <w:lvlText w:val="•"/>
      <w:numFmt w:val="bullet"/>
      <w:start w:val="1"/>
    </w:lvl>
  </w:abstractNum>
  <w:abstractNum w:abstractNumId="44">
    <w:nsid w:val="3D1A2DD9"/>
    <w:multiLevelType w:val="hybridMultilevel"/>
    <w:lvl w:ilvl="0">
      <w:lvlJc w:val="left"/>
      <w:lvlText w:val="•"/>
      <w:numFmt w:val="bullet"/>
      <w:start w:val="1"/>
    </w:lvl>
  </w:abstractNum>
  <w:abstractNum w:abstractNumId="45">
    <w:nsid w:val="7F618FCD"/>
    <w:multiLevelType w:val="hybridMultilevel"/>
    <w:lvl w:ilvl="0">
      <w:lvlJc w:val="left"/>
      <w:lvlText w:val="•"/>
      <w:numFmt w:val="bullet"/>
      <w:start w:val="1"/>
    </w:lvl>
  </w:abstractNum>
  <w:abstractNum w:abstractNumId="46">
    <w:nsid w:val="7843E45"/>
    <w:multiLevelType w:val="hybridMultilevel"/>
    <w:lvl w:ilvl="0">
      <w:lvlJc w:val="left"/>
      <w:lvlText w:val="•"/>
      <w:numFmt w:val="bullet"/>
      <w:start w:val="1"/>
    </w:lvl>
  </w:abstractNum>
  <w:abstractNum w:abstractNumId="47">
    <w:nsid w:val="9815DA3"/>
    <w:multiLevelType w:val="hybridMultilevel"/>
    <w:lvl w:ilvl="0">
      <w:lvlJc w:val="left"/>
      <w:lvlText w:val="•"/>
      <w:numFmt w:val="bullet"/>
      <w:start w:val="1"/>
    </w:lvl>
  </w:abstractNum>
  <w:abstractNum w:abstractNumId="48">
    <w:nsid w:val="5204A191"/>
    <w:multiLevelType w:val="hybridMultilevel"/>
    <w:lvl w:ilvl="0">
      <w:lvlJc w:val="left"/>
      <w:lvlText w:val="•"/>
      <w:numFmt w:val="bullet"/>
      <w:start w:val="1"/>
    </w:lvl>
  </w:abstractNum>
  <w:abstractNum w:abstractNumId="49">
    <w:nsid w:val="4C73A9C6"/>
    <w:multiLevelType w:val="hybridMultilevel"/>
    <w:lvl w:ilvl="0">
      <w:lvlJc w:val="left"/>
      <w:lvlText w:val="•"/>
      <w:numFmt w:val="bullet"/>
      <w:start w:val="1"/>
    </w:lvl>
  </w:abstractNum>
  <w:abstractNum w:abstractNumId="50">
    <w:nsid w:val="1C7E3C01"/>
    <w:multiLevelType w:val="hybridMultilevel"/>
    <w:lvl w:ilvl="0">
      <w:lvlJc w:val="left"/>
      <w:lvlText w:val="(%1)"/>
      <w:numFmt w:val="decimal"/>
      <w:start w:val="1"/>
    </w:lvl>
  </w:abstractNum>
  <w:abstractNum w:abstractNumId="51">
    <w:nsid w:val="1C2201FF"/>
    <w:multiLevelType w:val="hybridMultilevel"/>
    <w:lvl w:ilvl="0">
      <w:lvlJc w:val="left"/>
      <w:lvlText w:val="•"/>
      <w:numFmt w:val="bullet"/>
      <w:start w:val="1"/>
    </w:lvl>
  </w:abstractNum>
  <w:abstractNum w:abstractNumId="52">
    <w:nsid w:val="50ABCEC9"/>
    <w:multiLevelType w:val="hybridMultilevel"/>
    <w:lvl w:ilvl="0">
      <w:lvlJc w:val="left"/>
      <w:lvlText w:val="•"/>
      <w:numFmt w:val="bullet"/>
      <w:start w:val="1"/>
    </w:lvl>
  </w:abstractNum>
  <w:abstractNum w:abstractNumId="53">
    <w:nsid w:val="7635AA2A"/>
    <w:multiLevelType w:val="hybridMultilevel"/>
    <w:lvl w:ilvl="0">
      <w:lvlJc w:val="left"/>
      <w:lvlText w:val="•"/>
      <w:numFmt w:val="bullet"/>
      <w:start w:val="1"/>
    </w:lvl>
  </w:abstractNum>
  <w:abstractNum w:abstractNumId="54">
    <w:nsid w:val="5E74C4D9"/>
    <w:multiLevelType w:val="hybridMultilevel"/>
    <w:lvl w:ilvl="0">
      <w:lvlJc w:val="left"/>
      <w:lvlText w:val="•"/>
      <w:numFmt w:val="bullet"/>
      <w:start w:val="1"/>
    </w:lvl>
  </w:abstractNum>
  <w:abstractNum w:abstractNumId="55">
    <w:nsid w:val="3B3EBE15"/>
    <w:multiLevelType w:val="hybridMultilevel"/>
    <w:lvl w:ilvl="0">
      <w:lvlJc w:val="left"/>
      <w:lvlText w:val="•"/>
      <w:numFmt w:val="bullet"/>
      <w:start w:val="1"/>
    </w:lvl>
  </w:abstractNum>
  <w:abstractNum w:abstractNumId="56">
    <w:nsid w:val="3822CB01"/>
    <w:multiLevelType w:val="hybridMultilevel"/>
    <w:lvl w:ilvl="0">
      <w:lvlJc w:val="left"/>
      <w:lvlText w:val="•"/>
      <w:numFmt w:val="bullet"/>
      <w:start w:val="1"/>
    </w:lvl>
  </w:abstractNum>
  <w:abstractNum w:abstractNumId="57">
    <w:nsid w:val="6CE00443"/>
    <w:multiLevelType w:val="hybridMultilevel"/>
    <w:lvl w:ilvl="0">
      <w:lvlJc w:val="left"/>
      <w:lvlText w:val="•"/>
      <w:numFmt w:val="bullet"/>
      <w:start w:val="1"/>
    </w:lvl>
  </w:abstractNum>
  <w:abstractNum w:abstractNumId="58">
    <w:nsid w:val="79F0D62F"/>
    <w:multiLevelType w:val="hybridMultilevel"/>
    <w:lvl w:ilvl="0">
      <w:lvlJc w:val="left"/>
      <w:lvlText w:val="•"/>
      <w:numFmt w:val="bullet"/>
      <w:start w:val="1"/>
    </w:lvl>
  </w:abstractNum>
  <w:abstractNum w:abstractNumId="59">
    <w:nsid w:val="7975E8EE"/>
    <w:multiLevelType w:val="hybridMultilevel"/>
    <w:lvl w:ilvl="0">
      <w:lvlJc w:val="left"/>
      <w:lvlText w:val="•"/>
      <w:numFmt w:val="bullet"/>
      <w:start w:val="1"/>
    </w:lvl>
  </w:abstractNum>
  <w:abstractNum w:abstractNumId="60">
    <w:nsid w:val="73154115"/>
    <w:multiLevelType w:val="hybridMultilevel"/>
    <w:lvl w:ilvl="0">
      <w:lvlJc w:val="left"/>
      <w:lvlText w:val="•"/>
      <w:numFmt w:val="bullet"/>
      <w:start w:val="1"/>
    </w:lvl>
  </w:abstractNum>
  <w:abstractNum w:abstractNumId="61">
    <w:nsid w:val="622D8102"/>
    <w:multiLevelType w:val="hybridMultilevel"/>
    <w:lvl w:ilvl="0">
      <w:lvlJc w:val="left"/>
      <w:lvlText w:val="•"/>
      <w:numFmt w:val="bullet"/>
      <w:start w:val="1"/>
    </w:lvl>
  </w:abstractNum>
  <w:abstractNum w:abstractNumId="62">
    <w:nsid w:val="2AB26587"/>
    <w:multiLevelType w:val="hybridMultilevel"/>
    <w:lvl w:ilvl="0">
      <w:lvlJc w:val="left"/>
      <w:lvlText w:val="•"/>
      <w:numFmt w:val="bullet"/>
      <w:start w:val="1"/>
    </w:lvl>
  </w:abstractNum>
  <w:abstractNum w:abstractNumId="63">
    <w:nsid w:val="44B3FA61"/>
    <w:multiLevelType w:val="hybridMultilevel"/>
    <w:lvl w:ilvl="0">
      <w:lvlJc w:val="left"/>
      <w:lvlText w:val="•"/>
      <w:numFmt w:val="bullet"/>
      <w:start w:val="1"/>
    </w:lvl>
  </w:abstractNum>
  <w:abstractNum w:abstractNumId="64">
    <w:nsid w:val="1C0CA67C"/>
    <w:multiLevelType w:val="hybridMultilevel"/>
    <w:lvl w:ilvl="0">
      <w:lvlJc w:val="left"/>
      <w:lvlText w:val="•"/>
      <w:numFmt w:val="bullet"/>
      <w:start w:val="1"/>
    </w:lvl>
  </w:abstractNum>
  <w:abstractNum w:abstractNumId="65">
    <w:nsid w:val="3D206613"/>
    <w:multiLevelType w:val="hybridMultilevel"/>
    <w:lvl w:ilvl="0">
      <w:lvlJc w:val="left"/>
      <w:lvlText w:val="•"/>
      <w:numFmt w:val="bullet"/>
      <w:start w:val="1"/>
    </w:lvl>
  </w:abstractNum>
  <w:abstractNum w:abstractNumId="66">
    <w:nsid w:val="7993B662"/>
    <w:multiLevelType w:val="hybridMultilevel"/>
    <w:lvl w:ilvl="0">
      <w:lvlJc w:val="left"/>
      <w:lvlText w:val="•"/>
      <w:numFmt w:val="bullet"/>
      <w:start w:val="1"/>
    </w:lvl>
  </w:abstractNum>
  <w:abstractNum w:abstractNumId="67">
    <w:nsid w:val="3BAB699E"/>
    <w:multiLevelType w:val="hybridMultilevel"/>
    <w:lvl w:ilvl="0">
      <w:lvlJc w:val="left"/>
      <w:lvlText w:val="•"/>
      <w:numFmt w:val="bullet"/>
      <w:start w:val="1"/>
    </w:lvl>
  </w:abstractNum>
  <w:abstractNum w:abstractNumId="68">
    <w:nsid w:val="71315369"/>
    <w:multiLevelType w:val="hybridMultilevel"/>
    <w:lvl w:ilvl="0">
      <w:lvlJc w:val="left"/>
      <w:lvlText w:val="(%1)"/>
      <w:numFmt w:val="lowerRoman"/>
      <w:start w:val="4"/>
    </w:lvl>
  </w:abstractNum>
  <w:abstractNum w:abstractNumId="69">
    <w:nsid w:val="7BCFBAFC"/>
    <w:multiLevelType w:val="hybridMultilevel"/>
    <w:lvl w:ilvl="0">
      <w:lvlJc w:val="left"/>
      <w:lvlText w:val="•"/>
      <w:numFmt w:val="bullet"/>
      <w:start w:val="1"/>
    </w:lvl>
  </w:abstractNum>
  <w:abstractNum w:abstractNumId="70">
    <w:nsid w:val="17859F72"/>
    <w:multiLevelType w:val="hybridMultilevel"/>
    <w:lvl w:ilvl="0">
      <w:lvlJc w:val="left"/>
      <w:lvlText w:val="(%1)"/>
      <w:numFmt w:val="lowerRoman"/>
      <w:start w:val="2"/>
    </w:lvl>
  </w:abstractNum>
  <w:abstractNum w:abstractNumId="71">
    <w:nsid w:val="3AA10581"/>
    <w:multiLevelType w:val="hybridMultilevel"/>
    <w:lvl w:ilvl="0">
      <w:lvlJc w:val="left"/>
      <w:lvlText w:val="•"/>
      <w:numFmt w:val="bullet"/>
      <w:start w:val="1"/>
    </w:lvl>
  </w:abstractNum>
  <w:abstractNum w:abstractNumId="72">
    <w:nsid w:val="63DE60CD"/>
    <w:multiLevelType w:val="hybridMultilevel"/>
    <w:lvl w:ilvl="0">
      <w:lvlJc w:val="left"/>
      <w:lvlText w:val="•"/>
      <w:numFmt w:val="bullet"/>
      <w:start w:val="1"/>
    </w:lvl>
  </w:abstractNum>
  <w:abstractNum w:abstractNumId="73">
    <w:nsid w:val="621AF471"/>
    <w:multiLevelType w:val="hybridMultilevel"/>
    <w:lvl w:ilvl="0">
      <w:lvlJc w:val="left"/>
      <w:lvlText w:val="•"/>
      <w:numFmt w:val="bullet"/>
      <w:start w:val="1"/>
    </w:lvl>
  </w:abstractNum>
  <w:abstractNum w:abstractNumId="74">
    <w:nsid w:val="73CFE165"/>
    <w:multiLevelType w:val="hybridMultilevel"/>
    <w:lvl w:ilvl="0">
      <w:lvlJc w:val="left"/>
      <w:lvlText w:val="•"/>
      <w:numFmt w:val="bullet"/>
      <w:start w:val="1"/>
    </w:lvl>
  </w:abstractNum>
  <w:abstractNum w:abstractNumId="75">
    <w:nsid w:val="20F88EA6"/>
    <w:multiLevelType w:val="hybridMultilevel"/>
    <w:lvl w:ilvl="0">
      <w:lvlJc w:val="left"/>
      <w:lvlText w:val="•"/>
      <w:numFmt w:val="bullet"/>
      <w:start w:val="1"/>
    </w:lvl>
  </w:abstractNum>
  <w:abstractNum w:abstractNumId="76">
    <w:nsid w:val="617C843E"/>
    <w:multiLevelType w:val="hybridMultilevel"/>
    <w:lvl w:ilvl="0">
      <w:lvlJc w:val="left"/>
      <w:lvlText w:val="(%1)"/>
      <w:numFmt w:val="decimal"/>
      <w:start w:val="1"/>
    </w:lvl>
  </w:abstractNum>
  <w:abstractNum w:abstractNumId="77">
    <w:nsid w:val="7B541FAB"/>
    <w:multiLevelType w:val="hybridMultilevel"/>
    <w:lvl w:ilvl="0">
      <w:lvlJc w:val="left"/>
      <w:lvlText w:val="•"/>
      <w:numFmt w:val="bullet"/>
      <w:start w:val="1"/>
    </w:lvl>
  </w:abstractNum>
  <w:abstractNum w:abstractNumId="78">
    <w:nsid w:val="2A79EC49"/>
    <w:multiLevelType w:val="hybridMultilevel"/>
    <w:lvl w:ilvl="0">
      <w:lvlJc w:val="left"/>
      <w:lvlText w:val="•"/>
      <w:numFmt w:val="bullet"/>
      <w:start w:val="1"/>
    </w:lvl>
  </w:abstractNum>
  <w:abstractNum w:abstractNumId="79">
    <w:nsid w:val="338125CF"/>
    <w:multiLevelType w:val="hybridMultilevel"/>
    <w:lvl w:ilvl="0">
      <w:lvlJc w:val="left"/>
      <w:lvlText w:val="•"/>
      <w:numFmt w:val="bullet"/>
      <w:start w:val="1"/>
    </w:lvl>
  </w:abstractNum>
  <w:abstractNum w:abstractNumId="80">
    <w:nsid w:val="47C7C971"/>
    <w:multiLevelType w:val="hybridMultilevel"/>
    <w:lvl w:ilvl="0">
      <w:lvlJc w:val="left"/>
      <w:lvlText w:val="•"/>
      <w:numFmt w:val="bullet"/>
      <w:start w:val="1"/>
    </w:lvl>
  </w:abstractNum>
  <w:abstractNum w:abstractNumId="81">
    <w:nsid w:val="46F8284B"/>
    <w:multiLevelType w:val="hybridMultilevel"/>
    <w:lvl w:ilvl="0">
      <w:lvlJc w:val="left"/>
      <w:lvlText w:val="(%1)"/>
      <w:numFmt w:val="lowerRoman"/>
      <w:start w:val="1"/>
    </w:lvl>
  </w:abstractNum>
  <w:abstractNum w:abstractNumId="82">
    <w:nsid w:val="4FA327CE"/>
    <w:multiLevelType w:val="hybridMultilevel"/>
    <w:lvl w:ilvl="0">
      <w:lvlJc w:val="left"/>
      <w:lvlText w:val="•"/>
      <w:numFmt w:val="bullet"/>
      <w:start w:val="1"/>
    </w:lvl>
  </w:abstractNum>
  <w:abstractNum w:abstractNumId="83">
    <w:nsid w:val="1873983A"/>
    <w:multiLevelType w:val="hybridMultilevel"/>
    <w:lvl w:ilvl="0">
      <w:lvlJc w:val="left"/>
      <w:lvlText w:val="•"/>
      <w:numFmt w:val="bullet"/>
      <w:start w:val="1"/>
    </w:lvl>
  </w:abstractNum>
  <w:abstractNum w:abstractNumId="84">
    <w:nsid w:val="3D2DD275"/>
    <w:multiLevelType w:val="hybridMultilevel"/>
    <w:lvl w:ilvl="0">
      <w:lvlJc w:val="left"/>
      <w:lvlText w:val="•"/>
      <w:numFmt w:val="bullet"/>
      <w:start w:val="1"/>
    </w:lvl>
  </w:abstractNum>
  <w:abstractNum w:abstractNumId="85">
    <w:nsid w:val="2E17ECA7"/>
    <w:multiLevelType w:val="hybridMultilevel"/>
    <w:lvl w:ilvl="0">
      <w:lvlJc w:val="left"/>
      <w:lvlText w:val="•"/>
      <w:numFmt w:val="bullet"/>
      <w:start w:val="1"/>
    </w:lvl>
  </w:abstractNum>
  <w:abstractNum w:abstractNumId="86">
    <w:nsid w:val="53B2564F"/>
    <w:multiLevelType w:val="hybridMultilevel"/>
    <w:lvl w:ilvl="0">
      <w:lvlJc w:val="left"/>
      <w:lvlText w:val="•"/>
      <w:numFmt w:val="bullet"/>
      <w:start w:val="1"/>
    </w:lvl>
  </w:abstractNum>
  <w:abstractNum w:abstractNumId="87">
    <w:nsid w:val="75509D76"/>
    <w:multiLevelType w:val="hybridMultilevel"/>
    <w:lvl w:ilvl="0">
      <w:lvlJc w:val="left"/>
      <w:lvlText w:val="•"/>
      <w:numFmt w:val="bullet"/>
      <w:start w:val="1"/>
    </w:lvl>
  </w:abstractNum>
  <w:abstractNum w:abstractNumId="88">
    <w:nsid w:val="1AF7F0EA"/>
    <w:multiLevelType w:val="hybridMultilevel"/>
    <w:lvl w:ilvl="0">
      <w:lvlJc w:val="left"/>
      <w:lvlText w:val="•"/>
      <w:numFmt w:val="bullet"/>
      <w:start w:val="1"/>
    </w:lvl>
  </w:abstractNum>
  <w:abstractNum w:abstractNumId="89">
    <w:nsid w:val="4DA32C7E"/>
    <w:multiLevelType w:val="hybridMultilevel"/>
    <w:lvl w:ilvl="0">
      <w:lvlJc w:val="left"/>
      <w:lvlText w:val="•"/>
      <w:numFmt w:val="bullet"/>
      <w:start w:val="1"/>
    </w:lvl>
  </w:abstractNum>
  <w:abstractNum w:abstractNumId="90">
    <w:nsid w:val="6EC68664"/>
    <w:multiLevelType w:val="hybridMultilevel"/>
    <w:lvl w:ilvl="0">
      <w:lvlJc w:val="left"/>
      <w:lvlText w:val="•"/>
      <w:numFmt w:val="bullet"/>
      <w:start w:val="1"/>
    </w:lvl>
  </w:abstractNum>
  <w:abstractNum w:abstractNumId="91">
    <w:nsid w:val="E0D31FF"/>
    <w:multiLevelType w:val="hybridMultilevel"/>
    <w:lvl w:ilvl="0">
      <w:lvlJc w:val="left"/>
      <w:lvlText w:val="(%1)"/>
      <w:numFmt w:val="decimal"/>
      <w:start w:val="1"/>
    </w:lvl>
  </w:abstractNum>
  <w:abstractNum w:abstractNumId="92">
    <w:nsid w:val="2FD0AD81"/>
    <w:multiLevelType w:val="hybridMultilevel"/>
    <w:lvl w:ilvl="0">
      <w:lvlJc w:val="left"/>
      <w:lvlText w:val="(%1)"/>
      <w:numFmt w:val="decimal"/>
      <w:start w:val="2"/>
    </w:lvl>
  </w:abstractNum>
  <w:abstractNum w:abstractNumId="93">
    <w:nsid w:val="1978EBEB"/>
    <w:multiLevelType w:val="hybridMultilevel"/>
    <w:lvl w:ilvl="0">
      <w:lvlJc w:val="left"/>
      <w:lvlText w:val="•"/>
      <w:numFmt w:val="bullet"/>
      <w:start w:val="1"/>
    </w:lvl>
  </w:abstractNum>
  <w:abstractNum w:abstractNumId="94">
    <w:nsid w:val="52C12C61"/>
    <w:multiLevelType w:val="hybridMultilevel"/>
    <w:lvl w:ilvl="0">
      <w:lvlJc w:val="left"/>
      <w:lvlText w:val="(%1)"/>
      <w:numFmt w:val="decimal"/>
      <w:start w:val="1"/>
    </w:lvl>
  </w:abstractNum>
  <w:abstractNum w:abstractNumId="95">
    <w:nsid w:val="4BDD53FD"/>
    <w:multiLevelType w:val="hybridMultilevel"/>
    <w:lvl w:ilvl="0">
      <w:lvlJc w:val="left"/>
      <w:lvlText w:val="(%1)"/>
      <w:numFmt w:val="lowerRoman"/>
      <w:start w:val="1"/>
    </w:lvl>
  </w:abstractNum>
  <w:abstractNum w:abstractNumId="96">
    <w:nsid w:val="569951FE"/>
    <w:multiLevelType w:val="hybridMultilevel"/>
    <w:lvl w:ilvl="0">
      <w:lvlJc w:val="left"/>
      <w:lvlText w:val="(%1)"/>
      <w:numFmt w:val="decimal"/>
      <w:start w:val="1"/>
    </w:lvl>
  </w:abstractNum>
  <w:abstractNum w:abstractNumId="97">
    <w:nsid w:val="4C54E2C3"/>
    <w:multiLevelType w:val="hybridMultilevel"/>
    <w:lvl w:ilvl="0">
      <w:lvlJc w:val="left"/>
      <w:lvlText w:val="•"/>
      <w:numFmt w:val="bullet"/>
      <w:start w:val="1"/>
    </w:lvl>
  </w:abstractNum>
  <w:abstractNum w:abstractNumId="98">
    <w:nsid w:val="788BD9B"/>
    <w:multiLevelType w:val="hybridMultilevel"/>
    <w:lvl w:ilvl="0">
      <w:lvlJc w:val="left"/>
      <w:lvlText w:val="•"/>
      <w:numFmt w:val="bullet"/>
      <w:start w:val="1"/>
    </w:lvl>
  </w:abstractNum>
  <w:abstractNum w:abstractNumId="99">
    <w:nsid w:val="47CAA567"/>
    <w:multiLevelType w:val="hybridMultilevel"/>
    <w:lvl w:ilvl="0">
      <w:lvlJc w:val="left"/>
      <w:lvlText w:val="•"/>
      <w:numFmt w:val="bullet"/>
      <w:start w:val="1"/>
    </w:lvl>
  </w:abstractNum>
  <w:abstractNum w:abstractNumId="100">
    <w:nsid w:val="48249DBF"/>
    <w:multiLevelType w:val="hybridMultilevel"/>
    <w:lvl w:ilvl="0">
      <w:lvlJc w:val="left"/>
      <w:lvlText w:val="•"/>
      <w:numFmt w:val="bullet"/>
      <w:start w:val="1"/>
    </w:lvl>
  </w:abstractNum>
  <w:abstractNum w:abstractNumId="101">
    <w:nsid w:val="1F0E5D0D"/>
    <w:multiLevelType w:val="hybridMultilevel"/>
    <w:lvl w:ilvl="0">
      <w:lvlJc w:val="left"/>
      <w:lvlText w:val="•"/>
      <w:numFmt w:val="bullet"/>
      <w:start w:val="1"/>
    </w:lvl>
  </w:abstractNum>
  <w:abstractNum w:abstractNumId="102">
    <w:nsid w:val="26BAAE9"/>
    <w:multiLevelType w:val="hybridMultilevel"/>
    <w:lvl w:ilvl="0">
      <w:lvlJc w:val="left"/>
      <w:lvlText w:val="(%1)"/>
      <w:numFmt w:val="decimal"/>
      <w:start w:val="1"/>
    </w:lvl>
  </w:abstractNum>
  <w:abstractNum w:abstractNumId="103">
    <w:nsid w:val="2C02FE8C"/>
    <w:multiLevelType w:val="hybridMultilevel"/>
    <w:lvl w:ilvl="0">
      <w:lvlJc w:val="left"/>
      <w:lvlText w:val="(%1)"/>
      <w:numFmt w:val="decimal"/>
      <w:start w:val="1"/>
    </w:lvl>
  </w:abstractNum>
  <w:abstractNum w:abstractNumId="104">
    <w:nsid w:val="129517E"/>
    <w:multiLevelType w:val="hybridMultilevel"/>
    <w:lvl w:ilvl="0">
      <w:lvlJc w:val="left"/>
      <w:lvlText w:val="(%1)"/>
      <w:numFmt w:val="decimal"/>
      <w:start w:val="1"/>
    </w:lvl>
  </w:abstractNum>
  <w:abstractNum w:abstractNumId="105">
    <w:nsid w:val="763B8C4E"/>
    <w:multiLevelType w:val="hybridMultilevel"/>
    <w:lvl w:ilvl="0">
      <w:lvlJc w:val="left"/>
      <w:lvlText w:val="(%1)"/>
      <w:numFmt w:val="upperLetter"/>
      <w:start w:val="3"/>
    </w:lvl>
  </w:abstractNum>
  <w:abstractNum w:abstractNumId="106">
    <w:nsid w:val="4CFB8D32"/>
    <w:multiLevelType w:val="hybridMultilevel"/>
    <w:lvl w:ilvl="0">
      <w:lvlJc w:val="left"/>
      <w:lvlText w:val="•"/>
      <w:numFmt w:val="bullet"/>
      <w:start w:val="1"/>
    </w:lvl>
  </w:abstractNum>
  <w:abstractNum w:abstractNumId="107">
    <w:nsid w:val="62A5D5BD"/>
    <w:multiLevelType w:val="hybridMultilevel"/>
    <w:lvl w:ilvl="0">
      <w:lvlJc w:val="left"/>
      <w:lvlText w:val="*"/>
      <w:numFmt w:val="bullet"/>
      <w:start w:val="1"/>
    </w:lvl>
  </w:abstractNum>
  <w:abstractNum w:abstractNumId="108">
    <w:nsid w:val="718FABF9"/>
    <w:multiLevelType w:val="hybridMultilevel"/>
    <w:lvl w:ilvl="0">
      <w:lvlJc w:val="left"/>
      <w:lvlText w:val="(%1)"/>
      <w:numFmt w:val="lowerRoman"/>
      <w:start w:val="2"/>
    </w:lvl>
  </w:abstractNum>
  <w:abstractNum w:abstractNumId="109">
    <w:nsid w:val="7775797C"/>
    <w:multiLevelType w:val="hybridMultilevel"/>
    <w:lvl w:ilvl="0">
      <w:lvlJc w:val="left"/>
      <w:lvlText w:val="•"/>
      <w:numFmt w:val="bullet"/>
      <w:start w:val="1"/>
    </w:lvl>
  </w:abstractNum>
  <w:abstractNum w:abstractNumId="110">
    <w:nsid w:val="1626FB8C"/>
    <w:multiLevelType w:val="hybridMultilevel"/>
    <w:lvl w:ilvl="0">
      <w:lvlJc w:val="left"/>
      <w:lvlText w:val="•"/>
      <w:numFmt w:val="bullet"/>
      <w:start w:val="1"/>
    </w:lvl>
  </w:abstractNum>
  <w:abstractNum w:abstractNumId="111">
    <w:nsid w:val="3957756A"/>
    <w:multiLevelType w:val="hybridMultilevel"/>
    <w:lvl w:ilvl="0">
      <w:lvlJc w:val="left"/>
      <w:lvlText w:val="•"/>
      <w:numFmt w:val="bullet"/>
      <w:start w:val="1"/>
    </w:lvl>
  </w:abstractNum>
  <w:abstractNum w:abstractNumId="112">
    <w:nsid w:val="3E6DA1C7"/>
    <w:multiLevelType w:val="hybridMultilevel"/>
    <w:lvl w:ilvl="0">
      <w:lvlJc w:val="left"/>
      <w:lvlText w:val="•"/>
      <w:numFmt w:val="bullet"/>
      <w:start w:val="1"/>
    </w:lvl>
  </w:abstractNum>
  <w:abstractNum w:abstractNumId="113">
    <w:nsid w:val="65CA235B"/>
    <w:multiLevelType w:val="hybridMultilevel"/>
    <w:lvl w:ilvl="0">
      <w:lvlJc w:val="left"/>
      <w:lvlText w:val="•"/>
      <w:numFmt w:val="bullet"/>
      <w:start w:val="1"/>
    </w:lvl>
  </w:abstractNum>
  <w:abstractNum w:abstractNumId="114">
    <w:nsid w:val="51CB0DA4"/>
    <w:multiLevelType w:val="hybridMultilevel"/>
    <w:lvl w:ilvl="0">
      <w:lvlJc w:val="left"/>
      <w:lvlText w:val="•"/>
      <w:numFmt w:val="bullet"/>
      <w:start w:val="1"/>
    </w:lvl>
  </w:abstractNum>
  <w:abstractNum w:abstractNumId="115">
    <w:nsid w:val="7B9B743C"/>
    <w:multiLevelType w:val="hybridMultilevel"/>
    <w:lvl w:ilvl="0">
      <w:lvlJc w:val="left"/>
      <w:lvlText w:val="•"/>
      <w:numFmt w:val="bullet"/>
      <w:start w:val="1"/>
    </w:lvl>
  </w:abstractNum>
  <w:abstractNum w:abstractNumId="116">
    <w:nsid w:val="13E21002"/>
    <w:multiLevelType w:val="hybridMultilevel"/>
    <w:lvl w:ilvl="0">
      <w:lvlJc w:val="left"/>
      <w:lvlText w:val="•"/>
      <w:numFmt w:val="bullet"/>
      <w:start w:val="1"/>
    </w:lvl>
  </w:abstractNum>
  <w:abstractNum w:abstractNumId="117">
    <w:nsid w:val="257D63F4"/>
    <w:multiLevelType w:val="hybridMultilevel"/>
    <w:lvl w:ilvl="0">
      <w:lvlJc w:val="left"/>
      <w:lvlText w:val="•"/>
      <w:numFmt w:val="bullet"/>
      <w:start w:val="1"/>
    </w:lvl>
  </w:abstractNum>
  <w:abstractNum w:abstractNumId="118">
    <w:nsid w:val="70EC11B2"/>
    <w:multiLevelType w:val="hybridMultilevel"/>
    <w:lvl w:ilvl="0">
      <w:lvlJc w:val="left"/>
      <w:lvlText w:val="•"/>
      <w:numFmt w:val="bullet"/>
      <w:start w:val="1"/>
    </w:lvl>
  </w:abstractNum>
  <w:abstractNum w:abstractNumId="119">
    <w:nsid w:val="2EDA00ED"/>
    <w:multiLevelType w:val="hybridMultilevel"/>
    <w:lvl w:ilvl="0">
      <w:lvlJc w:val="left"/>
      <w:lvlText w:val="(%1)"/>
      <w:numFmt w:val="decimal"/>
      <w:start w:val="2"/>
    </w:lvl>
  </w:abstractNum>
  <w:abstractNum w:abstractNumId="120">
    <w:nsid w:val="73209072"/>
    <w:multiLevelType w:val="hybridMultilevel"/>
    <w:lvl w:ilvl="0">
      <w:lvlJc w:val="left"/>
      <w:lvlText w:val="(%1)"/>
      <w:numFmt w:val="lowerLetter"/>
      <w:start w:val="1"/>
    </w:lvl>
  </w:abstractNum>
  <w:abstractNum w:abstractNumId="121">
    <w:nsid w:val="5FB29816"/>
    <w:multiLevelType w:val="hybridMultilevel"/>
    <w:lvl w:ilvl="0">
      <w:lvlJc w:val="left"/>
      <w:lvlText w:val="(%1)"/>
      <w:numFmt w:val="lowerLetter"/>
      <w:start w:val="2"/>
    </w:lvl>
  </w:abstractNum>
  <w:abstractNum w:abstractNumId="122">
    <w:nsid w:val="3CE732EC"/>
    <w:multiLevelType w:val="hybridMultilevel"/>
    <w:lvl w:ilvl="0">
      <w:lvlJc w:val="left"/>
      <w:lvlText w:val="(%1)"/>
      <w:numFmt w:val="lowerLetter"/>
      <w:start w:val="1"/>
    </w:lvl>
  </w:abstractNum>
  <w:abstractNum w:abstractNumId="123">
    <w:nsid w:val="22F13DF3"/>
    <w:multiLevelType w:val="hybridMultilevel"/>
    <w:lvl w:ilvl="0">
      <w:lvlJc w:val="left"/>
      <w:lvlText w:val="(%1)"/>
      <w:numFmt w:val="lowerRoman"/>
      <w:start w:val="2"/>
    </w:lvl>
  </w:abstractNum>
  <w:abstractNum w:abstractNumId="124">
    <w:nsid w:val="792B8401"/>
    <w:multiLevelType w:val="hybridMultilevel"/>
    <w:lvl w:ilvl="0">
      <w:lvlJc w:val="left"/>
      <w:lvlText w:val="%1."/>
      <w:numFmt w:val="decimal"/>
      <w:start w:val="1"/>
    </w:lvl>
  </w:abstractNum>
  <w:abstractNum w:abstractNumId="125">
    <w:nsid w:val="FA85F4D"/>
    <w:multiLevelType w:val="hybridMultilevel"/>
    <w:lvl w:ilvl="0">
      <w:lvlJc w:val="left"/>
      <w:lvlText w:val="%1."/>
      <w:numFmt w:val="decimal"/>
      <w:start w:val="2"/>
    </w:lvl>
  </w:abstractNum>
  <w:abstractNum w:abstractNumId="126">
    <w:nsid w:val="6ECE91F0"/>
    <w:multiLevelType w:val="hybridMultilevel"/>
    <w:lvl w:ilvl="0">
      <w:lvlJc w:val="left"/>
      <w:lvlText w:val="•"/>
      <w:numFmt w:val="bullet"/>
      <w:start w:val="1"/>
    </w:lvl>
  </w:abstractNum>
  <w:abstractNum w:abstractNumId="127">
    <w:nsid w:val="4FC4D600"/>
    <w:multiLevelType w:val="hybridMultilevel"/>
    <w:lvl w:ilvl="0">
      <w:lvlJc w:val="left"/>
      <w:lvlText w:val="(%1)"/>
      <w:numFmt w:val="lowerRoman"/>
      <w:start w:val="3"/>
    </w:lvl>
  </w:abstractNum>
  <w:abstractNum w:abstractNumId="128">
    <w:nsid w:val="5BFD4210"/>
    <w:multiLevelType w:val="hybridMultilevel"/>
    <w:lvl w:ilvl="0">
      <w:lvlJc w:val="left"/>
      <w:lvlText w:val="%1."/>
      <w:numFmt w:val="decimal"/>
      <w:start w:val="3"/>
    </w:lvl>
  </w:abstractNum>
  <w:abstractNum w:abstractNumId="129">
    <w:nsid w:val="76574F8B"/>
    <w:multiLevelType w:val="hybridMultilevel"/>
    <w:lvl w:ilvl="0">
      <w:lvlJc w:val="left"/>
      <w:lvlText w:val="%1."/>
      <w:numFmt w:val="decimal"/>
      <w:start w:val="4"/>
    </w:lvl>
  </w:abstractNum>
  <w:abstractNum w:abstractNumId="130">
    <w:nsid w:val="178F7B67"/>
    <w:multiLevelType w:val="hybridMultilevel"/>
    <w:lvl w:ilvl="0">
      <w:lvlJc w:val="left"/>
      <w:lvlText w:val="%1."/>
      <w:numFmt w:val="decimal"/>
      <w:start w:val="5"/>
    </w:lvl>
  </w:abstractNum>
  <w:abstractNum w:abstractNumId="131">
    <w:nsid w:val="2421DFCF"/>
    <w:multiLevelType w:val="hybridMultilevel"/>
    <w:lvl w:ilvl="0">
      <w:lvlJc w:val="left"/>
      <w:lvlText w:val="%1."/>
      <w:numFmt w:val="decimal"/>
      <w:start w:val="6"/>
    </w:lvl>
  </w:abstractNum>
  <w:abstractNum w:abstractNumId="132">
    <w:nsid w:val="1565AC99"/>
    <w:multiLevelType w:val="hybridMultilevel"/>
    <w:lvl w:ilvl="0">
      <w:lvlJc w:val="left"/>
      <w:lvlText w:val="%1."/>
      <w:numFmt w:val="decimal"/>
      <w:start w:val="7"/>
    </w:lvl>
  </w:abstractNum>
  <w:abstractNum w:abstractNumId="133">
    <w:nsid w:val="19FB2650"/>
    <w:multiLevelType w:val="hybridMultilevel"/>
    <w:lvl w:ilvl="0">
      <w:lvlJc w:val="left"/>
      <w:lvlText w:val="%1."/>
      <w:numFmt w:val="decimal"/>
      <w:start w:val="8"/>
    </w:lvl>
  </w:abstractNum>
  <w:abstractNum w:abstractNumId="134">
    <w:nsid w:val="5024DE5B"/>
    <w:multiLevelType w:val="hybridMultilevel"/>
    <w:lvl w:ilvl="0">
      <w:lvlJc w:val="left"/>
      <w:lvlText w:val="%1."/>
      <w:numFmt w:val="decimal"/>
      <w:start w:val="9"/>
    </w:lvl>
  </w:abstractNum>
  <w:abstractNum w:abstractNumId="135">
    <w:nsid w:val="168EFE17"/>
    <w:multiLevelType w:val="hybridMultilevel"/>
    <w:lvl w:ilvl="0">
      <w:lvlJc w:val="left"/>
      <w:lvlText w:val="(%1)"/>
      <w:numFmt w:val="decimal"/>
      <w:start w:val="1"/>
    </w:lvl>
  </w:abstractNum>
  <w:abstractNum w:abstractNumId="136">
    <w:nsid w:val="1036B29F"/>
    <w:multiLevelType w:val="hybridMultilevel"/>
    <w:lvl w:ilvl="0">
      <w:lvlJc w:val="left"/>
      <w:lvlText w:val="%1."/>
      <w:numFmt w:val="decimal"/>
      <w:start w:val="10"/>
    </w:lvl>
  </w:abstractNum>
  <w:abstractNum w:abstractNumId="137">
    <w:nsid w:val="1D206B8E"/>
    <w:multiLevelType w:val="hybridMultilevel"/>
    <w:lvl w:ilvl="0">
      <w:lvlJc w:val="left"/>
      <w:lvlText w:val="%1."/>
      <w:numFmt w:val="decimal"/>
      <w:start w:val="11"/>
    </w:lvl>
  </w:abstractNum>
  <w:abstractNum w:abstractNumId="138">
    <w:nsid w:val="7934D3D4"/>
    <w:multiLevelType w:val="hybridMultilevel"/>
    <w:lvl w:ilvl="0">
      <w:lvlJc w:val="left"/>
      <w:lvlText w:val="%1."/>
      <w:numFmt w:val="decimal"/>
      <w:start w:val="12"/>
    </w:lvl>
  </w:abstractNum>
  <w:abstractNum w:abstractNumId="139">
    <w:nsid w:val="1C65E98"/>
    <w:multiLevelType w:val="hybridMultilevel"/>
    <w:lvl w:ilvl="0">
      <w:lvlJc w:val="left"/>
      <w:lvlText w:val="(%1)"/>
      <w:numFmt w:val="lowerRoman"/>
      <w:start w:val="1"/>
    </w:lvl>
  </w:abstractNum>
  <w:abstractNum w:abstractNumId="140">
    <w:nsid w:val="1495E50A"/>
    <w:multiLevelType w:val="hybridMultilevel"/>
    <w:lvl w:ilvl="0">
      <w:lvlJc w:val="left"/>
      <w:lvlText w:val="(%1)"/>
      <w:numFmt w:val="lowerRoman"/>
      <w:start w:val="2"/>
    </w:lvl>
  </w:abstractNum>
  <w:abstractNum w:abstractNumId="141">
    <w:nsid w:val="F5BCF61"/>
    <w:multiLevelType w:val="hybridMultilevel"/>
    <w:lvl w:ilvl="0">
      <w:lvlJc w:val="left"/>
      <w:lvlText w:val="%1."/>
      <w:numFmt w:val="decimal"/>
      <w:start w:val="13"/>
    </w:lvl>
  </w:abstractNum>
  <w:abstractNum w:abstractNumId="142">
    <w:nsid w:val="3B1DD403"/>
    <w:multiLevelType w:val="hybridMultilevel"/>
    <w:lvl w:ilvl="0">
      <w:lvlJc w:val="left"/>
      <w:lvlText w:val="%1."/>
      <w:numFmt w:val="decimal"/>
      <w:start w:val="14"/>
    </w:lvl>
  </w:abstractNum>
  <w:abstractNum w:abstractNumId="143">
    <w:nsid w:val="530386D1"/>
    <w:multiLevelType w:val="hybridMultilevel"/>
    <w:lvl w:ilvl="0">
      <w:lvlJc w:val="left"/>
      <w:lvlText w:val="%1."/>
      <w:numFmt w:val="decimal"/>
      <w:start w:val="15"/>
    </w:lvl>
  </w:abstractNum>
  <w:abstractNum w:abstractNumId="144">
    <w:nsid w:val="7525F2BC"/>
    <w:multiLevelType w:val="hybridMultilevel"/>
    <w:lvl w:ilvl="0">
      <w:lvlJc w:val="left"/>
      <w:lvlText w:val="%1."/>
      <w:numFmt w:val="decimal"/>
      <w:start w:val="16"/>
    </w:lvl>
  </w:abstractNum>
  <w:abstractNum w:abstractNumId="145">
    <w:nsid w:val="CE8E1A7"/>
    <w:multiLevelType w:val="hybridMultilevel"/>
    <w:lvl w:ilvl="0">
      <w:lvlJc w:val="left"/>
      <w:lvlText w:val="%1."/>
      <w:numFmt w:val="decimal"/>
      <w:start w:val="17"/>
    </w:lvl>
  </w:abstractNum>
  <w:abstractNum w:abstractNumId="146">
    <w:nsid w:val="4E9EFB0D"/>
    <w:multiLevelType w:val="hybridMultilevel"/>
    <w:lvl w:ilvl="0">
      <w:lvlJc w:val="left"/>
      <w:lvlText w:val="%1."/>
      <w:numFmt w:val="decimal"/>
      <w:start w:val="18"/>
    </w:lvl>
  </w:abstractNum>
  <w:abstractNum w:abstractNumId="147">
    <w:nsid w:val="90802BE"/>
    <w:multiLevelType w:val="hybridMultilevel"/>
    <w:lvl w:ilvl="0">
      <w:lvlJc w:val="left"/>
      <w:lvlText w:val="%1."/>
      <w:numFmt w:val="decimal"/>
      <w:start w:val="19"/>
    </w:lvl>
  </w:abstractNum>
  <w:abstractNum w:abstractNumId="148">
    <w:nsid w:val="3266459B"/>
    <w:multiLevelType w:val="hybridMultilevel"/>
    <w:lvl w:ilvl="0">
      <w:lvlJc w:val="left"/>
      <w:lvlText w:val="%1."/>
      <w:numFmt w:val="decimal"/>
      <w:start w:val="20"/>
    </w:lvl>
  </w:abstractNum>
  <w:abstractNum w:abstractNumId="149">
    <w:nsid w:val="3F8B0CBF"/>
    <w:multiLevelType w:val="hybridMultilevel"/>
    <w:lvl w:ilvl="0">
      <w:lvlJc w:val="left"/>
      <w:lvlText w:val="%1."/>
      <w:numFmt w:val="decimal"/>
      <w:start w:val="1"/>
    </w:lvl>
  </w:abstractNum>
  <w:abstractNum w:abstractNumId="150">
    <w:nsid w:val="37E203AB"/>
    <w:multiLevelType w:val="hybridMultilevel"/>
    <w:lvl w:ilvl="0">
      <w:lvlJc w:val="left"/>
      <w:lvlText w:val="%1."/>
      <w:numFmt w:val="decimal"/>
      <w:start w:val="2"/>
    </w:lvl>
  </w:abstractNum>
  <w:abstractNum w:abstractNumId="151">
    <w:nsid w:val="2586D60E"/>
    <w:multiLevelType w:val="hybridMultilevel"/>
    <w:lvl w:ilvl="0">
      <w:lvlJc w:val="left"/>
      <w:lvlText w:val="%1."/>
      <w:numFmt w:val="decimal"/>
      <w:start w:val="3"/>
    </w:lvl>
  </w:abstractNum>
  <w:abstractNum w:abstractNumId="152">
    <w:nsid w:val="1F3DA4D5"/>
    <w:multiLevelType w:val="hybridMultilevel"/>
    <w:lvl w:ilvl="0">
      <w:lvlJc w:val="left"/>
      <w:lvlText w:val="%1."/>
      <w:numFmt w:val="decimal"/>
      <w:start w:val="4"/>
    </w:lvl>
  </w:abstractNum>
  <w:abstractNum w:abstractNumId="153">
    <w:nsid w:val="74C93698"/>
    <w:multiLevelType w:val="hybridMultilevel"/>
    <w:lvl w:ilvl="0">
      <w:lvlJc w:val="left"/>
      <w:lvlText w:val="(%1)"/>
      <w:numFmt w:val="lowerRoman"/>
      <w:start w:val="1"/>
    </w:lvl>
  </w:abstractNum>
  <w:abstractNum w:abstractNumId="154">
    <w:nsid w:val="48781401"/>
    <w:multiLevelType w:val="hybridMultilevel"/>
    <w:lvl w:ilvl="0">
      <w:lvlJc w:val="left"/>
      <w:lvlText w:val="%1."/>
      <w:numFmt w:val="decimal"/>
      <w:start w:val="5"/>
    </w:lvl>
  </w:abstractNum>
  <w:abstractNum w:abstractNumId="155">
    <w:nsid w:val="186928D6"/>
    <w:multiLevelType w:val="hybridMultilevel"/>
    <w:lvl w:ilvl="0">
      <w:lvlJc w:val="left"/>
      <w:lvlText w:val="(%1)"/>
      <w:numFmt w:val="lowerLetter"/>
      <w:start w:val="1"/>
    </w:lvl>
  </w:abstractNum>
  <w:abstractNum w:abstractNumId="156">
    <w:nsid w:val="47195E5"/>
    <w:multiLevelType w:val="hybridMultilevel"/>
    <w:lvl w:ilvl="0">
      <w:lvlJc w:val="left"/>
      <w:lvlText w:val="*"/>
      <w:numFmt w:val="bullet"/>
      <w:start w:val="1"/>
    </w:lvl>
  </w:abstractNum>
  <w:abstractNum w:abstractNumId="157">
    <w:nsid w:val="3746A5F2"/>
    <w:multiLevelType w:val="hybridMultilevel"/>
    <w:lvl w:ilvl="0">
      <w:lvlJc w:val="left"/>
      <w:lvlText w:val="%1."/>
      <w:numFmt w:val="decimal"/>
      <w:start w:val="6"/>
    </w:lvl>
  </w:abstractNum>
  <w:abstractNum w:abstractNumId="158">
    <w:nsid w:val="682DFED6"/>
    <w:multiLevelType w:val="hybridMultilevel"/>
    <w:lvl w:ilvl="0">
      <w:lvlJc w:val="left"/>
      <w:lvlText w:val="%1."/>
      <w:numFmt w:val="decimal"/>
      <w:start w:val="7"/>
    </w:lvl>
  </w:abstractNum>
  <w:abstractNum w:abstractNumId="159">
    <w:nsid w:val="606ED7F6"/>
    <w:multiLevelType w:val="hybridMultilevel"/>
    <w:lvl w:ilvl="0">
      <w:lvlJc w:val="left"/>
      <w:lvlText w:val="%1."/>
      <w:numFmt w:val="decimal"/>
      <w:start w:val="8"/>
    </w:lvl>
  </w:abstractNum>
  <w:abstractNum w:abstractNumId="160">
    <w:nsid w:val="2D9DF57D"/>
    <w:multiLevelType w:val="hybridMultilevel"/>
    <w:lvl w:ilvl="0">
      <w:lvlJc w:val="left"/>
      <w:lvlText w:val="%1."/>
      <w:numFmt w:val="decimal"/>
      <w:start w:val="9"/>
    </w:lvl>
  </w:abstractNum>
  <w:abstractNum w:abstractNumId="161">
    <w:nsid w:val="7FBD7A3E"/>
    <w:multiLevelType w:val="hybridMultilevel"/>
    <w:lvl w:ilvl="0">
      <w:lvlJc w:val="left"/>
      <w:lvlText w:val="%1."/>
      <w:numFmt w:val="decimal"/>
      <w:start w:val="10"/>
    </w:lvl>
  </w:abstractNum>
  <w:abstractNum w:abstractNumId="162">
    <w:nsid w:val="490B7C5"/>
    <w:multiLevelType w:val="hybridMultilevel"/>
    <w:lvl w:ilvl="0">
      <w:lvlJc w:val="left"/>
      <w:lvlText w:val="%1."/>
      <w:numFmt w:val="decimal"/>
      <w:start w:val="11"/>
    </w:lvl>
  </w:abstractNum>
  <w:abstractNum w:abstractNumId="163">
    <w:nsid w:val="4303A216"/>
    <w:multiLevelType w:val="hybridMultilevel"/>
    <w:lvl w:ilvl="0">
      <w:lvlJc w:val="left"/>
      <w:lvlText w:val="%1."/>
      <w:numFmt w:val="decimal"/>
      <w:start w:val="12"/>
    </w:lvl>
  </w:abstractNum>
  <w:abstractNum w:abstractNumId="164">
    <w:nsid w:val="19B8A08E"/>
    <w:multiLevelType w:val="hybridMultilevel"/>
    <w:lvl w:ilvl="0">
      <w:lvlJc w:val="left"/>
      <w:lvlText w:val="(%1)"/>
      <w:numFmt w:val="lowerRoman"/>
      <w:start w:val="1"/>
    </w:lvl>
  </w:abstractNum>
  <w:abstractNum w:abstractNumId="165">
    <w:nsid w:val="54B59621"/>
    <w:multiLevelType w:val="hybridMultilevel"/>
    <w:lvl w:ilvl="0">
      <w:lvlJc w:val="left"/>
      <w:lvlText w:val="%1."/>
      <w:numFmt w:val="decimal"/>
      <w:start w:val="13"/>
    </w:lvl>
  </w:abstractNum>
  <w:abstractNum w:abstractNumId="166">
    <w:nsid w:val="5992A02E"/>
    <w:multiLevelType w:val="hybridMultilevel"/>
    <w:lvl w:ilvl="0">
      <w:lvlJc w:val="left"/>
      <w:lvlText w:val="%1."/>
      <w:numFmt w:val="decimal"/>
      <w:start w:val="14"/>
    </w:lvl>
  </w:abstractNum>
  <w:abstractNum w:abstractNumId="167">
    <w:nsid w:val="29EF532D"/>
    <w:multiLevelType w:val="hybridMultilevel"/>
    <w:lvl w:ilvl="0">
      <w:lvlJc w:val="left"/>
      <w:lvlText w:val="%1."/>
      <w:numFmt w:val="decimal"/>
      <w:start w:val="15"/>
    </w:lvl>
  </w:abstractNum>
  <w:abstractNum w:abstractNumId="168">
    <w:nsid w:val="71D601AF"/>
    <w:multiLevelType w:val="hybridMultilevel"/>
    <w:lvl w:ilvl="0">
      <w:lvlJc w:val="left"/>
      <w:lvlText w:val="%1."/>
      <w:numFmt w:val="decimal"/>
      <w:start w:val="16"/>
    </w:lvl>
  </w:abstractNum>
  <w:abstractNum w:abstractNumId="169">
    <w:nsid w:val="52C77402"/>
    <w:multiLevelType w:val="hybridMultilevel"/>
    <w:lvl w:ilvl="0">
      <w:lvlJc w:val="left"/>
      <w:lvlText w:val="%1."/>
      <w:numFmt w:val="decimal"/>
      <w:start w:val="17"/>
    </w:lvl>
  </w:abstractNum>
  <w:abstractNum w:abstractNumId="170">
    <w:nsid w:val="2BB5B1C6"/>
    <w:multiLevelType w:val="hybridMultilevel"/>
    <w:lvl w:ilvl="0">
      <w:lvlJc w:val="left"/>
      <w:lvlText w:val="%1."/>
      <w:numFmt w:val="decimal"/>
      <w:start w:val="18"/>
    </w:lvl>
  </w:abstractNum>
  <w:abstractNum w:abstractNumId="171">
    <w:nsid w:val="66BE6B9"/>
    <w:multiLevelType w:val="hybridMultilevel"/>
    <w:lvl w:ilvl="0">
      <w:lvlJc w:val="left"/>
      <w:lvlText w:val="%1."/>
      <w:numFmt w:val="decimal"/>
      <w:start w:val="19"/>
    </w:lvl>
  </w:abstractNum>
  <w:abstractNum w:abstractNumId="172">
    <w:nsid w:val="62234363"/>
    <w:multiLevelType w:val="hybridMultilevel"/>
    <w:lvl w:ilvl="0">
      <w:lvlJc w:val="left"/>
      <w:lvlText w:val="•"/>
      <w:numFmt w:val="bullet"/>
      <w:start w:val="1"/>
    </w:lvl>
  </w:abstractNum>
  <w:abstractNum w:abstractNumId="173">
    <w:nsid w:val="66D385C9"/>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2"/>
    </w:lvl>
  </w:abstractNum>
  <w:abstractNum w:abstractNumId="174">
    <w:nsid w:val="596F6D8A"/>
    <w:multiLevelType w:val="hybridMultilevel"/>
    <w:lvl w:ilvl="0">
      <w:lvlJc w:val="left"/>
      <w:lvlText w:val="%1."/>
      <w:numFmt w:val="decimal"/>
      <w:start w:val="1"/>
    </w:lvl>
  </w:abstractNum>
  <w:abstractNum w:abstractNumId="175">
    <w:nsid w:val="5749361F"/>
    <w:multiLevelType w:val="hybridMultilevel"/>
    <w:lvl w:ilvl="0">
      <w:lvlJc w:val="left"/>
      <w:lvlText w:val="(%1)"/>
      <w:numFmt w:val="lowerRoman"/>
      <w:start w:val="5"/>
    </w:lvl>
  </w:abstractNum>
  <w:abstractNum w:abstractNumId="176">
    <w:nsid w:val="73BC6770"/>
    <w:multiLevelType w:val="hybridMultilevel"/>
    <w:lvl w:ilvl="0">
      <w:lvlJc w:val="left"/>
      <w:lvlText w:val="(%1)"/>
      <w:numFmt w:val="lowerRoman"/>
      <w:start w:val="1"/>
    </w:lvl>
  </w:abstractNum>
  <w:abstractNum w:abstractNumId="177">
    <w:nsid w:val="280E6897"/>
    <w:multiLevelType w:val="hybridMultilevel"/>
    <w:lvl w:ilvl="0">
      <w:lvlJc w:val="left"/>
      <w:lvlText w:val="(%1)"/>
      <w:numFmt w:val="lowerRoman"/>
      <w:start w:val="1"/>
    </w:lvl>
  </w:abstractNum>
  <w:abstractNum w:abstractNumId="178">
    <w:nsid w:val="605138DE"/>
    <w:multiLevelType w:val="hybridMultilevel"/>
    <w:lvl w:ilvl="0">
      <w:lvlJc w:val="left"/>
      <w:lvlText w:val="(%1)"/>
      <w:numFmt w:val="lowerRoman"/>
      <w:start w:val="2"/>
    </w:lvl>
  </w:abstractNum>
  <w:abstractNum w:abstractNumId="179">
    <w:nsid w:val="2622AD0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80">
    <w:nsid w:val="67997556"/>
    <w:multiLevelType w:val="hybridMultilevel"/>
    <w:lvl w:ilvl="0">
      <w:lvlJc w:val="left"/>
      <w:lvlText w:val="(%1)"/>
      <w:numFmt w:val="lowerRoman"/>
      <w:start w:val="2"/>
    </w:lvl>
  </w:abstractNum>
  <w:abstractNum w:abstractNumId="181">
    <w:nsid w:val="18333C89"/>
    <w:multiLevelType w:val="hybridMultilevel"/>
    <w:lvl w:ilvl="0">
      <w:lvlJc w:val="left"/>
      <w:lvlText w:val="(%1)"/>
      <w:numFmt w:val="lowerLetter"/>
      <w:start w:val="2"/>
    </w:lvl>
  </w:abstractNum>
  <w:abstractNum w:abstractNumId="182">
    <w:nsid w:val="4BA9831A"/>
    <w:multiLevelType w:val="hybridMultilevel"/>
    <w:lvl w:ilvl="0">
      <w:lvlJc w:val="left"/>
      <w:lvlText w:val="%1"/>
      <w:numFmt w:val="decimal"/>
      <w:start w:val="1"/>
    </w:lvl>
    <w:lvl w:ilvl="1">
      <w:lvlJc w:val="left"/>
      <w:lvlText w:val="(%2)"/>
      <w:numFmt w:val="lowerLetter"/>
      <w:start w:val="4"/>
    </w:lvl>
  </w:abstractNum>
  <w:abstractNum w:abstractNumId="183">
    <w:nsid w:val="6D71A2B"/>
    <w:multiLevelType w:val="hybridMultilevel"/>
    <w:lvl w:ilvl="0">
      <w:lvlJc w:val="left"/>
      <w:lvlText w:val="%1."/>
      <w:numFmt w:val="decimal"/>
      <w:start w:val="5"/>
    </w:lvl>
    <w:lvl w:ilvl="1">
      <w:lvlJc w:val="left"/>
      <w:lvlText w:val="(%2)"/>
      <w:numFmt w:val="lowerLetter"/>
      <w:start w:val="1"/>
    </w:lvl>
  </w:abstractNum>
  <w:abstractNum w:abstractNumId="184">
    <w:nsid w:val="CFC7321"/>
    <w:multiLevelType w:val="hybridMultilevel"/>
    <w:lvl w:ilvl="0">
      <w:lvlJc w:val="left"/>
      <w:lvlText w:val="%1"/>
      <w:numFmt w:val="decimal"/>
      <w:start w:val="1"/>
    </w:lvl>
    <w:lvl w:ilvl="1">
      <w:lvlJc w:val="left"/>
      <w:lvlText w:val="(%2)"/>
      <w:numFmt w:val="lowerLetter"/>
      <w:start w:val="3"/>
    </w:lvl>
  </w:abstractNum>
  <w:abstractNum w:abstractNumId="185">
    <w:nsid w:val="1421971B"/>
    <w:multiLevelType w:val="hybridMultilevel"/>
    <w:lvl w:ilvl="0">
      <w:lvlJc w:val="left"/>
      <w:lvlText w:val="%1."/>
      <w:numFmt w:val="decimal"/>
      <w:start w:val="7"/>
    </w:lvl>
    <w:lvl w:ilvl="1">
      <w:lvlJc w:val="left"/>
      <w:lvlText w:val="(%2)"/>
      <w:numFmt w:val="lowerLetter"/>
      <w:start w:val="1"/>
    </w:lvl>
  </w:abstractNum>
  <w:abstractNum w:abstractNumId="186">
    <w:nsid w:val="1F404301"/>
    <w:multiLevelType w:val="hybridMultilevel"/>
    <w:lvl w:ilvl="0">
      <w:lvlJc w:val="left"/>
      <w:lvlText w:val="(%1)"/>
      <w:numFmt w:val="lowerLetter"/>
      <w:start w:val="5"/>
    </w:lvl>
    <w:lvl w:ilvl="1">
      <w:lvlJc w:val="left"/>
      <w:lvlText w:val="(%2)"/>
      <w:numFmt w:val="lowerRoman"/>
      <w:start w:val="1"/>
    </w:lvl>
  </w:abstractNum>
  <w:abstractNum w:abstractNumId="187">
    <w:nsid w:val="116E0907"/>
    <w:multiLevelType w:val="hybridMultilevel"/>
    <w:lvl w:ilvl="0">
      <w:lvlJc w:val="left"/>
      <w:lvlText w:val="(%1)"/>
      <w:numFmt w:val="lowerRoman"/>
      <w:start w:val="3"/>
    </w:lvl>
  </w:abstractNum>
  <w:abstractNum w:abstractNumId="188">
    <w:nsid w:val="4B683D0D"/>
    <w:multiLevelType w:val="hybridMultilevel"/>
    <w:lvl w:ilvl="0">
      <w:lvlJc w:val="left"/>
      <w:lvlText w:val="%1"/>
      <w:numFmt w:val="decimal"/>
      <w:start w:val="1"/>
    </w:lvl>
    <w:lvl w:ilvl="1">
      <w:lvlJc w:val="left"/>
      <w:lvlText w:val="(%2)"/>
      <w:numFmt w:val="lowerLetter"/>
      <w:start w:val="7"/>
    </w:lvl>
  </w:abstractNum>
  <w:abstractNum w:abstractNumId="189">
    <w:nsid w:val="76E41D8"/>
    <w:multiLevelType w:val="hybridMultilevel"/>
    <w:lvl w:ilvl="0">
      <w:lvlJc w:val="left"/>
      <w:lvlText w:val="%1."/>
      <w:numFmt w:val="decimal"/>
      <w:start w:val="8"/>
    </w:lvl>
    <w:lvl w:ilvl="1">
      <w:lvlJc w:val="left"/>
      <w:lvlText w:val="(%2)"/>
      <w:numFmt w:val="lowerLetter"/>
      <w:start w:val="1"/>
    </w:lvl>
  </w:abstractNum>
  <w:abstractNum w:abstractNumId="190">
    <w:nsid w:val="71DCE0FD"/>
    <w:multiLevelType w:val="hybridMultilevel"/>
    <w:lvl w:ilvl="0">
      <w:lvlJc w:val="left"/>
      <w:lvlText w:val="%1"/>
      <w:numFmt w:val="decimal"/>
      <w:start w:val="1"/>
    </w:lvl>
    <w:lvl w:ilvl="1">
      <w:lvlJc w:val="left"/>
      <w:lvlText w:val="(%2)"/>
      <w:numFmt w:val="lowerLetter"/>
      <w:start w:val="2"/>
    </w:lvl>
  </w:abstractNum>
  <w:abstractNum w:abstractNumId="191">
    <w:nsid w:val="7906328B"/>
    <w:multiLevelType w:val="hybridMultilevel"/>
    <w:lvl w:ilvl="0">
      <w:lvlJc w:val="left"/>
      <w:lvlText w:val="%1."/>
      <w:numFmt w:val="decimal"/>
      <w:start w:val="9"/>
    </w:lvl>
    <w:lvl w:ilvl="1">
      <w:lvlJc w:val="left"/>
      <w:lvlText w:val="(%2)"/>
      <w:numFmt w:val="lowerLetter"/>
      <w:start w:val="1"/>
    </w:lvl>
  </w:abstractNum>
  <w:abstractNum w:abstractNumId="192">
    <w:nsid w:val="72BBC16"/>
    <w:multiLevelType w:val="hybridMultilevel"/>
    <w:lvl w:ilvl="0">
      <w:lvlJc w:val="left"/>
      <w:lvlText w:val="(%1)"/>
      <w:numFmt w:val="lowerLetter"/>
      <w:start w:val="2"/>
    </w:lvl>
  </w:abstractNum>
  <w:abstractNum w:abstractNumId="193">
    <w:nsid w:val="766D98C2"/>
    <w:multiLevelType w:val="hybridMultilevel"/>
    <w:lvl w:ilvl="0">
      <w:lvlJc w:val="left"/>
      <w:lvlText w:val="%1."/>
      <w:numFmt w:val="decimal"/>
      <w:start w:val="11"/>
    </w:lvl>
    <w:lvl w:ilvl="1">
      <w:lvlJc w:val="left"/>
      <w:lvlText w:val="(%2)"/>
      <w:numFmt w:val="lowerLetter"/>
      <w:start w:val="1"/>
    </w:lvl>
  </w:abstractNum>
  <w:abstractNum w:abstractNumId="194">
    <w:nsid w:val="3C09D4A1"/>
    <w:multiLevelType w:val="hybridMultilevel"/>
    <w:lvl w:ilvl="0">
      <w:lvlJc w:val="left"/>
      <w:lvlText w:val="%1"/>
      <w:numFmt w:val="decimal"/>
      <w:start w:val="1"/>
    </w:lvl>
    <w:lvl w:ilvl="1">
      <w:lvlJc w:val="left"/>
      <w:lvlText w:val="(%2)"/>
      <w:numFmt w:val="lowerLetter"/>
      <w:start w:val="2"/>
    </w:lvl>
  </w:abstractNum>
  <w:abstractNum w:abstractNumId="195">
    <w:nsid w:val="20E45CA4"/>
    <w:multiLevelType w:val="hybridMultilevel"/>
    <w:lvl w:ilvl="0">
      <w:lvlJc w:val="left"/>
      <w:lvlText w:val="%1."/>
      <w:numFmt w:val="decimal"/>
      <w:start w:val="13"/>
    </w:lvl>
    <w:lvl w:ilvl="1">
      <w:lvlJc w:val="left"/>
      <w:lvlText w:val="(%2)"/>
      <w:numFmt w:val="lowerLetter"/>
      <w:start w:val="1"/>
    </w:lvl>
  </w:abstractNum>
  <w:abstractNum w:abstractNumId="196">
    <w:nsid w:val="4B232EE3"/>
    <w:multiLevelType w:val="hybridMultilevel"/>
    <w:lvl w:ilvl="0">
      <w:lvlJc w:val="left"/>
      <w:lvlText w:val="%1."/>
      <w:numFmt w:val="decimal"/>
      <w:start w:val="14"/>
    </w:lvl>
    <w:lvl w:ilvl="1">
      <w:lvlJc w:val="left"/>
      <w:lvlText w:val="(%2)"/>
      <w:numFmt w:val="lowerLetter"/>
      <w:start w:val="1"/>
    </w:lvl>
  </w:abstractNum>
  <w:abstractNum w:abstractNumId="197">
    <w:nsid w:val="159C74CF"/>
    <w:multiLevelType w:val="hybridMultilevel"/>
    <w:lvl w:ilvl="0">
      <w:lvlJc w:val="left"/>
      <w:lvlText w:val="%1."/>
      <w:numFmt w:val="decimal"/>
      <w:start w:val="18"/>
    </w:lvl>
  </w:abstractNum>
  <w:abstractNum w:abstractNumId="198">
    <w:nsid w:val="4AD3AFD2"/>
    <w:multiLevelType w:val="hybridMultilevel"/>
    <w:lvl w:ilvl="0">
      <w:lvlJc w:val="left"/>
      <w:lvlText w:val="%1."/>
      <w:numFmt w:val="decimal"/>
      <w:start w:val="1"/>
    </w:lvl>
    <w:lvl w:ilvl="1">
      <w:lvlJc w:val="left"/>
      <w:lvlText w:val="(%2)"/>
      <w:numFmt w:val="lowerLetter"/>
    </w:lvl>
    <w:lvl w:ilvl="2">
      <w:lvlJc w:val="left"/>
      <w:lvlText w:val="%3."/>
      <w:numFmt w:val="decimal"/>
      <w:start w:val="3"/>
    </w:lvl>
  </w:abstractNum>
  <w:abstractNum w:abstractNumId="199">
    <w:nsid w:val="3CF93092"/>
    <w:multiLevelType w:val="hybridMultilevel"/>
    <w:lvl w:ilvl="0">
      <w:lvlJc w:val="left"/>
      <w:lvlText w:val="%1."/>
      <w:numFmt w:val="decimal"/>
      <w:start w:val="1"/>
    </w:lvl>
    <w:lvl w:ilvl="1">
      <w:lvlJc w:val="left"/>
      <w:lvlText w:val="(%2)"/>
      <w:numFmt w:val="lowerLetter"/>
    </w:lvl>
    <w:lvl w:ilvl="2">
      <w:lvlJc w:val="left"/>
      <w:lvlText w:val="%3."/>
      <w:numFmt w:val="decimal"/>
      <w:start w:val="3"/>
    </w:lvl>
  </w:abstractNum>
  <w:abstractNum w:abstractNumId="200">
    <w:nsid w:val="6863E8D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01">
    <w:nsid w:val="7689619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02">
    <w:nsid w:val="4365174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03">
    <w:nsid w:val="4A872C35"/>
    <w:multiLevelType w:val="hybridMultilevel"/>
    <w:lvl w:ilvl="0">
      <w:lvlJc w:val="left"/>
      <w:lvlText w:val="%1."/>
      <w:numFmt w:val="decimal"/>
      <w:start w:val="1"/>
    </w:lvl>
  </w:abstractNum>
  <w:abstractNum w:abstractNumId="204">
    <w:nsid w:val="5D5CE761"/>
    <w:multiLevelType w:val="hybridMultilevel"/>
    <w:lvl w:ilvl="0">
      <w:lvlJc w:val="left"/>
      <w:lvlText w:val="%1."/>
      <w:numFmt w:val="decimal"/>
      <w:start w:val="3"/>
    </w:lvl>
  </w:abstractNum>
  <w:abstractNum w:abstractNumId="205">
    <w:nsid w:val="1CD484D5"/>
    <w:multiLevelType w:val="hybridMultilevel"/>
    <w:lvl w:ilvl="0">
      <w:lvlJc w:val="left"/>
      <w:lvlText w:val="%1"/>
      <w:numFmt w:val="decimal"/>
      <w:start w:val="1"/>
    </w:lvl>
    <w:lvl w:ilvl="1">
      <w:lvlJc w:val="left"/>
      <w:lvlText w:val="(%2)"/>
      <w:numFmt w:val="lowerLetter"/>
      <w:start w:val="1"/>
    </w:lvl>
  </w:abstractNum>
  <w:abstractNum w:abstractNumId="206">
    <w:nsid w:val="21D06255"/>
    <w:multiLevelType w:val="hybridMultilevel"/>
    <w:lvl w:ilvl="0">
      <w:lvlJc w:val="left"/>
      <w:lvlText w:val="%1."/>
      <w:numFmt w:val="decimal"/>
      <w:start w:val="2"/>
    </w:lvl>
    <w:lvl w:ilvl="1">
      <w:lvlJc w:val="left"/>
      <w:lvlText w:val="%2"/>
      <w:numFmt w:val="lowerLetter"/>
      <w:start w:val="1"/>
    </w:lvl>
  </w:abstractNum>
  <w:abstractNum w:abstractNumId="207">
    <w:nsid w:val="51194ED1"/>
    <w:multiLevelType w:val="hybridMultilevel"/>
    <w:lvl w:ilvl="0">
      <w:lvlJc w:val="left"/>
      <w:lvlText w:val="%1."/>
      <w:numFmt w:val="decimal"/>
      <w:start w:val="1"/>
    </w:lvl>
  </w:abstractNum>
  <w:abstractNum w:abstractNumId="208">
    <w:nsid w:val="44E2ED6C"/>
    <w:multiLevelType w:val="hybridMultilevel"/>
    <w:lvl w:ilvl="0">
      <w:lvlJc w:val="left"/>
      <w:lvlText w:val="%1."/>
      <w:numFmt w:val="decimal"/>
      <w:start w:val="3"/>
    </w:lvl>
  </w:abstractNum>
  <w:abstractNum w:abstractNumId="209">
    <w:nsid w:val="2219B33"/>
    <w:multiLevelType w:val="hybridMultilevel"/>
    <w:lvl w:ilvl="0">
      <w:lvlJc w:val="left"/>
      <w:lvlText w:val="%1"/>
      <w:numFmt w:val="decimal"/>
      <w:start w:val="1"/>
    </w:lvl>
    <w:lvl w:ilvl="1">
      <w:lvlJc w:val="left"/>
      <w:lvlText w:val="(%2)"/>
      <w:numFmt w:val="lowerLetter"/>
      <w:start w:val="1"/>
    </w:lvl>
  </w:abstractNum>
  <w:abstractNum w:abstractNumId="210">
    <w:nsid w:val="773BFBDD"/>
    <w:multiLevelType w:val="hybridMultilevel"/>
    <w:lvl w:ilvl="0">
      <w:lvlJc w:val="left"/>
      <w:lvlText w:val="%1."/>
      <w:numFmt w:val="decimal"/>
      <w:start w:val="2"/>
    </w:lvl>
    <w:lvl w:ilvl="1">
      <w:lvlJc w:val="left"/>
      <w:lvlText w:val="%2"/>
      <w:numFmt w:val="lowerLetter"/>
      <w:start w:val="1"/>
    </w:lvl>
  </w:abstractNum>
  <w:abstractNum w:abstractNumId="211">
    <w:nsid w:val="2C7C62C2"/>
    <w:multiLevelType w:val="hybridMultilevel"/>
    <w:lvl w:ilvl="0">
      <w:lvlJc w:val="left"/>
      <w:lvlText w:val="%1."/>
      <w:numFmt w:val="decimal"/>
      <w:start w:val="1"/>
    </w:lvl>
  </w:abstractNum>
  <w:abstractNum w:abstractNumId="212">
    <w:nsid w:val="1A54D7BC"/>
    <w:multiLevelType w:val="hybridMultilevel"/>
    <w:lvl w:ilvl="0">
      <w:lvlJc w:val="left"/>
      <w:lvlText w:val="%1"/>
      <w:numFmt w:val="decimal"/>
      <w:start w:val="1"/>
    </w:lvl>
    <w:lvl w:ilvl="1">
      <w:lvlJc w:val="left"/>
      <w:lvlText w:val="(%2)"/>
      <w:numFmt w:val="lowerLetter"/>
      <w:start w:val="1"/>
    </w:lvl>
  </w:abstractNum>
  <w:abstractNum w:abstractNumId="213">
    <w:nsid w:val="42E57EF7"/>
    <w:multiLevelType w:val="hybridMultilevel"/>
    <w:lvl w:ilvl="0">
      <w:lvlJc w:val="left"/>
      <w:lvlText w:val="%1."/>
      <w:numFmt w:val="decimal"/>
      <w:start w:val="2"/>
    </w:lvl>
    <w:lvl w:ilvl="1">
      <w:lvlJc w:val="left"/>
      <w:lvlText w:val="%2"/>
      <w:numFmt w:val="lowerLetter"/>
      <w:start w:val="1"/>
    </w:lvl>
  </w:abstractNum>
  <w:abstractNum w:abstractNumId="214">
    <w:nsid w:val="33537CED"/>
    <w:multiLevelType w:val="hybridMultilevel"/>
    <w:lvl w:ilvl="0">
      <w:lvlJc w:val="left"/>
      <w:lvlText w:val="%1."/>
      <w:numFmt w:val="decimal"/>
      <w:start w:val="1"/>
    </w:lvl>
    <w:lvl w:ilvl="1">
      <w:lvlJc w:val="left"/>
      <w:lvlText w:val="(%2)"/>
      <w:numFmt w:val="lowerLetter"/>
      <w:start w:val="1"/>
    </w:lvl>
  </w:abstractNum>
  <w:abstractNum w:abstractNumId="215">
    <w:nsid w:val="27514ADE"/>
    <w:multiLevelType w:val="hybridMultilevel"/>
    <w:lvl w:ilvl="0">
      <w:lvlJc w:val="left"/>
      <w:lvlText w:val="(%1)"/>
      <w:numFmt w:val="lowerLetter"/>
      <w:start w:val="3"/>
    </w:lvl>
  </w:abstractNum>
  <w:abstractNum w:abstractNumId="216">
    <w:nsid w:val="57071613"/>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17">
    <w:nsid w:val="5293BFEF"/>
    <w:multiLevelType w:val="hybridMultilevel"/>
    <w:lvl w:ilvl="0">
      <w:lvlJc w:val="left"/>
      <w:lvlText w:val="%1."/>
      <w:numFmt w:val="decimal"/>
      <w:start w:val="3"/>
    </w:lvl>
    <w:lvl w:ilvl="1">
      <w:lvlJc w:val="left"/>
      <w:lvlText w:val="(%2)"/>
      <w:numFmt w:val="lowerLetter"/>
      <w:start w:val="1"/>
    </w:lvl>
  </w:abstractNum>
  <w:abstractNum w:abstractNumId="218">
    <w:nsid w:val="38BF53E5"/>
    <w:multiLevelType w:val="hybridMultilevel"/>
    <w:lvl w:ilvl="0">
      <w:lvlJc w:val="left"/>
      <w:lvlText w:val="%1."/>
      <w:numFmt w:val="decimal"/>
      <w:start w:val="4"/>
    </w:lvl>
    <w:lvl w:ilvl="1">
      <w:lvlJc w:val="left"/>
      <w:lvlText w:val="(%2)"/>
      <w:numFmt w:val="lowerLetter"/>
      <w:start w:val="1"/>
    </w:lvl>
  </w:abstractNum>
  <w:abstractNum w:abstractNumId="219">
    <w:nsid w:val="226F5320"/>
    <w:multiLevelType w:val="hybridMultilevel"/>
    <w:lvl w:ilvl="0">
      <w:lvlJc w:val="left"/>
      <w:lvlText w:val="(%1)"/>
      <w:numFmt w:val="lowerLetter"/>
      <w:start w:val="3"/>
    </w:lvl>
  </w:abstractNum>
  <w:abstractNum w:abstractNumId="220">
    <w:nsid w:val="5A0201C7"/>
    <w:multiLevelType w:val="hybridMultilevel"/>
    <w:lvl w:ilvl="0">
      <w:lvlJc w:val="left"/>
      <w:lvlText w:val="(%1)"/>
      <w:numFmt w:val="lowerLetter"/>
      <w:start w:val="6"/>
    </w:lvl>
  </w:abstractNum>
  <w:abstractNum w:abstractNumId="221">
    <w:nsid w:val="2A9C34E2"/>
    <w:multiLevelType w:val="hybridMultilevel"/>
    <w:lvl w:ilvl="0">
      <w:lvlJc w:val="left"/>
      <w:lvlText w:val="%1"/>
      <w:numFmt w:val="decimal"/>
      <w:start w:val="1"/>
    </w:lvl>
    <w:lvl w:ilvl="1">
      <w:lvlJc w:val="left"/>
      <w:lvlText w:val="(%2)"/>
      <w:numFmt w:val="lowerLetter"/>
      <w:start w:val="8"/>
    </w:lvl>
  </w:abstractNum>
  <w:abstractNum w:abstractNumId="222">
    <w:nsid w:val="1B7585AB"/>
    <w:multiLevelType w:val="hybridMultilevel"/>
    <w:lvl w:ilvl="0">
      <w:lvlJc w:val="left"/>
      <w:lvlText w:val="%1."/>
      <w:numFmt w:val="decimal"/>
      <w:start w:val="7"/>
    </w:lvl>
    <w:lvl w:ilvl="1">
      <w:lvlJc w:val="left"/>
      <w:lvlText w:val="(%2)"/>
      <w:numFmt w:val="lowerLetter"/>
      <w:start w:val="1"/>
    </w:lvl>
  </w:abstractNum>
  <w:abstractNum w:abstractNumId="223">
    <w:nsid w:val="612DBDDD"/>
    <w:multiLevelType w:val="hybridMultilevel"/>
    <w:lvl w:ilvl="0">
      <w:lvlJc w:val="left"/>
      <w:lvlText w:val="%1"/>
      <w:numFmt w:val="decimal"/>
      <w:start w:val="1"/>
    </w:lvl>
    <w:lvl w:ilvl="1">
      <w:lvlJc w:val="left"/>
      <w:lvlText w:val="(%2)"/>
      <w:numFmt w:val="lowerLetter"/>
      <w:start w:val="4"/>
    </w:lvl>
  </w:abstractNum>
  <w:abstractNum w:abstractNumId="224">
    <w:nsid w:val="2109CDA4"/>
    <w:multiLevelType w:val="hybridMultilevel"/>
    <w:lvl w:ilvl="0">
      <w:lvlJc w:val="left"/>
      <w:lvlText w:val="%1."/>
      <w:numFmt w:val="decimal"/>
      <w:start w:val="8"/>
    </w:lvl>
    <w:lvl w:ilvl="1">
      <w:lvlJc w:val="left"/>
      <w:lvlText w:val="(%2)"/>
      <w:numFmt w:val="lowerLetter"/>
      <w:start w:val="1"/>
    </w:lvl>
  </w:abstractNum>
  <w:abstractNum w:abstractNumId="225">
    <w:nsid w:val="577F5A4D"/>
    <w:multiLevelType w:val="hybridMultilevel"/>
    <w:lvl w:ilvl="0">
      <w:lvlJc w:val="left"/>
      <w:lvlText w:val="(%1)"/>
      <w:numFmt w:val="lowerLetter"/>
      <w:start w:val="2"/>
    </w:lvl>
  </w:abstractNum>
  <w:abstractNum w:abstractNumId="226">
    <w:nsid w:val="2121A81"/>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27">
    <w:nsid w:val="6C2CFC8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228">
    <w:nsid w:val="6D1BCF1C"/>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1"/>
    </w:lvl>
  </w:abstractNum>
  <w:abstractNum w:abstractNumId="229">
    <w:nsid w:val="4CE5CA53"/>
    <w:multiLevelType w:val="hybridMultilevel"/>
    <w:lvl w:ilvl="0">
      <w:lvlJc w:val="left"/>
      <w:lvlText w:val="%1."/>
      <w:numFmt w:val="decimal"/>
      <w:start w:val="11"/>
    </w:lvl>
    <w:lvl w:ilvl="1">
      <w:lvlJc w:val="left"/>
      <w:lvlText w:val="(%2)"/>
      <w:numFmt w:val="lowerLetter"/>
      <w:start w:val="1"/>
    </w:lvl>
  </w:abstractNum>
  <w:abstractNum w:abstractNumId="230">
    <w:nsid w:val="29262D1A"/>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5"/>
    </w:lvl>
  </w:abstractNum>
  <w:abstractNum w:abstractNumId="231">
    <w:nsid w:val="557FB7EE"/>
    <w:multiLevelType w:val="hybridMultilevel"/>
    <w:lvl w:ilvl="0">
      <w:lvlJc w:val="left"/>
      <w:lvlText w:val="%1."/>
      <w:numFmt w:val="decimal"/>
      <w:start w:val="15"/>
    </w:lvl>
    <w:lvl w:ilvl="1">
      <w:lvlJc w:val="left"/>
      <w:lvlText w:val="(%2)"/>
      <w:numFmt w:val="lowerLetter"/>
      <w:start w:val="1"/>
    </w:lvl>
  </w:abstractNum>
  <w:abstractNum w:abstractNumId="232">
    <w:nsid w:val="436F2BEB"/>
    <w:multiLevelType w:val="hybridMultilevel"/>
    <w:lvl w:ilvl="0">
      <w:lvlJc w:val="left"/>
      <w:lvlText w:val="%1."/>
      <w:numFmt w:val="decimal"/>
      <w:start w:val="18"/>
    </w:lvl>
  </w:abstractNum>
  <w:abstractNum w:abstractNumId="233">
    <w:nsid w:val="6C8B4466"/>
    <w:multiLevelType w:val="hybridMultilevel"/>
    <w:lvl w:ilvl="0">
      <w:lvlJc w:val="left"/>
      <w:lvlText w:val="%1"/>
      <w:numFmt w:val="lowerRoman"/>
      <w:start w:val="1"/>
    </w:lvl>
    <w:lvl w:ilvl="1">
      <w:lvlJc w:val="left"/>
      <w:lvlText w:val="%2."/>
      <w:numFmt w:val="decimal"/>
      <w:start w:val="19"/>
    </w:lvl>
  </w:abstractNum>
  <w:abstractNum w:abstractNumId="234">
    <w:nsid w:val="2006E424"/>
    <w:multiLevelType w:val="hybridMultilevel"/>
    <w:lvl w:ilvl="0">
      <w:lvlJc w:val="left"/>
      <w:lvlText w:val="(%1)"/>
      <w:numFmt w:val="lowerRoman"/>
      <w:start w:val="4"/>
    </w:lvl>
    <w:lvl w:ilvl="1">
      <w:lvlJc w:val="left"/>
      <w:lvlText w:val="%2"/>
      <w:numFmt w:val="decimal"/>
      <w:start w:val="1"/>
    </w:lvl>
  </w:abstractNum>
  <w:abstractNum w:abstractNumId="235">
    <w:nsid w:val="20CC134C"/>
    <w:multiLevelType w:val="hybridMultilevel"/>
    <w:lvl w:ilvl="0">
      <w:lvlJc w:val="left"/>
      <w:lvlText w:val="(%1)"/>
      <w:numFmt w:val="lowerLetter"/>
      <w:start w:val="3"/>
    </w:lvl>
  </w:abstractNum>
  <w:abstractNum w:abstractNumId="236">
    <w:nsid w:val="95FC93B"/>
    <w:multiLevelType w:val="hybridMultilevel"/>
    <w:lvl w:ilvl="0">
      <w:lvlJc w:val="left"/>
      <w:lvlText w:val="(%1)"/>
      <w:numFmt w:val="decimal"/>
      <w:start w:val="1"/>
    </w:lvl>
  </w:abstractNum>
  <w:abstractNum w:abstractNumId="237">
    <w:nsid w:val="41D74679"/>
    <w:multiLevelType w:val="hybridMultilevel"/>
    <w:lvl w:ilvl="0">
      <w:lvlJc w:val="left"/>
      <w:lvlText w:val="(%1)"/>
      <w:numFmt w:val="lowerLetter"/>
      <w:start w:val="1"/>
    </w:lvl>
  </w:abstractNum>
  <w:abstractNum w:abstractNumId="238">
    <w:nsid w:val="71E5621E"/>
    <w:multiLevelType w:val="hybridMultilevel"/>
    <w:lvl w:ilvl="0">
      <w:lvlJc w:val="left"/>
      <w:lvlText w:val="(%1)"/>
      <w:numFmt w:val="lowerLetter"/>
      <w:start w:val="2"/>
    </w:lvl>
  </w:abstractNum>
  <w:abstractNum w:abstractNumId="239">
    <w:nsid w:val="4E42B6A8"/>
    <w:multiLevelType w:val="hybridMultilevel"/>
    <w:lvl w:ilvl="0">
      <w:lvlJc w:val="left"/>
      <w:lvlText w:val="(%1)"/>
      <w:numFmt w:val="lowerLetter"/>
      <w:start w:val="1"/>
    </w:lvl>
    <w:lvl w:ilvl="1">
      <w:lvlJc w:val="left"/>
      <w:lvlText w:val="(%2)"/>
      <w:numFmt w:val="lowerRoman"/>
      <w:start w:val="1"/>
    </w:lvl>
  </w:abstractNum>
  <w:abstractNum w:abstractNumId="240">
    <w:nsid w:val="43F8E1AC"/>
    <w:multiLevelType w:val="hybridMultilevel"/>
    <w:lvl w:ilvl="0">
      <w:lvlJc w:val="left"/>
      <w:lvlText w:val="(%1)"/>
      <w:numFmt w:val="lowerLetter"/>
      <w:start w:val="1"/>
    </w:lvl>
  </w:abstractNum>
  <w:abstractNum w:abstractNumId="241">
    <w:nsid w:val="69215DFB"/>
    <w:multiLevelType w:val="hybridMultilevel"/>
    <w:lvl w:ilvl="0">
      <w:lvlJc w:val="left"/>
      <w:lvlText w:val="(%1)"/>
      <w:numFmt w:val="lowerLetter"/>
      <w:start w:val="1"/>
    </w:lvl>
    <w:lvl w:ilvl="1">
      <w:lvlJc w:val="left"/>
      <w:lvlText w:val="(%2)"/>
      <w:numFmt w:val="lowerRoman"/>
      <w:start w:val="1"/>
    </w:lvl>
  </w:abstractNum>
  <w:abstractNum w:abstractNumId="242">
    <w:nsid w:val="7ABF196A"/>
    <w:multiLevelType w:val="hybridMultilevel"/>
    <w:lvl w:ilvl="0">
      <w:lvlJc w:val="left"/>
      <w:lvlText w:val="(%1)"/>
      <w:numFmt w:val="lowerLetter"/>
      <w:start w:val="1"/>
    </w:lvl>
  </w:abstractNum>
  <w:abstractNum w:abstractNumId="243">
    <w:nsid w:val="5E4DB968"/>
    <w:multiLevelType w:val="hybridMultilevel"/>
    <w:lvl w:ilvl="0">
      <w:lvlJc w:val="left"/>
      <w:lvlText w:val="(%1)"/>
      <w:numFmt w:val="lowerLetter"/>
      <w:start w:val="2"/>
    </w:lvl>
  </w:abstractNum>
  <w:abstractNum w:abstractNumId="244">
    <w:nsid w:val="2C06DCF3"/>
    <w:multiLevelType w:val="hybridMultilevel"/>
    <w:lvl w:ilvl="0">
      <w:lvlJc w:val="left"/>
      <w:lvlText w:val="(%1)"/>
      <w:numFmt w:val="lowerLetter"/>
      <w:start w:val="8"/>
    </w:lvl>
  </w:abstractNum>
  <w:abstractNum w:abstractNumId="245">
    <w:nsid w:val="2E129658"/>
    <w:multiLevelType w:val="hybridMultilevel"/>
    <w:lvl w:ilvl="0">
      <w:lvlJc w:val="left"/>
      <w:lvlText w:val="(%1)"/>
      <w:numFmt w:val="lowerLetter"/>
      <w:start w:val="1"/>
    </w:lvl>
  </w:abstractNum>
  <w:abstractNum w:abstractNumId="246">
    <w:nsid w:val="59F0446"/>
    <w:multiLevelType w:val="hybridMultilevel"/>
    <w:lvl w:ilvl="0">
      <w:lvlJc w:val="left"/>
      <w:lvlText w:val="(%1)"/>
      <w:numFmt w:val="lowerLetter"/>
      <w:start w:val="3"/>
    </w:lvl>
  </w:abstractNum>
  <w:abstractNum w:abstractNumId="247">
    <w:nsid w:val="30DF306"/>
    <w:multiLevelType w:val="hybridMultilevel"/>
    <w:lvl w:ilvl="0">
      <w:lvlJc w:val="left"/>
      <w:lvlText w:val="(%1)"/>
      <w:numFmt w:val="lowerLetter"/>
      <w:start w:val="1"/>
    </w:lvl>
  </w:abstractNum>
  <w:abstractNum w:abstractNumId="248">
    <w:nsid w:val="A65647"/>
    <w:multiLevelType w:val="hybridMultilevel"/>
    <w:lvl w:ilvl="0">
      <w:lvlJc w:val="left"/>
      <w:lvlText w:val="(%1)"/>
      <w:numFmt w:val="lowerLetter"/>
      <w:start w:val="1"/>
    </w:lvl>
  </w:abstractNum>
  <w:abstractNum w:abstractNumId="249">
    <w:nsid w:val="3E5E582B"/>
    <w:multiLevelType w:val="hybridMultilevel"/>
    <w:lvl w:ilvl="0">
      <w:lvlJc w:val="left"/>
      <w:lvlText w:val="%1"/>
      <w:numFmt w:val="lowerLetter"/>
      <w:start w:val="1"/>
    </w:lvl>
    <w:lvl w:ilvl="1">
      <w:lvlJc w:val="left"/>
      <w:lvlText w:val="(%2)"/>
      <w:numFmt w:val="upperLetter"/>
      <w:start w:val="2"/>
    </w:lvl>
  </w:abstractNum>
  <w:abstractNum w:abstractNumId="250">
    <w:nsid w:val="257D4626"/>
    <w:multiLevelType w:val="hybridMultilevel"/>
    <w:lvl w:ilvl="0">
      <w:lvlJc w:val="left"/>
      <w:lvlText w:val="(%1)"/>
      <w:numFmt w:val="lowerLetter"/>
      <w:start w:val="2"/>
    </w:lvl>
    <w:lvl w:ilvl="1">
      <w:lvlJc w:val="left"/>
      <w:lvlText w:val="%2"/>
      <w:numFmt w:val="upperLetter"/>
      <w:start w:val="1"/>
    </w:lvl>
  </w:abstractNum>
  <w:abstractNum w:abstractNumId="251">
    <w:nsid w:val="5AA8580E"/>
    <w:multiLevelType w:val="hybridMultilevel"/>
    <w:lvl w:ilvl="0">
      <w:lvlJc w:val="left"/>
      <w:lvlText w:val="(%1)"/>
      <w:numFmt w:val="lowerLetter"/>
      <w:start w:val="1"/>
    </w:lvl>
  </w:abstractNum>
  <w:abstractNum w:abstractNumId="252">
    <w:nsid w:val="68FA8D0D"/>
    <w:multiLevelType w:val="hybridMultilevel"/>
    <w:lvl w:ilvl="0">
      <w:lvlJc w:val="left"/>
      <w:lvlText w:val="(%1)"/>
      <w:numFmt w:val="lowerLetter"/>
      <w:start w:val="1"/>
    </w:lvl>
  </w:abstractNum>
  <w:abstractNum w:abstractNumId="253">
    <w:nsid w:val="40F2CBD2"/>
    <w:multiLevelType w:val="hybridMultilevel"/>
    <w:lvl w:ilvl="0">
      <w:lvlJc w:val="left"/>
      <w:lvlText w:val="(%1)"/>
      <w:numFmt w:val="lowerRoman"/>
      <w:start w:val="2"/>
    </w:lvl>
  </w:abstractNum>
  <w:abstractNum w:abstractNumId="254">
    <w:nsid w:val="3BD615EB"/>
    <w:multiLevelType w:val="hybridMultilevel"/>
    <w:lvl w:ilvl="0">
      <w:lvlJc w:val="left"/>
      <w:lvlText w:val="(%1)"/>
      <w:numFmt w:val="lowerRoman"/>
      <w:start w:val="1"/>
    </w:lvl>
  </w:abstractNum>
  <w:abstractNum w:abstractNumId="255">
    <w:nsid w:val="A045AB2"/>
    <w:multiLevelType w:val="hybridMultilevel"/>
    <w:lvl w:ilvl="0">
      <w:lvlJc w:val="left"/>
      <w:lvlText w:val="[***]"/>
      <w:numFmt w:val="bullet"/>
      <w:start w:val="1"/>
    </w:lvl>
  </w:abstractNum>
  <w:abstractNum w:abstractNumId="256">
    <w:nsid w:val="1872261F"/>
    <w:multiLevelType w:val="hybridMultilevel"/>
    <w:lvl w:ilvl="0">
      <w:lvlJc w:val="left"/>
      <w:lvlText w:val="(%1)"/>
      <w:numFmt w:val="lowerLetter"/>
      <w:start w:val="1"/>
    </w:lvl>
  </w:abstractNum>
  <w:abstractNum w:abstractNumId="257">
    <w:nsid w:val="3DE8306C"/>
    <w:multiLevelType w:val="hybridMultilevel"/>
    <w:lvl w:ilvl="0">
      <w:lvlJc w:val="left"/>
      <w:lvlText w:val="(%1)"/>
      <w:numFmt w:val="lowerLetter"/>
      <w:start w:val="1"/>
    </w:lvl>
  </w:abstractNum>
  <w:abstractNum w:abstractNumId="258">
    <w:nsid w:val="7631573A"/>
    <w:multiLevelType w:val="hybridMultilevel"/>
    <w:lvl w:ilvl="0">
      <w:lvlJc w:val="left"/>
      <w:lvlText w:val="(%1)"/>
      <w:numFmt w:val="lowerLetter"/>
      <w:start w:val="2"/>
    </w:lvl>
    <w:lvl w:ilvl="1">
      <w:lvlJc w:val="left"/>
      <w:lvlText w:val="(%2)"/>
      <w:numFmt w:val="lowerRoman"/>
      <w:start w:val="1"/>
    </w:lvl>
  </w:abstractNum>
  <w:abstractNum w:abstractNumId="259">
    <w:nsid w:val="58DF53B"/>
    <w:multiLevelType w:val="hybridMultilevel"/>
    <w:lvl w:ilvl="0">
      <w:lvlJc w:val="left"/>
      <w:lvlText w:val="%1"/>
      <w:numFmt w:val="lowerLetter"/>
      <w:start w:val="1"/>
    </w:lvl>
    <w:lvl w:ilvl="1">
      <w:lvlJc w:val="left"/>
      <w:lvlText w:val="(%2)"/>
      <w:numFmt w:val="lowerLetter"/>
      <w:start w:val="22"/>
    </w:lvl>
  </w:abstractNum>
  <w:abstractNum w:abstractNumId="260">
    <w:nsid w:val="ACDFAC0"/>
    <w:multiLevelType w:val="hybridMultilevel"/>
    <w:lvl w:ilvl="0">
      <w:lvlJc w:val="left"/>
      <w:lvlText w:val="(%1)"/>
      <w:numFmt w:val="lowerLetter"/>
      <w:start w:val="3"/>
    </w:lvl>
    <w:lvl w:ilvl="1">
      <w:lvlJc w:val="left"/>
      <w:lvlText w:val="%2"/>
      <w:numFmt w:val="lowerLetter"/>
      <w:start w:val="1"/>
    </w:lvl>
  </w:abstractNum>
  <w:abstractNum w:abstractNumId="261">
    <w:nsid w:val="1F578454"/>
    <w:multiLevelType w:val="hybridMultilevel"/>
    <w:lvl w:ilvl="0">
      <w:lvlJc w:val="left"/>
      <w:lvlText w:val="(%1)"/>
      <w:numFmt w:val="lowerLetter"/>
      <w:start w:val="2"/>
    </w:lvl>
  </w:abstractNum>
  <w:abstractNum w:abstractNumId="262">
    <w:nsid w:val="5B0DAD2A"/>
    <w:multiLevelType w:val="hybridMultilevel"/>
    <w:lvl w:ilvl="0">
      <w:lvlJc w:val="left"/>
      <w:lvlText w:val="(%1)"/>
      <w:numFmt w:val="lowerLetter"/>
      <w:start w:val="1"/>
    </w:lvl>
  </w:abstractNum>
  <w:abstractNum w:abstractNumId="263">
    <w:nsid w:val="4E3D26AB"/>
    <w:multiLevelType w:val="hybridMultilevel"/>
    <w:lvl w:ilvl="0">
      <w:lvlJc w:val="left"/>
      <w:lvlText w:val="(%1)"/>
      <w:numFmt w:val="lowerLetter"/>
      <w:start w:val="3"/>
    </w:lvl>
  </w:abstractNum>
  <w:abstractNum w:abstractNumId="264">
    <w:nsid w:val="BE2C8BA"/>
    <w:multiLevelType w:val="hybridMultilevel"/>
    <w:lvl w:ilvl="0">
      <w:lvlJc w:val="left"/>
      <w:lvlText w:val="(%1)"/>
      <w:numFmt w:val="lowerLetter"/>
      <w:start w:val="1"/>
    </w:lvl>
    <w:lvl w:ilvl="1">
      <w:lvlJc w:val="left"/>
      <w:lvlText w:val="(%2)"/>
      <w:numFmt w:val="lowerRoman"/>
      <w:start w:val="1"/>
    </w:lvl>
  </w:abstractNum>
  <w:abstractNum w:abstractNumId="265">
    <w:nsid w:val="7B14914E"/>
    <w:multiLevelType w:val="hybridMultilevel"/>
    <w:lvl w:ilvl="0">
      <w:lvlJc w:val="left"/>
      <w:lvlText w:val="(%1)"/>
      <w:numFmt w:val="lowerRoman"/>
      <w:start w:val="5"/>
    </w:lvl>
  </w:abstractNum>
  <w:abstractNum w:abstractNumId="266">
    <w:nsid w:val="6F0939F8"/>
    <w:multiLevelType w:val="hybridMultilevel"/>
    <w:lvl w:ilvl="0">
      <w:lvlJc w:val="left"/>
      <w:lvlText w:val=" "/>
      <w:numFmt w:val="bullet"/>
      <w:start w:val="1"/>
    </w:lvl>
  </w:abstractNum>
  <w:abstractNum w:abstractNumId="267">
    <w:nsid w:val="154291F6"/>
    <w:multiLevelType w:val="hybridMultilevel"/>
    <w:lvl w:ilvl="0">
      <w:lvlJc w:val="left"/>
      <w:lvlText w:val="(%1)"/>
      <w:numFmt w:val="lowerLetter"/>
      <w:start w:val="2"/>
    </w:lvl>
  </w:abstractNum>
  <w:abstractNum w:abstractNumId="268">
    <w:nsid w:val="3CEBD7C7"/>
    <w:multiLevelType w:val="hybridMultilevel"/>
    <w:lvl w:ilvl="0">
      <w:lvlJc w:val="left"/>
      <w:lvlText w:val="(%1)"/>
      <w:numFmt w:val="lowerLetter"/>
      <w:start w:val="1"/>
    </w:lvl>
  </w:abstractNum>
  <w:abstractNum w:abstractNumId="269">
    <w:nsid w:val="60EE9C16"/>
    <w:multiLevelType w:val="hybridMultilevel"/>
    <w:lvl w:ilvl="0">
      <w:lvlJc w:val="left"/>
      <w:lvlText w:val="(%1)"/>
      <w:numFmt w:val="lowerLetter"/>
      <w:start w:val="1"/>
    </w:lvl>
  </w:abstractNum>
  <w:abstractNum w:abstractNumId="270">
    <w:nsid w:val="6385489E"/>
    <w:multiLevelType w:val="hybridMultilevel"/>
    <w:lvl w:ilvl="0">
      <w:lvlJc w:val="left"/>
      <w:lvlText w:val="(%1)"/>
      <w:numFmt w:val="lowerLetter"/>
      <w:start w:val="24"/>
    </w:lvl>
  </w:abstractNum>
  <w:abstractNum w:abstractNumId="271">
    <w:nsid w:val="E4B973"/>
    <w:multiLevelType w:val="hybridMultilevel"/>
    <w:lvl w:ilvl="0">
      <w:lvlJc w:val="left"/>
      <w:lvlText w:val="(%1)"/>
      <w:numFmt w:val="lowerLetter"/>
      <w:start w:val="1"/>
    </w:lvl>
  </w:abstractNum>
  <w:abstractNum w:abstractNumId="272">
    <w:nsid w:val="4A0FFA11"/>
    <w:multiLevelType w:val="hybridMultilevel"/>
    <w:lvl w:ilvl="0">
      <w:lvlJc w:val="left"/>
      <w:lvlText w:val="(%1)"/>
      <w:numFmt w:val="lowerLetter"/>
      <w:start w:val="2"/>
    </w:lvl>
  </w:abstractNum>
  <w:abstractNum w:abstractNumId="273">
    <w:nsid w:val="5E446208"/>
    <w:multiLevelType w:val="hybridMultilevel"/>
    <w:lvl w:ilvl="0">
      <w:lvlJc w:val="left"/>
      <w:lvlText w:val="(%1)"/>
      <w:numFmt w:val="lowerLetter"/>
      <w:start w:val="4"/>
    </w:lvl>
  </w:abstractNum>
  <w:abstractNum w:abstractNumId="274">
    <w:nsid w:val="5F3272DB"/>
    <w:multiLevelType w:val="hybridMultilevel"/>
    <w:lvl w:ilvl="0">
      <w:lvlJc w:val="left"/>
      <w:lvlText w:val="(%1)"/>
      <w:numFmt w:val="lowerLetter"/>
      <w:start w:val="1"/>
    </w:lvl>
  </w:abstractNum>
  <w:abstractNum w:abstractNumId="275">
    <w:nsid w:val="7616D704"/>
    <w:multiLevelType w:val="hybridMultilevel"/>
    <w:lvl w:ilvl="0">
      <w:lvlJc w:val="left"/>
      <w:lvlText w:val="(%1)"/>
      <w:numFmt w:val="lowerLetter"/>
      <w:start w:val="2"/>
    </w:lvl>
  </w:abstractNum>
  <w:abstractNum w:abstractNumId="276">
    <w:nsid w:val="C56F860"/>
    <w:multiLevelType w:val="hybridMultilevel"/>
    <w:lvl w:ilvl="0">
      <w:lvlJc w:val="left"/>
      <w:lvlText w:val="(%1)"/>
      <w:numFmt w:val="lowerLetter"/>
      <w:start w:val="1"/>
    </w:lvl>
  </w:abstractNum>
  <w:abstractNum w:abstractNumId="277">
    <w:nsid w:val="64D17722"/>
    <w:multiLevelType w:val="hybridMultilevel"/>
    <w:lvl w:ilvl="0">
      <w:lvlJc w:val="left"/>
      <w:lvlText w:val="(%1)"/>
      <w:numFmt w:val="lowerRoman"/>
      <w:start w:val="1"/>
    </w:lvl>
  </w:abstractNum>
  <w:abstractNum w:abstractNumId="278">
    <w:nsid w:val="7924CA0A"/>
    <w:multiLevelType w:val="hybridMultilevel"/>
    <w:lvl w:ilvl="0">
      <w:lvlJc w:val="left"/>
      <w:lvlText w:val="(%1)"/>
      <w:numFmt w:val="decimal"/>
      <w:start w:val="2"/>
    </w:lvl>
  </w:abstractNum>
  <w:abstractNum w:abstractNumId="279">
    <w:nsid w:val="CFD4EA7"/>
    <w:multiLevelType w:val="hybridMultilevel"/>
    <w:lvl w:ilvl="0">
      <w:lvlJc w:val="left"/>
      <w:lvlText w:val="(%1)"/>
      <w:numFmt w:val="decimal"/>
      <w:start w:val="10"/>
    </w:lvl>
  </w:abstractNum>
  <w:abstractNum w:abstractNumId="280">
    <w:nsid w:val="232FCF4D"/>
    <w:multiLevelType w:val="hybridMultilevel"/>
    <w:lvl w:ilvl="0">
      <w:lvlJc w:val="left"/>
      <w:lvlText w:val="(%1)"/>
      <w:numFmt w:val="lowerRoman"/>
      <w:start w:val="4"/>
    </w:lvl>
  </w:abstractNum>
  <w:abstractNum w:abstractNumId="281">
    <w:nsid w:val="1EA21031"/>
    <w:multiLevelType w:val="hybridMultilevel"/>
    <w:lvl w:ilvl="0">
      <w:lvlJc w:val="left"/>
      <w:lvlText w:val="(%1)"/>
      <w:numFmt w:val="lowerRoman"/>
      <w:start w:val="2"/>
    </w:lvl>
  </w:abstractNum>
  <w:abstractNum w:abstractNumId="282">
    <w:nsid w:val="67A5A6B5"/>
    <w:multiLevelType w:val="hybridMultilevel"/>
    <w:lvl w:ilvl="0">
      <w:lvlJc w:val="left"/>
      <w:lvlText w:val="(%1)"/>
      <w:numFmt w:val="lowerRoman"/>
      <w:start w:val="1"/>
    </w:lvl>
  </w:abstractNum>
  <w:abstractNum w:abstractNumId="283">
    <w:nsid w:val="C2A5C5B"/>
    <w:multiLevelType w:val="hybridMultilevel"/>
    <w:lvl w:ilvl="0">
      <w:lvlJc w:val="left"/>
      <w:lvlText w:val="(%1)"/>
      <w:numFmt w:val="lowerRoman"/>
      <w:start w:val="1"/>
    </w:lvl>
  </w:abstractNum>
  <w:abstractNum w:abstractNumId="284">
    <w:nsid w:val="5F94DC0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5">
    <w:nsid w:val="237BBCA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286">
    <w:nsid w:val="162EB70D"/>
    <w:multiLevelType w:val="hybridMultilevel"/>
    <w:lvl w:ilvl="0">
      <w:lvlJc w:val="left"/>
      <w:lvlText w:val="(%1)"/>
      <w:numFmt w:val="decimal"/>
      <w:start w:val="15"/>
    </w:lvl>
    <w:lvl w:ilvl="1">
      <w:lvlJc w:val="left"/>
      <w:lvlText w:val="(%2)"/>
      <w:numFmt w:val="lowerRoman"/>
      <w:start w:val="2"/>
    </w:lvl>
    <w:lvl w:ilvl="2">
      <w:lvlJc w:val="left"/>
      <w:lvlText w:val="%3"/>
      <w:numFmt w:val="upperLetter"/>
      <w:start w:val="1"/>
    </w:lvl>
  </w:abstractNum>
  <w:abstractNum w:abstractNumId="287">
    <w:nsid w:val="78070222"/>
    <w:multiLevelType w:val="hybridMultilevel"/>
    <w:lvl w:ilvl="0">
      <w:lvlJc w:val="left"/>
      <w:lvlText w:val="%1"/>
      <w:numFmt w:val="decimal"/>
      <w:start w:val="1"/>
    </w:lvl>
    <w:lvl w:ilvl="1">
      <w:lvlJc w:val="left"/>
      <w:lvlText w:val="(%2)"/>
      <w:numFmt w:val="lowerLetter"/>
      <w:start w:val="4"/>
    </w:lvl>
  </w:abstractNum>
  <w:abstractNum w:abstractNumId="288">
    <w:nsid w:val="6163ED0D"/>
    <w:multiLevelType w:val="hybridMultilevel"/>
    <w:lvl w:ilvl="0">
      <w:lvlJc w:val="left"/>
      <w:lvlText w:val="(%1)"/>
      <w:numFmt w:val="decimal"/>
      <w:start w:val="15"/>
    </w:lvl>
    <w:lvl w:ilvl="1">
      <w:lvlJc w:val="left"/>
      <w:lvlText w:val="%2"/>
      <w:numFmt w:val="lowerLetter"/>
      <w:start w:val="1"/>
    </w:lvl>
  </w:abstractNum>
  <w:abstractNum w:abstractNumId="289">
    <w:nsid w:val="C600E47"/>
    <w:multiLevelType w:val="hybridMultilevel"/>
    <w:lvl w:ilvl="0">
      <w:lvlJc w:val="left"/>
      <w:lvlText w:val="%1"/>
      <w:numFmt w:val="lowerLetter"/>
      <w:start w:val="1"/>
    </w:lvl>
    <w:lvl w:ilvl="1">
      <w:lvlJc w:val="left"/>
      <w:lvlText w:val="(%2)"/>
      <w:numFmt w:val="lowerRoman"/>
      <w:start w:val="1"/>
    </w:lvl>
  </w:abstractNum>
  <w:abstractNum w:abstractNumId="290">
    <w:nsid w:val="7D94F75D"/>
    <w:multiLevelType w:val="hybridMultilevel"/>
    <w:lvl w:ilvl="0">
      <w:lvlJc w:val="left"/>
      <w:lvlText w:val="(%1)"/>
      <w:numFmt w:val="lowerLetter"/>
      <w:start w:val="8"/>
    </w:lvl>
    <w:lvl w:ilvl="1">
      <w:lvlJc w:val="left"/>
      <w:lvlText w:val="%2"/>
      <w:numFmt w:val="lowerRoman"/>
      <w:start w:val="1"/>
    </w:lvl>
  </w:abstractNum>
  <w:abstractNum w:abstractNumId="291">
    <w:nsid w:val="6C31E7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92">
    <w:nsid w:val="2BB7929B"/>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2"/>
    </w:lvl>
  </w:abstractNum>
  <w:abstractNum w:abstractNumId="293">
    <w:nsid w:val="58A2A487"/>
    <w:multiLevelType w:val="hybridMultilevel"/>
    <w:lvl w:ilvl="0">
      <w:lvlJc w:val="left"/>
      <w:lvlText w:val="%1"/>
      <w:numFmt w:val="lowerLetter"/>
      <w:start w:val="1"/>
    </w:lvl>
    <w:lvl w:ilvl="1">
      <w:lvlJc w:val="left"/>
      <w:lvlText w:val="(%2)"/>
      <w:numFmt w:val="lowerRoman"/>
      <w:start w:val="9"/>
    </w:lvl>
  </w:abstractNum>
  <w:abstractNum w:abstractNumId="294">
    <w:nsid w:val="3A6F0E78"/>
    <w:multiLevelType w:val="hybridMultilevel"/>
    <w:lvl w:ilvl="0">
      <w:lvlJc w:val="left"/>
      <w:lvlText w:val="(%1)"/>
      <w:numFmt w:val="lowerLetter"/>
      <w:start w:val="2"/>
    </w:lvl>
    <w:lvl w:ilvl="1">
      <w:lvlJc w:val="left"/>
      <w:lvlText w:val="(%2)"/>
      <w:numFmt w:val="lowerRoman"/>
      <w:start w:val="1"/>
    </w:lvl>
  </w:abstractNum>
  <w:abstractNum w:abstractNumId="295">
    <w:nsid w:val="379A5B56"/>
    <w:multiLevelType w:val="hybridMultilevel"/>
    <w:lvl w:ilvl="0">
      <w:lvlJc w:val="left"/>
      <w:lvlText w:val="(%1)"/>
      <w:numFmt w:val="lowerLetter"/>
      <w:start w:val="3"/>
    </w:lvl>
    <w:lvl w:ilvl="1">
      <w:lvlJc w:val="left"/>
      <w:lvlText w:val="(%2)"/>
      <w:numFmt w:val="lowerRoman"/>
      <w:start w:val="1"/>
    </w:lvl>
  </w:abstractNum>
  <w:abstractNum w:abstractNumId="296">
    <w:nsid w:val="53B735D5"/>
    <w:multiLevelType w:val="hybridMultilevel"/>
    <w:lvl w:ilvl="0">
      <w:lvlJc w:val="left"/>
      <w:lvlText w:val="(%1)"/>
      <w:numFmt w:val="lowerLetter"/>
      <w:start w:val="1"/>
    </w:lvl>
    <w:lvl w:ilvl="1">
      <w:lvlJc w:val="left"/>
      <w:lvlText w:val="(%2)"/>
      <w:numFmt w:val="lowerRoman"/>
      <w:start w:val="1"/>
    </w:lvl>
  </w:abstractNum>
  <w:abstractNum w:abstractNumId="297">
    <w:nsid w:val="29784870"/>
    <w:multiLevelType w:val="hybridMultilevel"/>
    <w:lvl w:ilvl="0">
      <w:lvlJc w:val="left"/>
      <w:lvlText w:val="(%1)"/>
      <w:numFmt w:val="lowerLetter"/>
      <w:start w:val="1"/>
    </w:lvl>
  </w:abstractNum>
  <w:abstractNum w:abstractNumId="298">
    <w:nsid w:val="4CDCED4C"/>
    <w:multiLevelType w:val="hybridMultilevel"/>
    <w:lvl w:ilvl="0">
      <w:lvlJc w:val="left"/>
      <w:lvlText w:val="(%1)"/>
      <w:numFmt w:val="lowerLetter"/>
      <w:start w:val="1"/>
    </w:lvl>
  </w:abstractNum>
  <w:abstractNum w:abstractNumId="299">
    <w:nsid w:val="10A30D9C"/>
    <w:multiLevelType w:val="hybridMultilevel"/>
    <w:lvl w:ilvl="0">
      <w:lvlJc w:val="left"/>
      <w:lvlText w:val="(%1)"/>
      <w:numFmt w:val="lowerLetter"/>
      <w:start w:val="1"/>
    </w:lvl>
    <w:lvl w:ilvl="1">
      <w:lvlJc w:val="left"/>
      <w:lvlText w:val="(%2)"/>
      <w:numFmt w:val="lowerRoman"/>
      <w:start w:val="1"/>
    </w:lvl>
  </w:abstractNum>
  <w:abstractNum w:abstractNumId="300">
    <w:nsid w:val="A66E486"/>
    <w:multiLevelType w:val="hybridMultilevel"/>
    <w:lvl w:ilvl="0">
      <w:lvlJc w:val="left"/>
      <w:lvlText w:val="(%1)"/>
      <w:numFmt w:val="lowerRoman"/>
      <w:start w:val="3"/>
    </w:lvl>
  </w:abstractNum>
  <w:abstractNum w:abstractNumId="301">
    <w:nsid w:val="306235EA"/>
    <w:multiLevelType w:val="hybridMultilevel"/>
    <w:lvl w:ilvl="0">
      <w:lvlJc w:val="left"/>
      <w:lvlText w:val="%1"/>
      <w:numFmt w:val="lowerLetter"/>
      <w:start w:val="1"/>
    </w:lvl>
    <w:lvl w:ilvl="1">
      <w:lvlJc w:val="left"/>
      <w:lvlText w:val="(%2)"/>
      <w:numFmt w:val="lowerLetter"/>
      <w:start w:val="2"/>
    </w:lvl>
  </w:abstractNum>
  <w:abstractNum w:abstractNumId="302">
    <w:nsid w:val="1187C70F"/>
    <w:multiLevelType w:val="hybridMultilevel"/>
    <w:lvl w:ilvl="0">
      <w:lvlJc w:val="left"/>
      <w:lvlText w:val="(%1)"/>
      <w:numFmt w:val="lowerLetter"/>
      <w:start w:val="35"/>
    </w:lvl>
    <w:lvl w:ilvl="1">
      <w:lvlJc w:val="left"/>
      <w:lvlText w:val="%2"/>
      <w:numFmt w:val="lowerLetter"/>
      <w:start w:val="1"/>
    </w:lvl>
  </w:abstractNum>
  <w:abstractNum w:abstractNumId="303">
    <w:nsid w:val="5476DE98"/>
    <w:multiLevelType w:val="hybridMultilevel"/>
    <w:lvl w:ilvl="0">
      <w:lvlJc w:val="left"/>
      <w:lvlText w:val="(%1)"/>
      <w:numFmt w:val="lowerLetter"/>
      <w:start w:val="4"/>
    </w:lvl>
  </w:abstractNum>
  <w:abstractNum w:abstractNumId="304">
    <w:nsid w:val="EA697F2"/>
    <w:multiLevelType w:val="hybridMultilevel"/>
    <w:lvl w:ilvl="0">
      <w:lvlJc w:val="left"/>
      <w:lvlText w:val="(%1)"/>
      <w:numFmt w:val="lowerLetter"/>
      <w:start w:val="1"/>
    </w:lvl>
  </w:abstractNum>
  <w:abstractNum w:abstractNumId="305">
    <w:nsid w:val="70BA39EB"/>
    <w:multiLevelType w:val="hybridMultilevel"/>
    <w:lvl w:ilvl="0">
      <w:lvlJc w:val="left"/>
      <w:lvlText w:val="(%1)"/>
      <w:numFmt w:val="lowerLetter"/>
      <w:start w:val="1"/>
    </w:lvl>
  </w:abstractNum>
  <w:abstractNum w:abstractNumId="306">
    <w:nsid w:val="4A8DB59C"/>
    <w:multiLevelType w:val="hybridMultilevel"/>
    <w:lvl w:ilvl="0">
      <w:lvlJc w:val="left"/>
      <w:lvlText w:val="(%1)"/>
      <w:numFmt w:val="lowerLetter"/>
      <w:start w:val="1"/>
    </w:lvl>
  </w:abstractNum>
  <w:abstractNum w:abstractNumId="307">
    <w:nsid w:val="1AFD9053"/>
    <w:multiLevelType w:val="hybridMultilevel"/>
    <w:lvl w:ilvl="0">
      <w:lvlJc w:val="left"/>
      <w:lvlText w:val="(%1)"/>
      <w:numFmt w:val="lowerLetter"/>
      <w:start w:val="1"/>
    </w:lvl>
  </w:abstractNum>
  <w:abstractNum w:abstractNumId="308">
    <w:nsid w:val="558BB10D"/>
    <w:multiLevelType w:val="hybridMultilevel"/>
    <w:lvl w:ilvl="0">
      <w:lvlJc w:val="left"/>
      <w:lvlText w:val="%1"/>
      <w:numFmt w:val="lowerLetter"/>
      <w:start w:val="1"/>
    </w:lvl>
    <w:lvl w:ilvl="1">
      <w:lvlJc w:val="left"/>
      <w:lvlText w:val="(%2)"/>
      <w:numFmt w:val="lowerLetter"/>
      <w:start w:val="2"/>
    </w:lvl>
  </w:abstractNum>
  <w:abstractNum w:abstractNumId="309">
    <w:nsid w:val="43B27FA7"/>
    <w:multiLevelType w:val="hybridMultilevel"/>
    <w:lvl w:ilvl="0">
      <w:lvlJc w:val="left"/>
      <w:lvlText w:val="(%1)"/>
      <w:numFmt w:val="lowerLetter"/>
      <w:start w:val="35"/>
    </w:lvl>
    <w:lvl w:ilvl="1">
      <w:lvlJc w:val="left"/>
      <w:lvlText w:val="%2"/>
      <w:numFmt w:val="lowerLetter"/>
      <w:start w:val="1"/>
    </w:lvl>
  </w:abstractNum>
  <w:abstractNum w:abstractNumId="310">
    <w:nsid w:val="27FADEFA"/>
    <w:multiLevelType w:val="hybridMultilevel"/>
    <w:lvl w:ilvl="0">
      <w:lvlJc w:val="left"/>
      <w:lvlText w:val="(%1)"/>
      <w:numFmt w:val="lowerLetter"/>
      <w:start w:val="1"/>
    </w:lvl>
  </w:abstractNum>
  <w:abstractNum w:abstractNumId="311">
    <w:nsid w:val="78BB805A"/>
    <w:multiLevelType w:val="hybridMultilevel"/>
    <w:lvl w:ilvl="0">
      <w:lvlJc w:val="left"/>
      <w:lvlText w:val="(%1)"/>
      <w:numFmt w:val="lowerLetter"/>
      <w:start w:val="1"/>
    </w:lvl>
  </w:abstractNum>
  <w:abstractNum w:abstractNumId="312">
    <w:nsid w:val="62548FD8"/>
    <w:multiLevelType w:val="hybridMultilevel"/>
    <w:lvl w:ilvl="0">
      <w:lvlJc w:val="left"/>
      <w:lvlText w:val="(%1)"/>
      <w:numFmt w:val="lowerLetter"/>
      <w:start w:val="1"/>
    </w:lvl>
  </w:abstractNum>
  <w:abstractNum w:abstractNumId="313">
    <w:nsid w:val="FA085B0"/>
    <w:multiLevelType w:val="hybridMultilevel"/>
    <w:lvl w:ilvl="0">
      <w:lvlJc w:val="left"/>
      <w:lvlText w:val="(%1)"/>
      <w:numFmt w:val="lowerLetter"/>
      <w:start w:val="1"/>
    </w:lvl>
  </w:abstractNum>
  <w:abstractNum w:abstractNumId="314">
    <w:nsid w:val="4E5DCB5"/>
    <w:multiLevelType w:val="hybridMultilevel"/>
    <w:lvl w:ilvl="0">
      <w:lvlJc w:val="left"/>
      <w:lvlText w:val="(%1)"/>
      <w:numFmt w:val="lowerLetter"/>
      <w:start w:val="1"/>
    </w:lvl>
    <w:lvl w:ilvl="1">
      <w:lvlJc w:val="left"/>
      <w:lvlText w:val="(%2)"/>
      <w:numFmt w:val="lowerRoman"/>
      <w:start w:val="1"/>
    </w:lvl>
  </w:abstractNum>
  <w:abstractNum w:abstractNumId="315">
    <w:nsid w:val="41E96BDB"/>
    <w:multiLevelType w:val="hybridMultilevel"/>
    <w:lvl w:ilvl="0">
      <w:lvlJc w:val="left"/>
      <w:lvlText w:val="(%1)"/>
      <w:numFmt w:val="lowerLetter"/>
      <w:start w:val="2"/>
    </w:lvl>
  </w:abstractNum>
  <w:abstractNum w:abstractNumId="316">
    <w:nsid w:val="331C4250"/>
    <w:multiLevelType w:val="hybridMultilevel"/>
    <w:lvl w:ilvl="0">
      <w:lvlJc w:val="left"/>
      <w:lvlText w:val="%1"/>
      <w:numFmt w:val="lowerLetter"/>
      <w:start w:val="1"/>
    </w:lvl>
    <w:lvl w:ilvl="1">
      <w:lvlJc w:val="left"/>
      <w:lvlText w:val="(%2)"/>
      <w:numFmt w:val="lowerLetter"/>
      <w:start w:val="1"/>
    </w:lvl>
  </w:abstractNum>
  <w:abstractNum w:abstractNumId="317">
    <w:nsid w:val="1B1493C2"/>
    <w:multiLevelType w:val="hybridMultilevel"/>
    <w:lvl w:ilvl="0">
      <w:lvlJc w:val="left"/>
      <w:lvlText w:val="(%1)"/>
      <w:numFmt w:val="lowerLetter"/>
      <w:start w:val="35"/>
    </w:lvl>
    <w:lvl w:ilvl="1">
      <w:lvlJc w:val="left"/>
      <w:lvlText w:val="(%2)"/>
      <w:numFmt w:val="lowerLetter"/>
      <w:start w:val="2"/>
    </w:lvl>
  </w:abstractNum>
  <w:abstractNum w:abstractNumId="318">
    <w:nsid w:val="39F06DFD"/>
    <w:multiLevelType w:val="hybridMultilevel"/>
    <w:lvl w:ilvl="0">
      <w:lvlJc w:val="left"/>
      <w:lvlText w:val="(%1)"/>
      <w:numFmt w:val="lowerLetter"/>
      <w:start w:val="3"/>
    </w:lvl>
  </w:abstractNum>
  <w:abstractNum w:abstractNumId="319">
    <w:nsid w:val="14802F5D"/>
    <w:multiLevelType w:val="hybridMultilevel"/>
    <w:lvl w:ilvl="0">
      <w:lvlJc w:val="left"/>
      <w:lvlText w:val="(%1)"/>
      <w:numFmt w:val="lowerLetter"/>
      <w:start w:val="7"/>
    </w:lvl>
  </w:abstractNum>
  <w:abstractNum w:abstractNumId="320">
    <w:nsid w:val="2774A209"/>
    <w:multiLevelType w:val="hybridMultilevel"/>
    <w:lvl w:ilvl="0">
      <w:lvlJc w:val="left"/>
      <w:lvlText w:val="(%1)"/>
      <w:numFmt w:val="lowerLetter"/>
      <w:start w:val="10"/>
    </w:lvl>
  </w:abstractNum>
  <w:abstractNum w:abstractNumId="321">
    <w:nsid w:val="3785655A"/>
    <w:multiLevelType w:val="hybridMultilevel"/>
    <w:lvl w:ilvl="0">
      <w:lvlJc w:val="left"/>
      <w:lvlText w:val="(%1)"/>
      <w:numFmt w:val="lowerLetter"/>
      <w:start w:val="12"/>
    </w:lvl>
  </w:abstractNum>
  <w:abstractNum w:abstractNumId="322">
    <w:nsid w:val="B2172A"/>
    <w:multiLevelType w:val="hybridMultilevel"/>
    <w:lvl w:ilvl="0">
      <w:lvlJc w:val="left"/>
      <w:lvlText w:val="%1"/>
      <w:numFmt w:val="lowerLetter"/>
      <w:start w:val="1"/>
    </w:lvl>
    <w:lvl w:ilvl="1">
      <w:lvlJc w:val="left"/>
      <w:lvlText w:val="(%2)"/>
      <w:numFmt w:val="lowerLetter"/>
      <w:start w:val="1"/>
    </w:lvl>
  </w:abstractNum>
  <w:abstractNum w:abstractNumId="323">
    <w:nsid w:val="532C34A5"/>
    <w:multiLevelType w:val="hybridMultilevel"/>
    <w:lvl w:ilvl="0">
      <w:lvlJc w:val="left"/>
      <w:lvlText w:val="(%1)"/>
      <w:numFmt w:val="lowerLetter"/>
      <w:start w:val="35"/>
    </w:lvl>
    <w:lvl w:ilvl="1">
      <w:lvlJc w:val="left"/>
      <w:lvlText w:val="%2"/>
      <w:numFmt w:val="lowerLetter"/>
      <w:start w:val="1"/>
    </w:lvl>
  </w:abstractNum>
  <w:abstractNum w:abstractNumId="324">
    <w:nsid w:val="102809E2"/>
    <w:multiLevelType w:val="hybridMultilevel"/>
    <w:lvl w:ilvl="0">
      <w:lvlJc w:val="left"/>
      <w:lvlText w:val="(%1)"/>
      <w:numFmt w:val="lowerLetter"/>
      <w:start w:val="4"/>
    </w:lvl>
  </w:abstractNum>
  <w:abstractNum w:abstractNumId="325">
    <w:nsid w:val="3B2125A3"/>
    <w:multiLevelType w:val="hybridMultilevel"/>
    <w:lvl w:ilvl="0">
      <w:lvlJc w:val="left"/>
      <w:lvlText w:val="(%1)"/>
      <w:numFmt w:val="lowerLetter"/>
      <w:start w:val="1"/>
    </w:lvl>
  </w:abstractNum>
  <w:abstractNum w:abstractNumId="326">
    <w:nsid w:val="AC68FFB"/>
    <w:multiLevelType w:val="hybridMultilevel"/>
    <w:lvl w:ilvl="0">
      <w:lvlJc w:val="left"/>
      <w:lvlText w:val="(%1)"/>
      <w:numFmt w:val="lowerLetter"/>
      <w:start w:val="2"/>
    </w:lvl>
  </w:abstractNum>
  <w:abstractNum w:abstractNumId="327">
    <w:nsid w:val="63DF3FB7"/>
    <w:multiLevelType w:val="hybridMultilevel"/>
    <w:lvl w:ilvl="0">
      <w:lvlJc w:val="left"/>
      <w:lvlText w:val="%1"/>
      <w:numFmt w:val="lowerLetter"/>
      <w:start w:val="1"/>
    </w:lvl>
    <w:lvl w:ilvl="1">
      <w:lvlJc w:val="left"/>
      <w:lvlText w:val="(%2)"/>
      <w:numFmt w:val="lowerLetter"/>
      <w:start w:val="12"/>
    </w:lvl>
  </w:abstractNum>
  <w:abstractNum w:abstractNumId="328">
    <w:nsid w:val="64996E13"/>
    <w:multiLevelType w:val="hybridMultilevel"/>
    <w:lvl w:ilvl="0">
      <w:lvlJc w:val="left"/>
      <w:lvlText w:val="(%1)"/>
      <w:numFmt w:val="lowerLetter"/>
      <w:start w:val="35"/>
    </w:lvl>
    <w:lvl w:ilvl="1">
      <w:lvlJc w:val="left"/>
      <w:lvlText w:val="(%2)"/>
      <w:numFmt w:val="lowerLetter"/>
      <w:start w:val="19"/>
    </w:lvl>
  </w:abstractNum>
  <w:abstractNum w:abstractNumId="329">
    <w:nsid w:val="57A37D47"/>
    <w:multiLevelType w:val="hybridMultilevel"/>
    <w:lvl w:ilvl="0">
      <w:lvlJc w:val="left"/>
      <w:lvlText w:val="%1"/>
      <w:numFmt w:val="lowerLetter"/>
      <w:start w:val="1"/>
    </w:lvl>
    <w:lvl w:ilvl="1">
      <w:lvlJc w:val="left"/>
      <w:lvlText w:val="(%2)"/>
      <w:numFmt w:val="lowerLetter"/>
      <w:start w:val="20"/>
    </w:lvl>
  </w:abstractNum>
  <w:abstractNum w:abstractNumId="330">
    <w:nsid w:val="74824D54"/>
    <w:multiLevelType w:val="hybridMultilevel"/>
    <w:lvl w:ilvl="0">
      <w:lvlJc w:val="left"/>
      <w:lvlText w:val="(%1)"/>
      <w:numFmt w:val="lowerLetter"/>
      <w:start w:val="9"/>
    </w:lvl>
    <w:lvl w:ilvl="1">
      <w:lvlJc w:val="left"/>
      <w:lvlText w:val="(%2)"/>
      <w:numFmt w:val="lowerLetter"/>
      <w:start w:val="24"/>
    </w:lvl>
  </w:abstractNum>
  <w:abstractNum w:abstractNumId="331">
    <w:nsid w:val="6F00529A"/>
    <w:multiLevelType w:val="hybridMultilevel"/>
    <w:lvl w:ilvl="0">
      <w:lvlJc w:val="left"/>
      <w:lvlText w:val="(%1)"/>
      <w:numFmt w:val="lowerLetter"/>
      <w:start w:val="25"/>
    </w:lvl>
  </w:abstractNum>
  <w:abstractNum w:abstractNumId="332">
    <w:nsid w:val="805B331"/>
    <w:multiLevelType w:val="hybridMultilevel"/>
    <w:lvl w:ilvl="0">
      <w:lvlJc w:val="left"/>
      <w:lvlText w:val="(%1)"/>
      <w:numFmt w:val="lowerLetter"/>
      <w:start w:val="27"/>
    </w:lvl>
  </w:abstractNum>
  <w:abstractNum w:abstractNumId="333">
    <w:nsid w:val="60A1463"/>
    <w:multiLevelType w:val="hybridMultilevel"/>
    <w:lvl w:ilvl="0">
      <w:lvlJc w:val="left"/>
      <w:lvlText w:val="%1"/>
      <w:numFmt w:val="lowerLetter"/>
      <w:start w:val="1"/>
    </w:lvl>
    <w:lvl w:ilvl="1">
      <w:lvlJc w:val="left"/>
      <w:lvlText w:val="(%2)"/>
      <w:numFmt w:val="lowerLetter"/>
      <w:start w:val="1"/>
    </w:lvl>
  </w:abstractNum>
  <w:abstractNum w:abstractNumId="334">
    <w:nsid w:val="43773132"/>
    <w:multiLevelType w:val="hybridMultilevel"/>
    <w:lvl w:ilvl="0">
      <w:lvlJc w:val="left"/>
      <w:lvlText w:val="(%1)"/>
      <w:numFmt w:val="lowerLetter"/>
      <w:start w:val="35"/>
    </w:lvl>
    <w:lvl w:ilvl="1">
      <w:lvlJc w:val="left"/>
      <w:lvlText w:val="%2"/>
      <w:numFmt w:val="lowerLetter"/>
      <w:start w:val="1"/>
    </w:lvl>
  </w:abstractNum>
  <w:abstractNum w:abstractNumId="335">
    <w:nsid w:val="16AC4B23"/>
    <w:multiLevelType w:val="hybridMultilevel"/>
    <w:lvl w:ilvl="0">
      <w:lvlJc w:val="left"/>
      <w:lvlText w:val="(%1)"/>
      <w:numFmt w:val="lowerLetter"/>
      <w:start w:val="5"/>
    </w:lvl>
  </w:abstractNum>
  <w:abstractNum w:abstractNumId="336">
    <w:nsid w:val="76C44E4E"/>
    <w:multiLevelType w:val="hybridMultilevel"/>
    <w:lvl w:ilvl="0">
      <w:lvlJc w:val="left"/>
      <w:lvlText w:val="%1"/>
      <w:numFmt w:val="lowerLetter"/>
      <w:start w:val="1"/>
    </w:lvl>
    <w:lvl w:ilvl="1">
      <w:lvlJc w:val="left"/>
      <w:lvlText w:val="(%2)"/>
      <w:numFmt w:val="lowerLetter"/>
      <w:start w:val="1"/>
    </w:lvl>
  </w:abstractNum>
  <w:abstractNum w:abstractNumId="337">
    <w:nsid w:val="E04E6CE"/>
    <w:multiLevelType w:val="hybridMultilevel"/>
    <w:lvl w:ilvl="0">
      <w:lvlJc w:val="left"/>
      <w:lvlText w:val="(%1)"/>
      <w:numFmt w:val="lowerLetter"/>
      <w:start w:val="9"/>
    </w:lvl>
    <w:lvl w:ilvl="1">
      <w:lvlJc w:val="left"/>
      <w:lvlText w:val="(%2)"/>
      <w:numFmt w:val="lowerLetter"/>
      <w:start w:val="2"/>
    </w:lvl>
  </w:abstractNum>
  <w:abstractNum w:abstractNumId="338">
    <w:nsid w:val="31A9DB76"/>
    <w:multiLevelType w:val="hybridMultilevel"/>
    <w:lvl w:ilvl="0">
      <w:lvlJc w:val="left"/>
      <w:lvlText w:val="(%1)"/>
      <w:numFmt w:val="lowerLetter"/>
      <w:start w:val="6"/>
    </w:lvl>
  </w:abstractNum>
  <w:abstractNum w:abstractNumId="339">
    <w:nsid w:val="4C4FFF5B"/>
    <w:multiLevelType w:val="hybridMultilevel"/>
    <w:lvl w:ilvl="0">
      <w:lvlJc w:val="left"/>
      <w:lvlText w:val="(%1)"/>
      <w:numFmt w:val="lowerLetter"/>
      <w:start w:val="1"/>
    </w:lvl>
  </w:abstractNum>
  <w:abstractNum w:abstractNumId="340">
    <w:nsid w:val="51B76675"/>
    <w:multiLevelType w:val="hybridMultilevel"/>
    <w:lvl w:ilvl="0">
      <w:lvlJc w:val="left"/>
      <w:lvlText w:val="(%1)"/>
      <w:numFmt w:val="lowerLetter"/>
      <w:start w:val="2"/>
    </w:lvl>
  </w:abstractNum>
  <w:abstractNum w:abstractNumId="341">
    <w:nsid w:val="59A4BA71"/>
    <w:multiLevelType w:val="hybridMultilevel"/>
    <w:lvl w:ilvl="0">
      <w:lvlJc w:val="left"/>
      <w:lvlText w:val="(%1)"/>
      <w:numFmt w:val="lowerLetter"/>
      <w:start w:val="1"/>
    </w:lvl>
  </w:abstractNum>
  <w:abstractNum w:abstractNumId="342">
    <w:nsid w:val="450B7FB6"/>
    <w:multiLevelType w:val="hybridMultilevel"/>
    <w:lvl w:ilvl="0">
      <w:lvlJc w:val="left"/>
      <w:lvlText w:val="(%1)"/>
      <w:numFmt w:val="lowerLetter"/>
      <w:start w:val="1"/>
    </w:lvl>
  </w:abstractNum>
  <w:abstractNum w:abstractNumId="343">
    <w:nsid w:val="340BF64D"/>
    <w:multiLevelType w:val="hybridMultilevel"/>
    <w:lvl w:ilvl="0">
      <w:lvlJc w:val="left"/>
      <w:lvlText w:val="(%1)"/>
      <w:numFmt w:val="lowerLetter"/>
      <w:start w:val="1"/>
    </w:lvl>
  </w:abstractNum>
  <w:abstractNum w:abstractNumId="344">
    <w:nsid w:val="69454021"/>
    <w:multiLevelType w:val="hybridMultilevel"/>
    <w:lvl w:ilvl="0">
      <w:lvlJc w:val="left"/>
      <w:lvlText w:val="%1"/>
      <w:numFmt w:val="lowerLetter"/>
      <w:start w:val="1"/>
    </w:lvl>
    <w:lvl w:ilvl="1">
      <w:lvlJc w:val="left"/>
      <w:lvlText w:val="(%2)"/>
      <w:numFmt w:val="lowerLetter"/>
      <w:start w:val="1"/>
    </w:lvl>
  </w:abstractNum>
  <w:abstractNum w:abstractNumId="345">
    <w:nsid w:val="49F15C6B"/>
    <w:multiLevelType w:val="hybridMultilevel"/>
    <w:lvl w:ilvl="0">
      <w:lvlJc w:val="left"/>
      <w:lvlText w:val="(%1)"/>
      <w:numFmt w:val="lowerLetter"/>
      <w:start w:val="35"/>
    </w:lvl>
    <w:lvl w:ilvl="1">
      <w:lvlJc w:val="left"/>
      <w:lvlText w:val="%2"/>
      <w:numFmt w:val="lowerLetter"/>
      <w:start w:val="1"/>
    </w:lvl>
  </w:abstractNum>
  <w:abstractNum w:abstractNumId="346">
    <w:nsid w:val="75F56228"/>
    <w:multiLevelType w:val="hybridMultilevel"/>
    <w:lvl w:ilvl="0">
      <w:lvlJc w:val="left"/>
      <w:lvlText w:val="(%1)"/>
      <w:numFmt w:val="lowerLetter"/>
      <w:start w:val="1"/>
    </w:lvl>
  </w:abstractNum>
  <w:abstractNum w:abstractNumId="347">
    <w:nsid w:val="1C618271"/>
    <w:multiLevelType w:val="hybridMultilevel"/>
    <w:lvl w:ilvl="0">
      <w:lvlJc w:val="left"/>
      <w:lvlText w:val="(%1)"/>
      <w:numFmt w:val="lowerLetter"/>
      <w:start w:val="1"/>
    </w:lvl>
  </w:abstractNum>
  <w:abstractNum w:abstractNumId="348">
    <w:nsid w:val="6505F02E"/>
    <w:multiLevelType w:val="hybridMultilevel"/>
    <w:lvl w:ilvl="0">
      <w:lvlJc w:val="left"/>
      <w:lvlText w:val="(%1)"/>
      <w:numFmt w:val="lowerLetter"/>
      <w:start w:val="1"/>
    </w:lvl>
  </w:abstractNum>
  <w:abstractNum w:abstractNumId="349">
    <w:nsid w:val="2FE5D025"/>
    <w:multiLevelType w:val="hybridMultilevel"/>
    <w:lvl w:ilvl="0">
      <w:lvlJc w:val="left"/>
      <w:lvlText w:val="(%1)"/>
      <w:numFmt w:val="lowerLetter"/>
      <w:start w:val="4"/>
    </w:lvl>
  </w:abstractNum>
  <w:abstractNum w:abstractNumId="350">
    <w:nsid w:val="30E1B1CF"/>
    <w:multiLevelType w:val="hybridMultilevel"/>
    <w:lvl w:ilvl="0">
      <w:lvlJc w:val="left"/>
      <w:lvlText w:val="(%1)"/>
      <w:numFmt w:val="lowerLetter"/>
      <w:start w:val="1"/>
    </w:lvl>
  </w:abstractNum>
  <w:abstractNum w:abstractNumId="351">
    <w:nsid w:val="C7A9237"/>
    <w:multiLevelType w:val="hybridMultilevel"/>
    <w:lvl w:ilvl="0">
      <w:lvlJc w:val="left"/>
      <w:lvlText w:val="(%1)"/>
      <w:numFmt w:val="lowerLetter"/>
      <w:start w:val="1"/>
    </w:lvl>
  </w:abstractNum>
  <w:abstractNum w:abstractNumId="352">
    <w:nsid w:val="676B3580"/>
    <w:multiLevelType w:val="hybridMultilevel"/>
    <w:lvl w:ilvl="0">
      <w:lvlJc w:val="left"/>
      <w:lvlText w:val="(%1)"/>
      <w:numFmt w:val="lowerLetter"/>
      <w:start w:val="2"/>
    </w:lvl>
  </w:abstractNum>
  <w:abstractNum w:abstractNumId="353">
    <w:nsid w:val="3193C8F9"/>
    <w:multiLevelType w:val="hybridMultilevel"/>
    <w:lvl w:ilvl="0">
      <w:lvlJc w:val="left"/>
      <w:lvlText w:val="(%1)"/>
      <w:numFmt w:val="lowerLetter"/>
      <w:start w:val="1"/>
    </w:lvl>
  </w:abstractNum>
  <w:abstractNum w:abstractNumId="354">
    <w:nsid w:val="5FA6C6DC"/>
    <w:multiLevelType w:val="hybridMultilevel"/>
    <w:lvl w:ilvl="0">
      <w:lvlJc w:val="left"/>
      <w:lvlText w:val="(%1)"/>
      <w:numFmt w:val="lowerLetter"/>
      <w:start w:val="10"/>
    </w:lvl>
  </w:abstractNum>
  <w:abstractNum w:abstractNumId="355">
    <w:nsid w:val="77933F62"/>
    <w:multiLevelType w:val="hybridMultilevel"/>
    <w:lvl w:ilvl="0">
      <w:lvlJc w:val="left"/>
      <w:lvlText w:val="(%1)"/>
      <w:numFmt w:val="lowerLetter"/>
      <w:start w:val="1"/>
    </w:lvl>
  </w:abstractNum>
  <w:abstractNum w:abstractNumId="356">
    <w:nsid w:val="6CB4EE9C"/>
    <w:multiLevelType w:val="hybridMultilevel"/>
    <w:lvl w:ilvl="0">
      <w:lvlJc w:val="left"/>
      <w:lvlText w:val="(%1)"/>
      <w:numFmt w:val="lowerLetter"/>
      <w:start w:val="4"/>
    </w:lvl>
  </w:abstractNum>
  <w:abstractNum w:abstractNumId="357">
    <w:nsid w:val="6A6D56D7"/>
    <w:multiLevelType w:val="hybridMultilevel"/>
    <w:lvl w:ilvl="0">
      <w:lvlJc w:val="left"/>
      <w:lvlText w:val="(%1)"/>
      <w:numFmt w:val="lowerLetter"/>
      <w:start w:val="7"/>
    </w:lvl>
  </w:abstractNum>
  <w:abstractNum w:abstractNumId="358">
    <w:nsid w:val="5B727F19"/>
    <w:multiLevelType w:val="hybridMultilevel"/>
    <w:lvl w:ilvl="0">
      <w:lvlJc w:val="left"/>
      <w:lvlText w:val="(%1)"/>
      <w:numFmt w:val="lowerLetter"/>
      <w:start w:val="8"/>
    </w:lvl>
  </w:abstractNum>
  <w:abstractNum w:abstractNumId="359">
    <w:nsid w:val="514E5CB0"/>
    <w:multiLevelType w:val="hybridMultilevel"/>
    <w:lvl w:ilvl="0">
      <w:lvlJc w:val="left"/>
      <w:lvlText w:val="%1"/>
      <w:numFmt w:val="lowerLetter"/>
      <w:start w:val="1"/>
    </w:lvl>
    <w:lvl w:ilvl="1">
      <w:lvlJc w:val="left"/>
      <w:lvlText w:val="(%2)"/>
      <w:numFmt w:val="lowerLetter"/>
      <w:start w:val="1"/>
    </w:lvl>
  </w:abstractNum>
  <w:abstractNum w:abstractNumId="360">
    <w:nsid w:val="4210D41E"/>
    <w:multiLevelType w:val="hybridMultilevel"/>
    <w:lvl w:ilvl="0">
      <w:lvlJc w:val="left"/>
      <w:lvlText w:val="(%1)"/>
      <w:numFmt w:val="lowerLetter"/>
      <w:start w:val="1"/>
    </w:lvl>
    <w:lvl w:ilvl="1">
      <w:lvlJc w:val="left"/>
      <w:lvlText w:val="%2"/>
      <w:numFmt w:val="lowerLetter"/>
      <w:start w:val="1"/>
    </w:lvl>
  </w:abstractNum>
  <w:abstractNum w:abstractNumId="361">
    <w:nsid w:val="4FF4CC6D"/>
    <w:multiLevelType w:val="hybridMultilevel"/>
    <w:lvl w:ilvl="0">
      <w:lvlJc w:val="left"/>
      <w:lvlText w:val="(%1)"/>
      <w:numFmt w:val="lowerLetter"/>
      <w:start w:val="2"/>
    </w:lvl>
  </w:abstractNum>
  <w:abstractNum w:abstractNumId="362">
    <w:nsid w:val="404EAF4A"/>
    <w:multiLevelType w:val="hybridMultilevel"/>
    <w:lvl w:ilvl="0">
      <w:lvlJc w:val="left"/>
      <w:lvlText w:val="(%1)"/>
      <w:numFmt w:val="lowerLetter"/>
      <w:start w:val="1"/>
    </w:lvl>
  </w:abstractNum>
  <w:abstractNum w:abstractNumId="363">
    <w:nsid w:val="4A16874F"/>
    <w:multiLevelType w:val="hybridMultilevel"/>
    <w:lvl w:ilvl="0">
      <w:lvlJc w:val="left"/>
      <w:lvlText w:val="(%1)"/>
      <w:numFmt w:val="lowerLetter"/>
      <w:start w:val="1"/>
    </w:lvl>
  </w:abstractNum>
  <w:abstractNum w:abstractNumId="364">
    <w:nsid w:val="55FEE0D1"/>
    <w:multiLevelType w:val="hybridMultilevel"/>
    <w:lvl w:ilvl="0">
      <w:lvlJc w:val="left"/>
      <w:lvlText w:val="(%1)"/>
      <w:numFmt w:val="lowerLetter"/>
      <w:start w:val="1"/>
    </w:lvl>
  </w:abstractNum>
  <w:abstractNum w:abstractNumId="365">
    <w:nsid w:val="3C5E07C"/>
    <w:multiLevelType w:val="hybridMultilevel"/>
    <w:lvl w:ilvl="0">
      <w:lvlJc w:val="left"/>
      <w:lvlText w:val="(%1)"/>
      <w:numFmt w:val="lowerRoman"/>
      <w:start w:val="1"/>
    </w:lvl>
  </w:abstractNum>
  <w:abstractNum w:abstractNumId="366">
    <w:nsid w:val="60C2D273"/>
    <w:multiLevelType w:val="hybridMultilevel"/>
    <w:lvl w:ilvl="0">
      <w:lvlJc w:val="left"/>
      <w:lvlText w:val="(%1)"/>
      <w:numFmt w:val="decimal"/>
      <w:start w:val="2"/>
    </w:lvl>
  </w:abstractNum>
  <w:abstractNum w:abstractNumId="367">
    <w:nsid w:val="4CC32F1F"/>
    <w:multiLevelType w:val="hybridMultilevel"/>
    <w:lvl w:ilvl="0">
      <w:lvlJc w:val="left"/>
      <w:lvlText w:val="(%1)"/>
      <w:numFmt w:val="decimal"/>
      <w:start w:val="10"/>
    </w:lvl>
  </w:abstractNum>
  <w:abstractNum w:abstractNumId="368">
    <w:nsid w:val="11CAC74A"/>
    <w:multiLevelType w:val="hybridMultilevel"/>
    <w:lvl w:ilvl="0">
      <w:lvlJc w:val="left"/>
      <w:lvlText w:val="(%1)"/>
      <w:numFmt w:val="lowerRoman"/>
      <w:start w:val="6"/>
    </w:lvl>
  </w:abstractNum>
  <w:abstractNum w:abstractNumId="369">
    <w:nsid w:val="126CADE9"/>
    <w:multiLevelType w:val="hybridMultilevel"/>
    <w:lvl w:ilvl="0">
      <w:lvlJc w:val="left"/>
      <w:lvlText w:val="(%1)"/>
      <w:numFmt w:val="upperLetter"/>
      <w:start w:val="2"/>
    </w:lvl>
  </w:abstractNum>
  <w:abstractNum w:abstractNumId="370">
    <w:nsid w:val="19132E7B"/>
    <w:multiLevelType w:val="hybridMultilevel"/>
    <w:lvl w:ilvl="0">
      <w:lvlJc w:val="left"/>
      <w:lvlText w:val="(%1)"/>
      <w:numFmt w:val="lowerRoman"/>
      <w:start w:val="2"/>
    </w:lvl>
  </w:abstractNum>
  <w:abstractNum w:abstractNumId="371">
    <w:nsid w:val="63822DC0"/>
    <w:multiLevelType w:val="hybridMultilevel"/>
    <w:lvl w:ilvl="0">
      <w:lvlJc w:val="left"/>
      <w:lvlText w:val="(%1)"/>
      <w:numFmt w:val="lowerRoman"/>
      <w:start w:val="1"/>
    </w:lvl>
  </w:abstractNum>
  <w:abstractNum w:abstractNumId="372">
    <w:nsid w:val="6C11685A"/>
    <w:multiLevelType w:val="hybridMultilevel"/>
    <w:lvl w:ilvl="0">
      <w:lvlJc w:val="left"/>
      <w:lvlText w:val="(%1)"/>
      <w:numFmt w:val="lowerRoman"/>
      <w:start w:val="1"/>
    </w:lvl>
  </w:abstractNum>
  <w:abstractNum w:abstractNumId="373">
    <w:nsid w:val="5E1EAE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4">
    <w:nsid w:val="178E240D"/>
    <w:multiLevelType w:val="hybridMultilevel"/>
    <w:lvl w:ilvl="0">
      <w:lvlJc w:val="left"/>
      <w:lvlText w:val="%1"/>
      <w:numFmt w:val="lowerLetter"/>
      <w:start w:val="1"/>
    </w:lvl>
    <w:lvl w:ilvl="1">
      <w:lvlJc w:val="left"/>
      <w:lvlText w:val="(%2)"/>
      <w:numFmt w:val="lowerRoman"/>
      <w:start w:val="2"/>
    </w:lvl>
  </w:abstractNum>
  <w:abstractNum w:abstractNumId="375">
    <w:nsid w:val="5556A87B"/>
    <w:multiLevelType w:val="hybridMultilevel"/>
    <w:lvl w:ilvl="0">
      <w:lvlJc w:val="left"/>
      <w:lvlText w:val="(%1)"/>
      <w:numFmt w:val="lowerLetter"/>
      <w:start w:val="3"/>
    </w:lvl>
    <w:lvl w:ilvl="1">
      <w:lvlJc w:val="left"/>
      <w:lvlText w:val="%2"/>
      <w:numFmt w:val="lowerRoman"/>
      <w:start w:val="1"/>
    </w:lvl>
  </w:abstractNum>
  <w:abstractNum w:abstractNumId="376">
    <w:nsid w:val="28100A9C"/>
    <w:multiLevelType w:val="hybridMultilevel"/>
    <w:lvl w:ilvl="0">
      <w:lvlJc w:val="left"/>
      <w:lvlText w:val="%1"/>
      <w:numFmt w:val="decimal"/>
      <w:start w:val="1"/>
    </w:lvl>
    <w:lvl w:ilvl="1">
      <w:lvlJc w:val="left"/>
      <w:lvlText w:val="(%2)"/>
      <w:numFmt w:val="lowerLetter"/>
      <w:start w:val="6"/>
    </w:lvl>
  </w:abstractNum>
  <w:abstractNum w:abstractNumId="377">
    <w:nsid w:val="D838636"/>
    <w:multiLevelType w:val="hybridMultilevel"/>
    <w:lvl w:ilvl="0">
      <w:lvlJc w:val="left"/>
      <w:lvlText w:val="(%1)"/>
      <w:numFmt w:val="decimal"/>
      <w:start w:val="15"/>
    </w:lvl>
    <w:lvl w:ilvl="1">
      <w:lvlJc w:val="left"/>
      <w:lvlText w:val="(%2)"/>
      <w:numFmt w:val="lowerLetter"/>
      <w:start w:val="8"/>
    </w:lvl>
  </w:abstractNum>
  <w:abstractNum w:abstractNumId="378">
    <w:nsid w:val="71B82AED"/>
    <w:multiLevelType w:val="hybridMultilevel"/>
    <w:lvl w:ilvl="0">
      <w:lvlJc w:val="left"/>
      <w:lvlText w:val="(%1)"/>
      <w:numFmt w:val="lowerLetter"/>
      <w:start w:val="1"/>
    </w:lvl>
    <w:lvl w:ilvl="1">
      <w:lvlJc w:val="left"/>
      <w:lvlText w:val="(%2)"/>
      <w:numFmt w:val="lowerRoman"/>
      <w:start w:val="1"/>
    </w:lvl>
  </w:abstractNum>
  <w:abstractNum w:abstractNumId="379">
    <w:nsid w:val="D15FACA"/>
    <w:multiLevelType w:val="hybridMultilevel"/>
    <w:lvl w:ilvl="0">
      <w:lvlJc w:val="left"/>
      <w:lvlText w:val="%1"/>
      <w:numFmt w:val="lowerLetter"/>
      <w:start w:val="1"/>
    </w:lvl>
    <w:lvl w:ilvl="1">
      <w:lvlJc w:val="left"/>
      <w:lvlText w:val="(%2)"/>
      <w:numFmt w:val="lowerRoman"/>
      <w:start w:val="3"/>
    </w:lvl>
  </w:abstractNum>
  <w:abstractNum w:abstractNumId="380">
    <w:nsid w:val="3D69565B"/>
    <w:multiLevelType w:val="hybridMultilevel"/>
    <w:lvl w:ilvl="0">
      <w:lvlJc w:val="left"/>
      <w:lvlText w:val="(%1)"/>
      <w:numFmt w:val="lowerLetter"/>
      <w:start w:val="3"/>
    </w:lvl>
    <w:lvl w:ilvl="1">
      <w:lvlJc w:val="left"/>
      <w:lvlText w:val="(%2)"/>
      <w:numFmt w:val="lowerRoman"/>
      <w:start w:val="1"/>
    </w:lvl>
  </w:abstractNum>
  <w:abstractNum w:abstractNumId="381">
    <w:nsid w:val="2299DCBC"/>
    <w:multiLevelType w:val="hybridMultilevel"/>
    <w:lvl w:ilvl="0">
      <w:lvlJc w:val="left"/>
      <w:lvlText w:val="(%1)"/>
      <w:numFmt w:val="lowerLetter"/>
      <w:start w:val="1"/>
    </w:lvl>
    <w:lvl w:ilvl="1">
      <w:lvlJc w:val="left"/>
      <w:lvlText w:val="(%2)"/>
      <w:numFmt w:val="lowerRoman"/>
      <w:start w:val="1"/>
    </w:lvl>
  </w:abstractNum>
  <w:abstractNum w:abstractNumId="382">
    <w:nsid w:val="19908D02"/>
    <w:multiLevelType w:val="hybridMultilevel"/>
    <w:lvl w:ilvl="0">
      <w:lvlJc w:val="left"/>
      <w:lvlText w:val="(%1)"/>
      <w:numFmt w:val="lowerLetter"/>
      <w:start w:val="1"/>
    </w:lvl>
  </w:abstractNum>
  <w:abstractNum w:abstractNumId="383">
    <w:nsid w:val="24D48BDB"/>
    <w:multiLevelType w:val="hybridMultilevel"/>
    <w:lvl w:ilvl="0">
      <w:lvlJc w:val="left"/>
      <w:lvlText w:val="(%1)"/>
      <w:numFmt w:val="lowerLetter"/>
      <w:start w:val="1"/>
    </w:lvl>
  </w:abstractNum>
  <w:abstractNum w:abstractNumId="384">
    <w:nsid w:val="542DA5B5"/>
    <w:multiLevelType w:val="hybridMultilevel"/>
    <w:lvl w:ilvl="0">
      <w:lvlJc w:val="left"/>
      <w:lvlText w:val="(%1)"/>
      <w:numFmt w:val="lowerLetter"/>
      <w:start w:val="1"/>
    </w:lvl>
    <w:lvl w:ilvl="1">
      <w:lvlJc w:val="left"/>
      <w:lvlText w:val="(%2)"/>
      <w:numFmt w:val="lowerRoman"/>
      <w:start w:val="1"/>
    </w:lvl>
  </w:abstractNum>
  <w:abstractNum w:abstractNumId="385">
    <w:nsid w:val="793753DE"/>
    <w:multiLevelType w:val="hybridMultilevel"/>
    <w:lvl w:ilvl="0">
      <w:lvlJc w:val="left"/>
      <w:lvlText w:val="(%1)"/>
      <w:numFmt w:val="lowerLetter"/>
      <w:start w:val="2"/>
    </w:lvl>
  </w:abstractNum>
  <w:abstractNum w:abstractNumId="386">
    <w:nsid w:val="1C67CB3D"/>
    <w:multiLevelType w:val="hybridMultilevel"/>
    <w:lvl w:ilvl="0">
      <w:lvlJc w:val="left"/>
      <w:lvlText w:val="(%1)"/>
      <w:numFmt w:val="lowerLetter"/>
      <w:start w:val="4"/>
    </w:lvl>
  </w:abstractNum>
  <w:abstractNum w:abstractNumId="387">
    <w:nsid w:val="40E29452"/>
    <w:multiLevelType w:val="hybridMultilevel"/>
    <w:lvl w:ilvl="0">
      <w:lvlJc w:val="left"/>
      <w:lvlText w:val="%1"/>
      <w:numFmt w:val="decimal"/>
      <w:start w:val="1"/>
    </w:lvl>
    <w:lvl w:ilvl="1">
      <w:lvlJc w:val="left"/>
      <w:lvlText w:val="(%2)"/>
      <w:numFmt w:val="lowerLetter"/>
      <w:start w:val="1"/>
    </w:lvl>
  </w:abstractNum>
  <w:abstractNum w:abstractNumId="388">
    <w:nsid w:val="63A4AAB6"/>
    <w:multiLevelType w:val="hybridMultilevel"/>
    <w:lvl w:ilvl="0">
      <w:lvlJc w:val="left"/>
      <w:lvlText w:val="(%1)"/>
      <w:numFmt w:val="decimal"/>
      <w:start w:val="30"/>
    </w:lvl>
    <w:lvl w:ilvl="1">
      <w:lvlJc w:val="left"/>
      <w:lvlText w:val="%2"/>
      <w:numFmt w:val="lowerLetter"/>
      <w:start w:val="1"/>
    </w:lvl>
  </w:abstractNum>
  <w:abstractNum w:abstractNumId="389">
    <w:nsid w:val="77DA4A57"/>
    <w:multiLevelType w:val="hybridMultilevel"/>
    <w:lvl w:ilvl="0">
      <w:lvlJc w:val="left"/>
      <w:lvlText w:val="(%1)"/>
      <w:numFmt w:val="decimal"/>
      <w:start w:val="30"/>
    </w:lvl>
    <w:lvl w:ilvl="1">
      <w:lvlJc w:val="left"/>
      <w:lvlText w:val="%2"/>
      <w:numFmt w:val="lowerLetter"/>
      <w:start w:val="1"/>
    </w:lvl>
  </w:abstractNum>
  <w:abstractNum w:abstractNumId="390">
    <w:nsid w:val="1230F102"/>
    <w:multiLevelType w:val="hybridMultilevel"/>
    <w:lvl w:ilvl="0">
      <w:lvlJc w:val="left"/>
      <w:lvlText w:val="(%1)"/>
      <w:numFmt w:val="lowerLetter"/>
      <w:start w:val="1"/>
    </w:lvl>
  </w:abstractNum>
  <w:abstractNum w:abstractNumId="391">
    <w:nsid w:val="25B57ED4"/>
    <w:multiLevelType w:val="hybridMultilevel"/>
    <w:lvl w:ilvl="0">
      <w:lvlJc w:val="left"/>
      <w:lvlText w:val="(%1)"/>
      <w:numFmt w:val="lowerLetter"/>
      <w:start w:val="1"/>
    </w:lvl>
  </w:abstractNum>
  <w:abstractNum w:abstractNumId="392">
    <w:nsid w:val="47CF16C4"/>
    <w:multiLevelType w:val="hybridMultilevel"/>
    <w:lvl w:ilvl="0">
      <w:lvlJc w:val="left"/>
      <w:lvlText w:val="(%1)"/>
      <w:numFmt w:val="lowerLetter"/>
      <w:start w:val="2"/>
    </w:lvl>
  </w:abstractNum>
  <w:abstractNum w:abstractNumId="393">
    <w:nsid w:val="527FA04C"/>
    <w:multiLevelType w:val="hybridMultilevel"/>
    <w:lvl w:ilvl="0">
      <w:lvlJc w:val="left"/>
      <w:lvlText w:val="(%1)"/>
      <w:numFmt w:val="lowerLetter"/>
      <w:start w:val="1"/>
    </w:lvl>
  </w:abstractNum>
  <w:abstractNum w:abstractNumId="394">
    <w:nsid w:val="6FCC0624"/>
    <w:multiLevelType w:val="hybridMultilevel"/>
    <w:lvl w:ilvl="0">
      <w:lvlJc w:val="left"/>
      <w:lvlText w:val="%1"/>
      <w:numFmt w:val="lowerLetter"/>
      <w:start w:val="1"/>
    </w:lvl>
    <w:lvl w:ilvl="1">
      <w:lvlJc w:val="left"/>
      <w:lvlText w:val="(%2)"/>
      <w:numFmt w:val="lowerLetter"/>
      <w:start w:val="3"/>
    </w:lvl>
  </w:abstractNum>
  <w:abstractNum w:abstractNumId="395">
    <w:nsid w:val="1DCDF795"/>
    <w:multiLevelType w:val="hybridMultilevel"/>
    <w:lvl w:ilvl="0">
      <w:lvlJc w:val="left"/>
      <w:lvlText w:val="(%1)"/>
      <w:numFmt w:val="lowerLetter"/>
      <w:start w:val="35"/>
    </w:lvl>
    <w:lvl w:ilvl="1">
      <w:lvlJc w:val="left"/>
      <w:lvlText w:val="%2"/>
      <w:numFmt w:val="lowerLetter"/>
      <w:start w:val="1"/>
    </w:lvl>
  </w:abstractNum>
  <w:abstractNum w:abstractNumId="396">
    <w:nsid w:val="564580C8"/>
    <w:multiLevelType w:val="hybridMultilevel"/>
    <w:lvl w:ilvl="0">
      <w:lvlJc w:val="left"/>
      <w:lvlText w:val="(%1)"/>
      <w:numFmt w:val="lowerLetter"/>
      <w:start w:val="1"/>
    </w:lvl>
  </w:abstractNum>
  <w:abstractNum w:abstractNumId="397">
    <w:nsid w:val="508ED897"/>
    <w:multiLevelType w:val="hybridMultilevel"/>
    <w:lvl w:ilvl="0">
      <w:lvlJc w:val="left"/>
      <w:lvlText w:val="(%1)"/>
      <w:numFmt w:val="lowerLetter"/>
      <w:start w:val="2"/>
    </w:lvl>
  </w:abstractNum>
  <w:abstractNum w:abstractNumId="398">
    <w:nsid w:val="6A9126B5"/>
    <w:multiLevelType w:val="hybridMultilevel"/>
    <w:lvl w:ilvl="0">
      <w:lvlJc w:val="left"/>
      <w:lvlText w:val="(%1)"/>
      <w:numFmt w:val="lowerLetter"/>
      <w:start w:val="1"/>
    </w:lvl>
  </w:abstractNum>
  <w:abstractNum w:abstractNumId="399">
    <w:nsid w:val="68104812"/>
    <w:multiLevelType w:val="hybridMultilevel"/>
    <w:lvl w:ilvl="0">
      <w:lvlJc w:val="left"/>
      <w:lvlText w:val="(%1)"/>
      <w:numFmt w:val="lowerLetter"/>
      <w:start w:val="1"/>
    </w:lvl>
  </w:abstractNum>
  <w:abstractNum w:abstractNumId="400">
    <w:nsid w:val="62FB8680"/>
    <w:multiLevelType w:val="hybridMultilevel"/>
    <w:lvl w:ilvl="0">
      <w:lvlJc w:val="left"/>
      <w:lvlText w:val="(%1)"/>
      <w:numFmt w:val="lowerLetter"/>
      <w:start w:val="1"/>
    </w:lvl>
  </w:abstractNum>
  <w:abstractNum w:abstractNumId="401">
    <w:nsid w:val="3A45530"/>
    <w:multiLevelType w:val="hybridMultilevel"/>
    <w:lvl w:ilvl="0">
      <w:lvlJc w:val="left"/>
      <w:lvlText w:val="(%1)"/>
      <w:numFmt w:val="lowerLetter"/>
      <w:start w:val="1"/>
    </w:lvl>
    <w:lvl w:ilvl="1">
      <w:lvlJc w:val="left"/>
      <w:lvlText w:val="(%2)"/>
      <w:numFmt w:val="lowerLetter"/>
      <w:start w:val="9"/>
    </w:lvl>
  </w:abstractNum>
  <w:abstractNum w:abstractNumId="402">
    <w:nsid w:val="4B9275D2"/>
    <w:multiLevelType w:val="hybridMultilevel"/>
    <w:lvl w:ilvl="0">
      <w:lvlJc w:val="left"/>
      <w:lvlText w:val="%1"/>
      <w:numFmt w:val="lowerLetter"/>
      <w:start w:val="1"/>
    </w:lvl>
    <w:lvl w:ilvl="1">
      <w:lvlJc w:val="left"/>
      <w:lvlText w:val="(%2)"/>
      <w:numFmt w:val="lowerRoman"/>
      <w:start w:val="2"/>
    </w:lvl>
  </w:abstractNum>
  <w:abstractNum w:abstractNumId="403">
    <w:nsid w:val="4F0CEEDB"/>
    <w:multiLevelType w:val="hybridMultilevel"/>
    <w:lvl w:ilvl="0">
      <w:lvlJc w:val="left"/>
      <w:lvlText w:val="(%1)"/>
      <w:numFmt w:val="lowerLetter"/>
      <w:start w:val="2"/>
    </w:lvl>
    <w:lvl w:ilvl="1">
      <w:lvlJc w:val="left"/>
      <w:lvlText w:val="%2"/>
      <w:numFmt w:val="lowerRoman"/>
      <w:start w:val="1"/>
    </w:lvl>
  </w:abstractNum>
  <w:abstractNum w:abstractNumId="404">
    <w:nsid w:val="61C30361"/>
    <w:multiLevelType w:val="hybridMultilevel"/>
    <w:lvl w:ilvl="0">
      <w:lvlJc w:val="left"/>
      <w:lvlText w:val="%1"/>
      <w:numFmt w:val="lowerLetter"/>
      <w:start w:val="1"/>
    </w:lvl>
    <w:lvl w:ilvl="1">
      <w:lvlJc w:val="left"/>
      <w:lvlText w:val="(%2)"/>
      <w:numFmt w:val="lowerLetter"/>
      <w:start w:val="1"/>
    </w:lvl>
  </w:abstractNum>
  <w:abstractNum w:abstractNumId="405">
    <w:nsid w:val="632099E0"/>
    <w:multiLevelType w:val="hybridMultilevel"/>
    <w:lvl w:ilvl="0">
      <w:lvlJc w:val="left"/>
      <w:lvlText w:val="(%1)"/>
      <w:numFmt w:val="lowerLetter"/>
      <w:start w:val="35"/>
    </w:lvl>
    <w:lvl w:ilvl="1">
      <w:lvlJc w:val="left"/>
      <w:lvlText w:val="(%2)"/>
      <w:numFmt w:val="lowerLetter"/>
      <w:start w:val="2"/>
    </w:lvl>
  </w:abstractNum>
  <w:abstractNum w:abstractNumId="406">
    <w:nsid w:val="24639756"/>
    <w:multiLevelType w:val="hybridMultilevel"/>
    <w:lvl w:ilvl="0">
      <w:lvlJc w:val="left"/>
      <w:lvlText w:val="(%1)"/>
      <w:numFmt w:val="lowerLetter"/>
      <w:start w:val="3"/>
    </w:lvl>
  </w:abstractNum>
  <w:abstractNum w:abstractNumId="407">
    <w:nsid w:val="9D30DFD"/>
    <w:multiLevelType w:val="hybridMultilevel"/>
    <w:lvl w:ilvl="0">
      <w:lvlJc w:val="left"/>
      <w:lvlText w:val="%1"/>
      <w:numFmt w:val="decimal"/>
      <w:start w:val="1"/>
    </w:lvl>
    <w:lvl w:ilvl="1">
      <w:lvlJc w:val="left"/>
      <w:lvlText w:val="(%2)"/>
      <w:numFmt w:val="lowerLetter"/>
      <w:start w:val="8"/>
    </w:lvl>
  </w:abstractNum>
  <w:abstractNum w:abstractNumId="408">
    <w:nsid w:val="70A42016"/>
    <w:multiLevelType w:val="hybridMultilevel"/>
    <w:lvl w:ilvl="0">
      <w:lvlJc w:val="left"/>
      <w:lvlText w:val="(%1)"/>
      <w:numFmt w:val="decimal"/>
      <w:start w:val="1"/>
    </w:lvl>
    <w:lvl w:ilvl="1">
      <w:lvlJc w:val="left"/>
      <w:lvlText w:val="%2"/>
      <w:numFmt w:val="lowerLetter"/>
      <w:start w:val="1"/>
    </w:lvl>
  </w:abstractNum>
  <w:abstractNum w:abstractNumId="409">
    <w:nsid w:val="161BC243"/>
    <w:multiLevelType w:val="hybridMultilevel"/>
    <w:lvl w:ilvl="0">
      <w:lvlJc w:val="left"/>
      <w:lvlText w:val="(%1)"/>
      <w:numFmt w:val="lowerLetter"/>
      <w:start w:val="10"/>
    </w:lvl>
  </w:abstractNum>
  <w:abstractNum w:abstractNumId="410">
    <w:nsid w:val="16E908C8"/>
    <w:multiLevelType w:val="hybridMultilevel"/>
    <w:lvl w:ilvl="0">
      <w:lvlJc w:val="left"/>
      <w:lvlText w:val="(%1)"/>
      <w:numFmt w:val="lowerLetter"/>
      <w:start w:val="13"/>
    </w:lvl>
  </w:abstractNum>
  <w:abstractNum w:abstractNumId="411">
    <w:nsid w:val="2E0D7671"/>
    <w:multiLevelType w:val="hybridMultilevel"/>
    <w:lvl w:ilvl="0">
      <w:lvlJc w:val="left"/>
      <w:lvlText w:val="%1"/>
      <w:numFmt w:val="lowerLetter"/>
      <w:start w:val="1"/>
    </w:lvl>
    <w:lvl w:ilvl="1">
      <w:lvlJc w:val="left"/>
      <w:lvlText w:val="(%2)"/>
      <w:numFmt w:val="lowerLetter"/>
      <w:start w:val="1"/>
    </w:lvl>
  </w:abstractNum>
  <w:abstractNum w:abstractNumId="412">
    <w:nsid w:val="38B59EFF"/>
    <w:multiLevelType w:val="hybridMultilevel"/>
    <w:lvl w:ilvl="0">
      <w:lvlJc w:val="left"/>
      <w:lvlText w:val="(%1)"/>
      <w:numFmt w:val="lowerLetter"/>
      <w:start w:val="35"/>
    </w:lvl>
    <w:lvl w:ilvl="1">
      <w:lvlJc w:val="left"/>
      <w:lvlText w:val="(%2)"/>
      <w:numFmt w:val="lowerLetter"/>
      <w:start w:val="4"/>
    </w:lvl>
  </w:abstractNum>
  <w:abstractNum w:abstractNumId="413">
    <w:nsid w:val="307995CA"/>
    <w:multiLevelType w:val="hybridMultilevel"/>
    <w:lvl w:ilvl="0">
      <w:lvlJc w:val="left"/>
      <w:lvlText w:val="(%1)"/>
      <w:numFmt w:val="lowerLetter"/>
      <w:start w:val="5"/>
    </w:lvl>
  </w:abstractNum>
  <w:abstractNum w:abstractNumId="414">
    <w:nsid w:val="52E2024D"/>
    <w:multiLevelType w:val="hybridMultilevel"/>
    <w:lvl w:ilvl="0">
      <w:lvlJc w:val="left"/>
      <w:lvlText w:val="(%1)"/>
      <w:numFmt w:val="lowerLetter"/>
      <w:start w:val="1"/>
    </w:lvl>
  </w:abstractNum>
  <w:abstractNum w:abstractNumId="415">
    <w:nsid w:val="CE344B5"/>
    <w:multiLevelType w:val="hybridMultilevel"/>
    <w:lvl w:ilvl="0">
      <w:lvlJc w:val="left"/>
      <w:lvlText w:val="(%1)"/>
      <w:numFmt w:val="lowerLetter"/>
      <w:start w:val="4"/>
    </w:lvl>
  </w:abstractNum>
  <w:abstractNum w:abstractNumId="416">
    <w:nsid w:val="29B0E9A8"/>
    <w:multiLevelType w:val="hybridMultilevel"/>
    <w:lvl w:ilvl="0">
      <w:lvlJc w:val="left"/>
      <w:lvlText w:val="%1"/>
      <w:numFmt w:val="lowerLetter"/>
      <w:start w:val="1"/>
    </w:lvl>
    <w:lvl w:ilvl="1">
      <w:lvlJc w:val="left"/>
      <w:lvlText w:val="(%2)"/>
      <w:numFmt w:val="lowerLetter"/>
      <w:start w:val="14"/>
    </w:lvl>
  </w:abstractNum>
  <w:abstractNum w:abstractNumId="417">
    <w:nsid w:val="6F49CD8A"/>
    <w:multiLevelType w:val="hybridMultilevel"/>
    <w:lvl w:ilvl="0">
      <w:lvlJc w:val="left"/>
      <w:lvlText w:val="(%1)"/>
      <w:numFmt w:val="lowerLetter"/>
      <w:start w:val="35"/>
    </w:lvl>
    <w:lvl w:ilvl="1">
      <w:lvlJc w:val="left"/>
      <w:lvlText w:val="(%2)"/>
      <w:numFmt w:val="lowerLetter"/>
      <w:start w:val="19"/>
    </w:lvl>
  </w:abstractNum>
  <w:abstractNum w:abstractNumId="418">
    <w:nsid w:val="4DC5D907"/>
    <w:multiLevelType w:val="hybridMultilevel"/>
    <w:lvl w:ilvl="0">
      <w:lvlJc w:val="left"/>
      <w:lvlText w:val="%1"/>
      <w:numFmt w:val="lowerLetter"/>
      <w:start w:val="1"/>
    </w:lvl>
    <w:lvl w:ilvl="1">
      <w:lvlJc w:val="left"/>
      <w:lvlText w:val="(%2)"/>
      <w:numFmt w:val="lowerLetter"/>
      <w:start w:val="22"/>
    </w:lvl>
  </w:abstractNum>
  <w:abstractNum w:abstractNumId="419">
    <w:nsid w:val="D55945E"/>
    <w:multiLevelType w:val="hybridMultilevel"/>
    <w:lvl w:ilvl="0">
      <w:lvlJc w:val="left"/>
      <w:lvlText w:val="(%1)"/>
      <w:numFmt w:val="lowerLetter"/>
      <w:start w:val="9"/>
    </w:lvl>
    <w:lvl w:ilvl="1">
      <w:lvlJc w:val="left"/>
      <w:lvlText w:val="(%2)"/>
      <w:numFmt w:val="lowerLetter"/>
      <w:start w:val="24"/>
    </w:lvl>
  </w:abstractNum>
  <w:abstractNum w:abstractNumId="420">
    <w:nsid w:val="672417E1"/>
    <w:multiLevelType w:val="hybridMultilevel"/>
    <w:lvl w:ilvl="0">
      <w:lvlJc w:val="left"/>
      <w:lvlText w:val="(%1)"/>
      <w:numFmt w:val="lowerLetter"/>
      <w:start w:val="25"/>
    </w:lvl>
  </w:abstractNum>
  <w:abstractNum w:abstractNumId="421">
    <w:nsid w:val="5FF6CA09"/>
    <w:multiLevelType w:val="hybridMultilevel"/>
    <w:lvl w:ilvl="0">
      <w:lvlJc w:val="left"/>
      <w:lvlText w:val="(%1)"/>
      <w:numFmt w:val="lowerLetter"/>
      <w:start w:val="27"/>
    </w:lvl>
  </w:abstractNum>
  <w:abstractNum w:abstractNumId="422">
    <w:nsid w:val="330B1333"/>
    <w:multiLevelType w:val="hybridMultilevel"/>
    <w:lvl w:ilvl="0">
      <w:lvlJc w:val="left"/>
      <w:lvlText w:val="%1"/>
      <w:numFmt w:val="lowerRoman"/>
      <w:start w:val="1"/>
    </w:lvl>
    <w:lvl w:ilvl="1">
      <w:lvlJc w:val="left"/>
      <w:lvlText w:val="(%2)"/>
      <w:numFmt w:val="lowerLetter"/>
      <w:start w:val="1"/>
    </w:lvl>
  </w:abstractNum>
  <w:abstractNum w:abstractNumId="423">
    <w:nsid w:val="2EF32EA6"/>
    <w:multiLevelType w:val="hybridMultilevel"/>
    <w:lvl w:ilvl="0">
      <w:lvlJc w:val="left"/>
      <w:lvlText w:val="(%1)"/>
      <w:numFmt w:val="lowerRoman"/>
      <w:start w:val="6"/>
    </w:lvl>
    <w:lvl w:ilvl="1">
      <w:lvlJc w:val="left"/>
      <w:lvlText w:val="(%2)"/>
      <w:numFmt w:val="lowerLetter"/>
      <w:start w:val="5"/>
    </w:lvl>
  </w:abstractNum>
  <w:abstractNum w:abstractNumId="424">
    <w:nsid w:val="32766A55"/>
    <w:multiLevelType w:val="hybridMultilevel"/>
    <w:lvl w:ilvl="0">
      <w:lvlJc w:val="left"/>
      <w:lvlText w:val="(%1)"/>
      <w:numFmt w:val="lowerLetter"/>
      <w:start w:val="6"/>
    </w:lvl>
  </w:abstractNum>
  <w:abstractNum w:abstractNumId="425">
    <w:nsid w:val="22D71957"/>
    <w:multiLevelType w:val="hybridMultilevel"/>
    <w:lvl w:ilvl="0">
      <w:lvlJc w:val="left"/>
      <w:lvlText w:val="%1"/>
      <w:numFmt w:val="lowerRoman"/>
      <w:start w:val="1"/>
    </w:lvl>
    <w:lvl w:ilvl="1">
      <w:lvlJc w:val="left"/>
      <w:lvlText w:val="(%2)"/>
      <w:numFmt w:val="lowerLetter"/>
      <w:start w:val="1"/>
    </w:lvl>
  </w:abstractNum>
  <w:abstractNum w:abstractNumId="426">
    <w:nsid w:val="4CC1263B"/>
    <w:multiLevelType w:val="hybridMultilevel"/>
    <w:lvl w:ilvl="0">
      <w:lvlJc w:val="left"/>
      <w:lvlText w:val="(%1)"/>
      <w:numFmt w:val="lowerRoman"/>
      <w:start w:val="6"/>
    </w:lvl>
    <w:lvl w:ilvl="1">
      <w:lvlJc w:val="left"/>
      <w:lvlText w:val="(%2)"/>
      <w:numFmt w:val="lowerLetter"/>
      <w:start w:val="2"/>
    </w:lvl>
  </w:abstractNum>
  <w:abstractNum w:abstractNumId="427">
    <w:nsid w:val="8BBEB1D"/>
    <w:multiLevelType w:val="hybridMultilevel"/>
    <w:lvl w:ilvl="0">
      <w:lvlJc w:val="left"/>
      <w:lvlText w:val="(%1)"/>
      <w:numFmt w:val="lowerLetter"/>
      <w:start w:val="8"/>
    </w:lvl>
  </w:abstractNum>
  <w:abstractNum w:abstractNumId="428">
    <w:nsid w:val="7365F1EE"/>
    <w:multiLevelType w:val="hybridMultilevel"/>
    <w:lvl w:ilvl="0">
      <w:lvlJc w:val="left"/>
      <w:lvlText w:val="(%1)"/>
      <w:numFmt w:val="lowerLetter"/>
      <w:start w:val="1"/>
    </w:lvl>
  </w:abstractNum>
  <w:abstractNum w:abstractNumId="429">
    <w:nsid w:val="37524CF0"/>
    <w:multiLevelType w:val="hybridMultilevel"/>
    <w:lvl w:ilvl="0">
      <w:lvlJc w:val="left"/>
      <w:lvlText w:val="(%1)"/>
      <w:numFmt w:val="lowerLetter"/>
      <w:start w:val="3"/>
    </w:lvl>
  </w:abstractNum>
  <w:abstractNum w:abstractNumId="430">
    <w:nsid w:val="70CC332F"/>
    <w:multiLevelType w:val="hybridMultilevel"/>
    <w:lvl w:ilvl="0">
      <w:lvlJc w:val="left"/>
      <w:lvlText w:val="(%1)"/>
      <w:numFmt w:val="lowerLetter"/>
      <w:start w:val="1"/>
    </w:lvl>
  </w:abstractNum>
  <w:abstractNum w:abstractNumId="431">
    <w:nsid w:val="5661786E"/>
    <w:multiLevelType w:val="hybridMultilevel"/>
    <w:lvl w:ilvl="0">
      <w:lvlJc w:val="left"/>
      <w:lvlText w:val="(%1)"/>
      <w:numFmt w:val="lowerLetter"/>
      <w:start w:val="1"/>
    </w:lvl>
  </w:abstractNum>
  <w:abstractNum w:abstractNumId="432">
    <w:nsid w:val="3AF6A220"/>
    <w:multiLevelType w:val="hybridMultilevel"/>
    <w:lvl w:ilvl="0">
      <w:lvlJc w:val="left"/>
      <w:lvlText w:val="(%1)"/>
      <w:numFmt w:val="lowerLetter"/>
      <w:start w:val="1"/>
    </w:lvl>
  </w:abstractNum>
  <w:abstractNum w:abstractNumId="433">
    <w:nsid w:val="3C5EA902"/>
    <w:multiLevelType w:val="hybridMultilevel"/>
    <w:lvl w:ilvl="0">
      <w:lvlJc w:val="left"/>
      <w:lvlText w:val="%1"/>
      <w:numFmt w:val="lowerLetter"/>
      <w:start w:val="1"/>
    </w:lvl>
    <w:lvl w:ilvl="1">
      <w:lvlJc w:val="left"/>
      <w:lvlText w:val="(%2)"/>
      <w:numFmt w:val="lowerLetter"/>
      <w:start w:val="1"/>
    </w:lvl>
  </w:abstractNum>
  <w:abstractNum w:abstractNumId="434">
    <w:nsid w:val="256E6749"/>
    <w:multiLevelType w:val="hybridMultilevel"/>
    <w:lvl w:ilvl="0">
      <w:lvlJc w:val="left"/>
      <w:lvlText w:val="(%1)"/>
      <w:numFmt w:val="lowerLetter"/>
      <w:start w:val="35"/>
    </w:lvl>
    <w:lvl w:ilvl="1">
      <w:lvlJc w:val="left"/>
      <w:lvlText w:val="(%2)"/>
      <w:numFmt w:val="lowerLetter"/>
      <w:start w:val="3"/>
    </w:lvl>
  </w:abstractNum>
  <w:abstractNum w:abstractNumId="435">
    <w:nsid w:val="1CB9A581"/>
    <w:multiLevelType w:val="hybridMultilevel"/>
    <w:lvl w:ilvl="0">
      <w:lvlJc w:val="left"/>
      <w:lvlText w:val="(%1)"/>
      <w:numFmt w:val="lowerLetter"/>
      <w:start w:val="1"/>
    </w:lvl>
  </w:abstractNum>
  <w:abstractNum w:abstractNumId="436">
    <w:nsid w:val="1F7F42E2"/>
    <w:multiLevelType w:val="hybridMultilevel"/>
    <w:lvl w:ilvl="0">
      <w:lvlJc w:val="left"/>
      <w:lvlText w:val="(%1)"/>
      <w:numFmt w:val="lowerLetter"/>
      <w:start w:val="1"/>
    </w:lvl>
  </w:abstractNum>
  <w:abstractNum w:abstractNumId="437">
    <w:nsid w:val="49D1FEA0"/>
    <w:multiLevelType w:val="hybridMultilevel"/>
    <w:lvl w:ilvl="0">
      <w:lvlJc w:val="left"/>
      <w:lvlText w:val="(%1)"/>
      <w:numFmt w:val="lowerLetter"/>
      <w:start w:val="1"/>
    </w:lvl>
  </w:abstractNum>
  <w:abstractNum w:abstractNumId="438">
    <w:nsid w:val="268CB37F"/>
    <w:multiLevelType w:val="hybridMultilevel"/>
    <w:lvl w:ilvl="0">
      <w:lvlJc w:val="left"/>
      <w:lvlText w:val="(%1)"/>
      <w:numFmt w:val="lowerLetter"/>
      <w:start w:val="4"/>
    </w:lvl>
  </w:abstractNum>
  <w:abstractNum w:abstractNumId="439">
    <w:nsid w:val="102362F8"/>
    <w:multiLevelType w:val="hybridMultilevel"/>
    <w:lvl w:ilvl="0">
      <w:lvlJc w:val="left"/>
      <w:lvlText w:val="(%1)"/>
      <w:numFmt w:val="lowerLetter"/>
      <w:start w:val="1"/>
    </w:lvl>
  </w:abstractNum>
  <w:abstractNum w:abstractNumId="440">
    <w:nsid w:val="5FEDC0E3"/>
    <w:multiLevelType w:val="hybridMultilevel"/>
    <w:lvl w:ilvl="0">
      <w:lvlJc w:val="left"/>
      <w:lvlText w:val="(%1)"/>
      <w:numFmt w:val="lowerLetter"/>
      <w:start w:val="1"/>
    </w:lvl>
  </w:abstractNum>
  <w:abstractNum w:abstractNumId="441">
    <w:nsid w:val="3D75BC47"/>
    <w:multiLevelType w:val="hybridMultilevel"/>
    <w:lvl w:ilvl="0">
      <w:lvlJc w:val="left"/>
      <w:lvlText w:val="(%1)"/>
      <w:numFmt w:val="lowerLetter"/>
      <w:start w:val="3"/>
    </w:lvl>
  </w:abstractNum>
  <w:abstractNum w:abstractNumId="442">
    <w:nsid w:val="3E30D969"/>
    <w:multiLevelType w:val="hybridMultilevel"/>
    <w:lvl w:ilvl="0">
      <w:lvlJc w:val="left"/>
      <w:lvlText w:val="(%1)"/>
      <w:numFmt w:val="lowerLetter"/>
      <w:start w:val="1"/>
    </w:lvl>
  </w:abstractNum>
  <w:abstractNum w:abstractNumId="443">
    <w:nsid w:val="18A35FE3"/>
    <w:multiLevelType w:val="hybridMultilevel"/>
    <w:lvl w:ilvl="0">
      <w:lvlJc w:val="left"/>
      <w:lvlText w:val="(%1)"/>
      <w:numFmt w:val="lowerLetter"/>
      <w:start w:val="1"/>
    </w:lvl>
  </w:abstractNum>
  <w:abstractNum w:abstractNumId="444">
    <w:nsid w:val="6DEF5211"/>
    <w:multiLevelType w:val="hybridMultilevel"/>
    <w:lvl w:ilvl="0">
      <w:lvlJc w:val="left"/>
      <w:lvlText w:val="(%1)"/>
      <w:numFmt w:val="lowerLetter"/>
      <w:start w:val="4"/>
    </w:lvl>
  </w:abstractNum>
  <w:abstractNum w:abstractNumId="445">
    <w:nsid w:val="1112DBB6"/>
    <w:multiLevelType w:val="hybridMultilevel"/>
    <w:lvl w:ilvl="0">
      <w:lvlJc w:val="left"/>
      <w:lvlText w:val="(%1)"/>
      <w:numFmt w:val="lowerLetter"/>
      <w:start w:val="7"/>
    </w:lvl>
  </w:abstractNum>
  <w:abstractNum w:abstractNumId="446">
    <w:nsid w:val="2586A498"/>
    <w:multiLevelType w:val="hybridMultilevel"/>
    <w:lvl w:ilvl="0">
      <w:lvlJc w:val="left"/>
      <w:lvlText w:val="(%1)"/>
      <w:numFmt w:val="lowerLetter"/>
      <w:start w:val="8"/>
    </w:lvl>
  </w:abstractNum>
  <w:abstractNum w:abstractNumId="447">
    <w:nsid w:val="17A03BB9"/>
    <w:multiLevelType w:val="hybridMultilevel"/>
    <w:lvl w:ilvl="0">
      <w:lvlJc w:val="left"/>
      <w:lvlText w:val="%1"/>
      <w:numFmt w:val="lowerLetter"/>
      <w:start w:val="1"/>
    </w:lvl>
    <w:lvl w:ilvl="1">
      <w:lvlJc w:val="left"/>
      <w:lvlText w:val="(%2)"/>
      <w:numFmt w:val="lowerLetter"/>
      <w:start w:val="1"/>
    </w:lvl>
  </w:abstractNum>
  <w:abstractNum w:abstractNumId="448">
    <w:nsid w:val="5CA941"/>
    <w:multiLevelType w:val="hybridMultilevel"/>
    <w:lvl w:ilvl="0">
      <w:lvlJc w:val="left"/>
      <w:lvlText w:val="(%1)"/>
      <w:numFmt w:val="lowerLetter"/>
      <w:start w:val="1"/>
    </w:lvl>
    <w:lvl w:ilvl="1">
      <w:lvlJc w:val="left"/>
      <w:lvlText w:val="%2"/>
      <w:numFmt w:val="lowerLetter"/>
      <w:start w:val="1"/>
    </w:lvl>
  </w:abstractNum>
  <w:abstractNum w:abstractNumId="449">
    <w:nsid w:val="734C7D9F"/>
    <w:multiLevelType w:val="hybridMultilevel"/>
    <w:lvl w:ilvl="0">
      <w:lvlJc w:val="left"/>
      <w:lvlText w:val="%1"/>
      <w:numFmt w:val="upperLetter"/>
      <w:start w:val="1"/>
    </w:lvl>
    <w:lvl w:ilvl="1">
      <w:lvlJc w:val="left"/>
      <w:lvlText w:val="(%2)"/>
      <w:numFmt w:val="lowerLetter"/>
      <w:start w:val="2"/>
    </w:lvl>
  </w:abstractNum>
  <w:abstractNum w:abstractNumId="450">
    <w:nsid w:val="24F5D018"/>
    <w:multiLevelType w:val="hybridMultilevel"/>
    <w:lvl w:ilvl="0">
      <w:lvlJc w:val="left"/>
      <w:lvlText w:val="(%1)"/>
      <w:numFmt w:val="upperLetter"/>
      <w:start w:val="1"/>
    </w:lvl>
    <w:lvl w:ilvl="1">
      <w:lvlJc w:val="left"/>
      <w:lvlText w:val="%2"/>
      <w:numFmt w:val="lowerLetter"/>
      <w:start w:val="1"/>
    </w:lvl>
  </w:abstractNum>
  <w:abstractNum w:abstractNumId="451">
    <w:nsid w:val="6780C122"/>
    <w:multiLevelType w:val="hybridMultilevel"/>
    <w:lvl w:ilvl="0">
      <w:lvlJc w:val="left"/>
      <w:lvlText w:val="(%1)"/>
      <w:numFmt w:val="lowerLetter"/>
      <w:start w:val="1"/>
    </w:lvl>
  </w:abstractNum>
  <w:abstractNum w:abstractNumId="452">
    <w:nsid w:val="534347A8"/>
    <w:multiLevelType w:val="hybridMultilevel"/>
    <w:lvl w:ilvl="0">
      <w:lvlJc w:val="left"/>
      <w:lvlText w:val="(%1)"/>
      <w:numFmt w:val="lowerLetter"/>
      <w:start w:val="1"/>
    </w:lvl>
  </w:abstractNum>
  <w:abstractNum w:abstractNumId="453">
    <w:nsid w:val="5800E34B"/>
    <w:multiLevelType w:val="hybridMultilevel"/>
    <w:lvl w:ilvl="0">
      <w:lvlJc w:val="left"/>
      <w:lvlText w:val="(%1)"/>
      <w:numFmt w:val="lowerLetter"/>
      <w:start w:val="3"/>
    </w:lvl>
  </w:abstractNum>
  <w:abstractNum w:abstractNumId="454">
    <w:nsid w:val="1673EFC8"/>
    <w:multiLevelType w:val="hybridMultilevel"/>
    <w:lvl w:ilvl="0">
      <w:lvlJc w:val="left"/>
      <w:lvlText w:val="(%1)"/>
      <w:numFmt w:val="lowerLetter"/>
      <w:start w:val="1"/>
    </w:lvl>
  </w:abstractNum>
  <w:abstractNum w:abstractNumId="455">
    <w:nsid w:val="5B9B1FD"/>
    <w:multiLevelType w:val="hybridMultilevel"/>
    <w:lvl w:ilvl="0">
      <w:lvlJc w:val="left"/>
      <w:lvlText w:val="(%1)"/>
      <w:numFmt w:val="lowerLetter"/>
      <w:start w:val="7"/>
    </w:lvl>
  </w:abstractNum>
  <w:abstractNum w:abstractNumId="456">
    <w:nsid w:val="7AD7FCA2"/>
    <w:multiLevelType w:val="hybridMultilevel"/>
    <w:lvl w:ilvl="0">
      <w:lvlJc w:val="left"/>
      <w:lvlText w:val="(%1)"/>
      <w:numFmt w:val="lowerLetter"/>
      <w:start w:val="2"/>
    </w:lvl>
  </w:abstractNum>
  <w:abstractNum w:abstractNumId="457">
    <w:nsid w:val="63351604"/>
    <w:multiLevelType w:val="hybridMultilevel"/>
    <w:lvl w:ilvl="0">
      <w:lvlJc w:val="left"/>
      <w:lvlText w:val="(%1)"/>
      <w:numFmt w:val="lowerLetter"/>
      <w:start w:val="5"/>
    </w:lvl>
  </w:abstractNum>
  <w:abstractNum w:abstractNumId="458">
    <w:nsid w:val="E759D1A"/>
    <w:multiLevelType w:val="hybridMultilevel"/>
    <w:lvl w:ilvl="0">
      <w:lvlJc w:val="left"/>
      <w:lvlText w:val="(%1)"/>
      <w:numFmt w:val="lowerLetter"/>
      <w:start w:val="4"/>
    </w:lvl>
  </w:abstractNum>
  <w:abstractNum w:abstractNumId="459">
    <w:nsid w:val="6E3DEE90"/>
    <w:multiLevelType w:val="hybridMultilevel"/>
    <w:lvl w:ilvl="0">
      <w:lvlJc w:val="left"/>
      <w:lvlText w:val="(%1)"/>
      <w:numFmt w:val="lowerLetter"/>
      <w:start w:val="1"/>
    </w:lvl>
    <w:lvl w:ilvl="1">
      <w:lvlJc w:val="left"/>
      <w:lvlText w:val="(%2)"/>
      <w:numFmt w:val="lowerRoman"/>
      <w:start w:val="1"/>
    </w:lvl>
  </w:abstractNum>
  <w:abstractNum w:abstractNumId="460">
    <w:nsid w:val="1A8762F4"/>
    <w:multiLevelType w:val="hybridMultilevel"/>
    <w:lvl w:ilvl="0">
      <w:lvlJc w:val="left"/>
      <w:lvlText w:val="(%1)"/>
      <w:numFmt w:val="lowerRoman"/>
      <w:start w:val="4"/>
    </w:lvl>
  </w:abstractNum>
  <w:abstractNum w:abstractNumId="461">
    <w:nsid w:val="7F41D049"/>
    <w:multiLevelType w:val="hybridMultilevel"/>
    <w:lvl w:ilvl="0">
      <w:lvlJc w:val="left"/>
      <w:lvlText w:val="(%1)"/>
      <w:numFmt w:val="lowerLetter"/>
      <w:start w:val="1"/>
    </w:lvl>
  </w:abstractNum>
  <w:abstractNum w:abstractNumId="462">
    <w:nsid w:val="449F66FE"/>
    <w:multiLevelType w:val="hybridMultilevel"/>
    <w:lvl w:ilvl="0">
      <w:lvlJc w:val="left"/>
      <w:lvlText w:val="(%1)"/>
      <w:numFmt w:val="lowerLetter"/>
      <w:start w:val="1"/>
    </w:lvl>
  </w:abstractNum>
  <w:abstractNum w:abstractNumId="463">
    <w:nsid w:val="557E0515"/>
    <w:multiLevelType w:val="hybridMultilevel"/>
    <w:lvl w:ilvl="0">
      <w:lvlJc w:val="left"/>
      <w:lvlText w:val="(%1)"/>
      <w:numFmt w:val="lowerLetter"/>
      <w:start w:val="2"/>
    </w:lvl>
  </w:abstractNum>
  <w:abstractNum w:abstractNumId="464">
    <w:nsid w:val="3BA0794B"/>
    <w:multiLevelType w:val="hybridMultilevel"/>
    <w:lvl w:ilvl="0">
      <w:lvlJc w:val="left"/>
      <w:lvlText w:val="(%1)"/>
      <w:numFmt w:val="lowerLetter"/>
      <w:start w:val="2"/>
    </w:lvl>
  </w:abstractNum>
  <w:abstractNum w:abstractNumId="465">
    <w:nsid w:val="6A0DCE48"/>
    <w:multiLevelType w:val="hybridMultilevel"/>
    <w:lvl w:ilvl="0">
      <w:lvlJc w:val="left"/>
      <w:lvlText w:val="(%1)"/>
      <w:numFmt w:val="lowerLetter"/>
      <w:start w:val="3"/>
    </w:lvl>
  </w:abstractNum>
  <w:abstractNum w:abstractNumId="466">
    <w:nsid w:val="7237AA96"/>
    <w:multiLevelType w:val="hybridMultilevel"/>
    <w:lvl w:ilvl="0">
      <w:lvlJc w:val="left"/>
      <w:lvlText w:val="(%1)"/>
      <w:numFmt w:val="lowerLetter"/>
      <w:start w:val="1"/>
    </w:lvl>
  </w:abstractNum>
  <w:abstractNum w:abstractNumId="467">
    <w:nsid w:val="5B1FBC2D"/>
    <w:multiLevelType w:val="hybridMultilevel"/>
    <w:lvl w:ilvl="0">
      <w:lvlJc w:val="left"/>
      <w:lvlText w:val="(%1)"/>
      <w:numFmt w:val="lowerLetter"/>
      <w:start w:val="1"/>
    </w:lvl>
  </w:abstractNum>
  <w:abstractNum w:abstractNumId="468">
    <w:nsid w:val="33DFCCE8"/>
    <w:multiLevelType w:val="hybridMultilevel"/>
    <w:lvl w:ilvl="0">
      <w:lvlJc w:val="left"/>
      <w:lvlText w:val="(%1)"/>
      <w:numFmt w:val="lowerLetter"/>
      <w:start w:val="35"/>
    </w:lvl>
    <w:lvl w:ilvl="1">
      <w:lvlJc w:val="left"/>
      <w:lvlText w:val="(%2)"/>
      <w:numFmt w:val="lowerLetter"/>
      <w:start w:val="1"/>
    </w:lvl>
  </w:abstractNum>
  <w:abstractNum w:abstractNumId="469">
    <w:nsid w:val="18C45E15"/>
    <w:multiLevelType w:val="hybridMultilevel"/>
    <w:lvl w:ilvl="0">
      <w:lvlJc w:val="left"/>
      <w:lvlText w:val="(%1)"/>
      <w:numFmt w:val="lowerLetter"/>
      <w:start w:val="2"/>
    </w:lvl>
    <w:lvl w:ilvl="1">
      <w:lvlJc w:val="left"/>
      <w:lvlText w:val="%2"/>
      <w:numFmt w:val="lowerLetter"/>
      <w:start w:val="1"/>
    </w:lvl>
  </w:abstractNum>
  <w:abstractNum w:abstractNumId="470">
    <w:nsid w:val="6B431F25"/>
    <w:multiLevelType w:val="hybridMultilevel"/>
    <w:lvl w:ilvl="0">
      <w:lvlJc w:val="left"/>
      <w:lvlText w:val="(%1)"/>
      <w:numFmt w:val="lowerLetter"/>
      <w:start w:val="35"/>
    </w:lvl>
    <w:lvl w:ilvl="1">
      <w:lvlJc w:val="left"/>
      <w:lvlText w:val="(%2)"/>
      <w:numFmt w:val="lowerLetter"/>
      <w:start w:val="2"/>
    </w:lvl>
  </w:abstractNum>
  <w:abstractNum w:abstractNumId="471">
    <w:nsid w:val="13CD8DCB"/>
    <w:multiLevelType w:val="hybridMultilevel"/>
    <w:lvl w:ilvl="0">
      <w:lvlJc w:val="left"/>
      <w:lvlText w:val="(%1)"/>
      <w:numFmt w:val="lowerLetter"/>
      <w:start w:val="1"/>
    </w:lvl>
  </w:abstractNum>
  <w:abstractNum w:abstractNumId="472">
    <w:nsid w:val="563A1A5C"/>
    <w:multiLevelType w:val="hybridMultilevel"/>
    <w:lvl w:ilvl="0">
      <w:lvlJc w:val="left"/>
      <w:lvlText w:val="%1"/>
      <w:numFmt w:val="lowerLetter"/>
      <w:start w:val="1"/>
    </w:lvl>
    <w:lvl w:ilvl="1">
      <w:lvlJc w:val="left"/>
      <w:lvlText w:val="(%2)"/>
      <w:numFmt w:val="lowerLetter"/>
      <w:start w:val="1"/>
    </w:lvl>
  </w:abstractNum>
  <w:abstractNum w:abstractNumId="473">
    <w:nsid w:val="2973F88F"/>
    <w:multiLevelType w:val="hybridMultilevel"/>
    <w:lvl w:ilvl="0">
      <w:lvlJc w:val="left"/>
      <w:lvlText w:val="(%1)"/>
      <w:numFmt w:val="lowerLetter"/>
      <w:start w:val="61"/>
    </w:lvl>
    <w:lvl w:ilvl="1">
      <w:lvlJc w:val="left"/>
      <w:lvlText w:val="%2"/>
      <w:numFmt w:val="lowerLetter"/>
      <w:start w:val="1"/>
    </w:lvl>
  </w:abstractNum>
  <w:abstractNum w:abstractNumId="474">
    <w:nsid w:val="2C70EDAE"/>
    <w:multiLevelType w:val="hybridMultilevel"/>
    <w:lvl w:ilvl="0">
      <w:lvlJc w:val="left"/>
      <w:lvlText w:val="(%1)"/>
      <w:numFmt w:val="lowerLetter"/>
      <w:start w:val="2"/>
    </w:lvl>
  </w:abstractNum>
  <w:abstractNum w:abstractNumId="475">
    <w:nsid w:val="44296C6D"/>
    <w:multiLevelType w:val="hybridMultilevel"/>
    <w:lvl w:ilvl="0">
      <w:lvlJc w:val="left"/>
      <w:lvlText w:val="(%1)"/>
      <w:numFmt w:val="lowerLetter"/>
      <w:start w:val="1"/>
    </w:lvl>
  </w:abstractNum>
  <w:abstractNum w:abstractNumId="476">
    <w:nsid w:val="3A86D445"/>
    <w:multiLevelType w:val="hybridMultilevel"/>
    <w:lvl w:ilvl="0">
      <w:lvlJc w:val="left"/>
      <w:lvlText w:val="(%1)"/>
      <w:numFmt w:val="lowerLetter"/>
      <w:start w:val="3"/>
    </w:lvl>
  </w:abstractNum>
  <w:abstractNum w:abstractNumId="477">
    <w:nsid w:val="51F79246"/>
    <w:multiLevelType w:val="hybridMultilevel"/>
    <w:lvl w:ilvl="0">
      <w:lvlJc w:val="left"/>
      <w:lvlText w:val="(%1)"/>
      <w:numFmt w:val="lowerLetter"/>
      <w:start w:val="10"/>
    </w:lvl>
  </w:abstractNum>
  <w:abstractNum w:abstractNumId="478">
    <w:nsid w:val="5BC9A827"/>
    <w:multiLevelType w:val="hybridMultilevel"/>
    <w:lvl w:ilvl="0">
      <w:lvlJc w:val="left"/>
      <w:lvlText w:val="(%1)"/>
      <w:numFmt w:val="lowerLetter"/>
      <w:start w:val="1"/>
    </w:lvl>
  </w:abstractNum>
  <w:abstractNum w:abstractNumId="479">
    <w:nsid w:val="3AE37D86"/>
    <w:multiLevelType w:val="hybridMultilevel"/>
    <w:lvl w:ilvl="0">
      <w:lvlJc w:val="left"/>
      <w:lvlText w:val="(%1)"/>
      <w:numFmt w:val="lowerLetter"/>
      <w:start w:val="1"/>
    </w:lvl>
  </w:abstractNum>
  <w:abstractNum w:abstractNumId="480">
    <w:nsid w:val="45440FE5"/>
    <w:multiLevelType w:val="hybridMultilevel"/>
    <w:lvl w:ilvl="0">
      <w:lvlJc w:val="left"/>
      <w:lvlText w:val="(%1)"/>
      <w:numFmt w:val="lowerLetter"/>
      <w:start w:val="3"/>
    </w:lvl>
  </w:abstractNum>
  <w:abstractNum w:abstractNumId="481">
    <w:nsid w:val="BF783F"/>
    <w:multiLevelType w:val="hybridMultilevel"/>
    <w:lvl w:ilvl="0">
      <w:lvlJc w:val="left"/>
      <w:lvlText w:val="(%1)"/>
      <w:numFmt w:val="lowerLetter"/>
      <w:start w:val="1"/>
    </w:lvl>
  </w:abstractNum>
  <w:abstractNum w:abstractNumId="482">
    <w:nsid w:val="22643EA9"/>
    <w:multiLevelType w:val="hybridMultilevel"/>
    <w:lvl w:ilvl="0">
      <w:lvlJc w:val="left"/>
      <w:lvlText w:val="%1"/>
      <w:numFmt w:val="lowerRoman"/>
      <w:start w:val="1"/>
    </w:lvl>
    <w:lvl w:ilvl="1">
      <w:lvlJc w:val="left"/>
      <w:lvlText w:val="(%2)"/>
      <w:numFmt w:val="lowerLetter"/>
      <w:start w:val="6"/>
    </w:lvl>
  </w:abstractNum>
  <w:abstractNum w:abstractNumId="483">
    <w:nsid w:val="1887578D"/>
    <w:multiLevelType w:val="hybridMultilevel"/>
    <w:lvl w:ilvl="0">
      <w:lvlJc w:val="left"/>
      <w:lvlText w:val="(%1)"/>
      <w:numFmt w:val="lowerRoman"/>
      <w:start w:val="4"/>
    </w:lvl>
    <w:lvl w:ilvl="1">
      <w:lvlJc w:val="left"/>
      <w:lvlText w:val="(%2)"/>
      <w:numFmt w:val="lowerLetter"/>
      <w:start w:val="7"/>
    </w:lvl>
  </w:abstractNum>
  <w:abstractNum w:abstractNumId="484">
    <w:nsid w:val="58C05B8A"/>
    <w:multiLevelType w:val="hybridMultilevel"/>
    <w:lvl w:ilvl="0">
      <w:lvlJc w:val="left"/>
      <w:lvlText w:val="(%1)"/>
      <w:numFmt w:val="lowerLetter"/>
      <w:start w:val="12"/>
    </w:lvl>
  </w:abstractNum>
  <w:abstractNum w:abstractNumId="485">
    <w:nsid w:val="38D82E71"/>
    <w:multiLevelType w:val="hybridMultilevel"/>
    <w:lvl w:ilvl="0">
      <w:lvlJc w:val="left"/>
      <w:lvlText w:val="(%1)"/>
      <w:numFmt w:val="upperLetter"/>
      <w:start w:val="1"/>
    </w:lvl>
    <w:lvl w:ilvl="1">
      <w:lvlJc w:val="left"/>
      <w:lvlText w:val="(%2)"/>
      <w:numFmt w:val="lowerLetter"/>
      <w:start w:val="17"/>
    </w:lvl>
  </w:abstractNum>
  <w:abstractNum w:abstractNumId="486">
    <w:nsid w:val="1E41098A"/>
    <w:multiLevelType w:val="hybridMultilevel"/>
    <w:lvl w:ilvl="0">
      <w:lvlJc w:val="left"/>
      <w:lvlText w:val="(%1)"/>
      <w:numFmt w:val="lowerLetter"/>
      <w:start w:val="20"/>
    </w:lvl>
  </w:abstractNum>
  <w:abstractNum w:abstractNumId="487">
    <w:nsid w:val="5398582C"/>
    <w:multiLevelType w:val="hybridMultilevel"/>
    <w:lvl w:ilvl="0">
      <w:lvlJc w:val="left"/>
      <w:lvlText w:val="%1"/>
      <w:numFmt w:val="upperLetter"/>
      <w:start w:val="1"/>
    </w:lvl>
    <w:lvl w:ilvl="1">
      <w:lvlJc w:val="left"/>
      <w:lvlText w:val="(%2)"/>
      <w:numFmt w:val="lowerLetter"/>
      <w:start w:val="1"/>
    </w:lvl>
  </w:abstractNum>
  <w:abstractNum w:abstractNumId="488">
    <w:nsid w:val="1C0D4475"/>
    <w:multiLevelType w:val="hybridMultilevel"/>
    <w:lvl w:ilvl="0">
      <w:lvlJc w:val="left"/>
      <w:lvlText w:val="(%1)"/>
      <w:numFmt w:val="upperLetter"/>
      <w:start w:val="3"/>
    </w:lvl>
    <w:lvl w:ilvl="1">
      <w:lvlJc w:val="left"/>
      <w:lvlText w:val="(%2)"/>
      <w:numFmt w:val="lowerLetter"/>
      <w:start w:val="2"/>
    </w:lvl>
  </w:abstractNum>
  <w:abstractNum w:abstractNumId="489">
    <w:nsid w:val="2CB6A6A4"/>
    <w:multiLevelType w:val="hybridMultilevel"/>
    <w:lvl w:ilvl="0">
      <w:lvlJc w:val="left"/>
      <w:lvlText w:val="%1"/>
      <w:numFmt w:val="lowerLetter"/>
      <w:start w:val="1"/>
    </w:lvl>
    <w:lvl w:ilvl="1">
      <w:lvlJc w:val="left"/>
      <w:lvlText w:val="(%2)"/>
      <w:numFmt w:val="lowerLetter"/>
      <w:start w:val="4"/>
    </w:lvl>
  </w:abstractNum>
  <w:abstractNum w:abstractNumId="490">
    <w:nsid w:val="41D646BC"/>
    <w:multiLevelType w:val="hybridMultilevel"/>
    <w:lvl w:ilvl="0">
      <w:lvlJc w:val="left"/>
      <w:lvlText w:val="(%1)"/>
      <w:numFmt w:val="lowerLetter"/>
      <w:start w:val="9"/>
    </w:lvl>
    <w:lvl w:ilvl="1">
      <w:lvlJc w:val="left"/>
      <w:lvlText w:val="(%2)"/>
      <w:numFmt w:val="lowerLetter"/>
      <w:start w:val="5"/>
    </w:lvl>
  </w:abstractNum>
  <w:abstractNum w:abstractNumId="491">
    <w:nsid w:val="3694A76A"/>
    <w:multiLevelType w:val="hybridMultilevel"/>
    <w:lvl w:ilvl="0">
      <w:lvlJc w:val="left"/>
      <w:lvlText w:val="(%1)"/>
      <w:numFmt w:val="lowerLetter"/>
      <w:start w:val="7"/>
    </w:lvl>
  </w:abstractNum>
  <w:abstractNum w:abstractNumId="492">
    <w:nsid w:val="2BF876EE"/>
    <w:multiLevelType w:val="hybridMultilevel"/>
    <w:lvl w:ilvl="0">
      <w:lvlJc w:val="left"/>
      <w:lvlText w:val="(%1)"/>
      <w:numFmt w:val="lowerLetter"/>
      <w:start w:val="12"/>
    </w:lvl>
  </w:abstractNum>
  <w:abstractNum w:abstractNumId="493">
    <w:nsid w:val="675ADBA"/>
    <w:multiLevelType w:val="hybridMultilevel"/>
    <w:lvl w:ilvl="0">
      <w:lvlJc w:val="left"/>
      <w:lvlText w:val="(%1)"/>
      <w:numFmt w:val="lowerLetter"/>
      <w:start w:val="1"/>
    </w:lvl>
  </w:abstractNum>
  <w:abstractNum w:abstractNumId="494">
    <w:nsid w:val="C12AC7F"/>
    <w:multiLevelType w:val="hybridMultilevel"/>
    <w:lvl w:ilvl="0">
      <w:lvlJc w:val="left"/>
      <w:lvlText w:val="(%1)"/>
      <w:numFmt w:val="lowerLetter"/>
      <w:start w:val="1"/>
    </w:lvl>
    <w:lvl w:ilvl="1">
      <w:lvlJc w:val="left"/>
      <w:lvlText w:val="(%2)"/>
      <w:numFmt w:val="lowerLetter"/>
      <w:start w:val="9"/>
    </w:lvl>
  </w:abstractNum>
  <w:abstractNum w:abstractNumId="495">
    <w:nsid w:val="6798F039"/>
    <w:multiLevelType w:val="hybridMultilevel"/>
    <w:lvl w:ilvl="0">
      <w:lvlJc w:val="left"/>
      <w:lvlText w:val="%1"/>
      <w:numFmt w:val="lowerRoman"/>
      <w:start w:val="1"/>
    </w:lvl>
    <w:lvl w:ilvl="1">
      <w:lvlJc w:val="left"/>
      <w:lvlText w:val="(%2)"/>
      <w:numFmt w:val="lowerRoman"/>
      <w:start w:val="2"/>
    </w:lvl>
  </w:abstractNum>
  <w:abstractNum w:abstractNumId="496">
    <w:nsid w:val="70837C02"/>
    <w:multiLevelType w:val="hybridMultilevel"/>
    <w:lvl w:ilvl="0">
      <w:lvlJc w:val="left"/>
      <w:lvlText w:val="(%1)"/>
      <w:numFmt w:val="lowerRoman"/>
      <w:start w:val="2"/>
    </w:lvl>
    <w:lvl w:ilvl="1">
      <w:lvlJc w:val="left"/>
      <w:lvlText w:val="%2"/>
      <w:numFmt w:val="lowerRoman"/>
      <w:start w:val="1"/>
    </w:lvl>
  </w:abstractNum>
  <w:abstractNum w:abstractNumId="497">
    <w:nsid w:val="7E4A5715"/>
    <w:multiLevelType w:val="hybridMultilevel"/>
    <w:lvl w:ilvl="0">
      <w:lvlJc w:val="left"/>
      <w:lvlText w:val="(%1)"/>
      <w:numFmt w:val="lowerLetter"/>
      <w:start w:val="1"/>
    </w:lvl>
  </w:abstractNum>
  <w:abstractNum w:abstractNumId="498">
    <w:nsid w:val="42B8AC67"/>
    <w:multiLevelType w:val="hybridMultilevel"/>
    <w:lvl w:ilvl="0">
      <w:lvlJc w:val="left"/>
      <w:lvlText w:val="(%1)"/>
      <w:numFmt w:val="lowerLetter"/>
      <w:start w:val="3"/>
    </w:lvl>
  </w:abstractNum>
  <w:abstractNum w:abstractNumId="499">
    <w:nsid w:val="246348EA"/>
    <w:multiLevelType w:val="hybridMultilevel"/>
    <w:lvl w:ilvl="0">
      <w:lvlJc w:val="left"/>
      <w:lvlText w:val="(%1)"/>
      <w:numFmt w:val="lowerLetter"/>
      <w:start w:val="1"/>
    </w:lvl>
  </w:abstractNum>
  <w:abstractNum w:abstractNumId="500">
    <w:nsid w:val="170EB52B"/>
    <w:multiLevelType w:val="hybridMultilevel"/>
    <w:lvl w:ilvl="0">
      <w:lvlJc w:val="left"/>
      <w:lvlText w:val="(%1)"/>
      <w:numFmt w:val="lowerLetter"/>
      <w:start w:val="2"/>
    </w:lvl>
  </w:abstractNum>
  <w:abstractNum w:abstractNumId="501">
    <w:nsid w:val="2DFBCB8C"/>
    <w:multiLevelType w:val="hybridMultilevel"/>
    <w:lvl w:ilvl="0">
      <w:lvlJc w:val="left"/>
      <w:lvlText w:val="(%1)"/>
      <w:numFmt w:val="lowerLetter"/>
      <w:start w:val="1"/>
    </w:lvl>
  </w:abstractNum>
  <w:abstractNum w:abstractNumId="502">
    <w:nsid w:val="3830D6B6"/>
    <w:multiLevelType w:val="hybridMultilevel"/>
    <w:lvl w:ilvl="0">
      <w:lvlJc w:val="left"/>
      <w:lvlText w:val="%1"/>
      <w:numFmt w:val="lowerLetter"/>
      <w:start w:val="1"/>
    </w:lvl>
    <w:lvl w:ilvl="1">
      <w:lvlJc w:val="left"/>
      <w:lvlText w:val="(%2)"/>
      <w:numFmt w:val="lowerLetter"/>
      <w:start w:val="2"/>
    </w:lvl>
  </w:abstractNum>
  <w:abstractNum w:abstractNumId="503">
    <w:nsid w:val="6D48CF87"/>
    <w:multiLevelType w:val="hybridMultilevel"/>
    <w:lvl w:ilvl="0">
      <w:lvlJc w:val="left"/>
      <w:lvlText w:val="(%1)"/>
      <w:numFmt w:val="lowerLetter"/>
      <w:start w:val="35"/>
    </w:lvl>
    <w:lvl w:ilvl="1">
      <w:lvlJc w:val="left"/>
      <w:lvlText w:val="(%2)"/>
      <w:numFmt w:val="lowerLetter"/>
      <w:start w:val="3"/>
    </w:lvl>
  </w:abstractNum>
  <w:abstractNum w:abstractNumId="504">
    <w:nsid w:val="576FC41B"/>
    <w:multiLevelType w:val="hybridMultilevel"/>
    <w:lvl w:ilvl="0">
      <w:lvlJc w:val="left"/>
      <w:lvlText w:val="(%1)"/>
      <w:numFmt w:val="lowerLetter"/>
      <w:start w:val="1"/>
    </w:lvl>
  </w:abstractNum>
  <w:abstractNum w:abstractNumId="505">
    <w:nsid w:val="64A1C464"/>
    <w:multiLevelType w:val="hybridMultilevel"/>
    <w:lvl w:ilvl="0">
      <w:lvlJc w:val="left"/>
      <w:lvlText w:val="(%1)"/>
      <w:numFmt w:val="lowerLetter"/>
      <w:start w:val="1"/>
    </w:lvl>
  </w:abstractNum>
  <w:abstractNum w:abstractNumId="506">
    <w:nsid w:val="31723BF5"/>
    <w:multiLevelType w:val="hybridMultilevel"/>
    <w:lvl w:ilvl="0">
      <w:lvlJc w:val="left"/>
      <w:lvlText w:val="(%1)"/>
      <w:numFmt w:val="lowerLetter"/>
      <w:start w:val="3"/>
    </w:lvl>
  </w:abstractNum>
  <w:abstractNum w:abstractNumId="507">
    <w:nsid w:val="11F69861"/>
    <w:multiLevelType w:val="hybridMultilevel"/>
    <w:lvl w:ilvl="0">
      <w:lvlJc w:val="left"/>
      <w:lvlText w:val="(%1)"/>
      <w:numFmt w:val="lowerLetter"/>
      <w:start w:val="1"/>
    </w:lvl>
  </w:abstractNum>
  <w:abstractNum w:abstractNumId="508">
    <w:nsid w:val="369956AB"/>
    <w:multiLevelType w:val="hybridMultilevel"/>
    <w:lvl w:ilvl="0">
      <w:lvlJc w:val="left"/>
      <w:lvlText w:val="(%1)"/>
      <w:numFmt w:val="lowerLetter"/>
      <w:start w:val="1"/>
    </w:lvl>
    <w:lvl w:ilvl="1">
      <w:lvlJc w:val="left"/>
      <w:lvlText w:val="(%2)"/>
      <w:numFmt w:val="lowerRoman"/>
      <w:start w:val="1"/>
    </w:lvl>
  </w:abstractNum>
  <w:abstractNum w:abstractNumId="509">
    <w:nsid w:val="D3BE41C"/>
    <w:multiLevelType w:val="hybridMultilevel"/>
    <w:lvl w:ilvl="0">
      <w:lvlJc w:val="left"/>
      <w:lvlText w:val="(%1)"/>
      <w:numFmt w:val="lowerLetter"/>
      <w:start w:val="1"/>
    </w:lvl>
    <w:lvl w:ilvl="1">
      <w:lvlJc w:val="left"/>
      <w:lvlText w:val="(%2)"/>
      <w:numFmt w:val="lowerRoman"/>
      <w:start w:val="1"/>
    </w:lvl>
  </w:abstractNum>
  <w:abstractNum w:abstractNumId="510">
    <w:nsid w:val="4CDA15E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511">
    <w:nsid w:val="7BDD6690"/>
    <w:multiLevelType w:val="hybridMultilevel"/>
    <w:lvl w:ilvl="0">
      <w:lvlJc w:val="left"/>
      <w:lvlText w:val="(%1)"/>
      <w:numFmt w:val="lowerRoman"/>
      <w:start w:val="9"/>
    </w:lvl>
    <w:lvl w:ilvl="1">
      <w:lvlJc w:val="left"/>
      <w:lvlText w:val="(%2)"/>
      <w:numFmt w:val="lowerLetter"/>
      <w:start w:val="3"/>
    </w:lvl>
    <w:lvl w:ilvl="2">
      <w:lvlJc w:val="left"/>
      <w:lvlText w:val="(%3)"/>
      <w:numFmt w:val="lowerRoman"/>
      <w:start w:val="10"/>
    </w:lvl>
  </w:abstractNum>
  <w:abstractNum w:abstractNumId="512">
    <w:nsid w:val="DFB5C5B"/>
    <w:multiLevelType w:val="hybridMultilevel"/>
    <w:lvl w:ilvl="0">
      <w:lvlJc w:val="left"/>
      <w:lvlText w:val="(%1)"/>
      <w:numFmt w:val="lowerLetter"/>
      <w:start w:val="2"/>
    </w:lvl>
  </w:abstractNum>
  <w:abstractNum w:abstractNumId="513">
    <w:nsid w:val="6F3E5490"/>
    <w:multiLevelType w:val="hybridMultilevel"/>
    <w:lvl w:ilvl="0">
      <w:lvlJc w:val="left"/>
      <w:lvlText w:val="(%1)"/>
      <w:numFmt w:val="lowerLetter"/>
      <w:start w:val="1"/>
    </w:lvl>
    <w:lvl w:ilvl="1">
      <w:lvlJc w:val="left"/>
      <w:lvlText w:val="(%2)"/>
      <w:numFmt w:val="lowerLetter"/>
      <w:start w:val="9"/>
    </w:lvl>
  </w:abstractNum>
  <w:abstractNum w:abstractNumId="514">
    <w:nsid w:val="1464BE1E"/>
    <w:multiLevelType w:val="hybridMultilevel"/>
    <w:lvl w:ilvl="0">
      <w:lvlJc w:val="left"/>
      <w:lvlText w:val="%1"/>
      <w:numFmt w:val="lowerLetter"/>
      <w:start w:val="1"/>
    </w:lvl>
    <w:lvl w:ilvl="1">
      <w:lvlJc w:val="left"/>
      <w:lvlText w:val="(%2)"/>
      <w:numFmt w:val="lowerRoman"/>
      <w:start w:val="2"/>
    </w:lvl>
  </w:abstractNum>
  <w:abstractNum w:abstractNumId="515">
    <w:nsid w:val="66BBB7E5"/>
    <w:multiLevelType w:val="hybridMultilevel"/>
    <w:lvl w:ilvl="0">
      <w:lvlJc w:val="left"/>
      <w:lvlText w:val="(%1)"/>
      <w:numFmt w:val="lowerLetter"/>
      <w:start w:val="2"/>
    </w:lvl>
    <w:lvl w:ilvl="1">
      <w:lvlJc w:val="left"/>
      <w:lvlText w:val="(%2)"/>
      <w:numFmt w:val="lowerRoman"/>
      <w:start w:val="1"/>
    </w:lvl>
  </w:abstractNum>
  <w:abstractNum w:abstractNumId="516">
    <w:nsid w:val="28168302"/>
    <w:multiLevelType w:val="hybridMultilevel"/>
    <w:lvl w:ilvl="0">
      <w:lvlJc w:val="left"/>
      <w:lvlText w:val="(%1)"/>
      <w:numFmt w:val="lowerLetter"/>
      <w:start w:val="1"/>
    </w:lvl>
  </w:abstractNum>
  <w:abstractNum w:abstractNumId="517">
    <w:nsid w:val="32A5C7A8"/>
    <w:multiLevelType w:val="hybridMultilevel"/>
    <w:lvl w:ilvl="0">
      <w:lvlJc w:val="left"/>
      <w:lvlText w:val="(%1)"/>
      <w:numFmt w:val="decimal"/>
      <w:start w:val="1"/>
    </w:lvl>
  </w:abstractNum>
  <w:abstractNum w:abstractNumId="518">
    <w:nsid w:val="3A541011"/>
    <w:multiLevelType w:val="hybridMultilevel"/>
    <w:lvl w:ilvl="0">
      <w:lvlJc w:val="left"/>
      <w:lvlText w:val="(%1)"/>
      <w:numFmt w:val="lowerLetter"/>
      <w:start w:val="1"/>
    </w:lvl>
  </w:abstractNum>
  <w:abstractNum w:abstractNumId="519">
    <w:nsid w:val="4423C777"/>
    <w:multiLevelType w:val="hybridMultilevel"/>
    <w:lvl w:ilvl="0">
      <w:lvlJc w:val="left"/>
      <w:lvlText w:val="(%1)"/>
      <w:numFmt w:val="lowerLetter"/>
      <w:start w:val="3"/>
    </w:lvl>
  </w:abstractNum>
  <w:abstractNum w:abstractNumId="520">
    <w:nsid w:val="5F5C6E4D"/>
    <w:multiLevelType w:val="hybridMultilevel"/>
    <w:lvl w:ilvl="0">
      <w:lvlJc w:val="left"/>
      <w:lvlText w:val="(%1)"/>
      <w:numFmt w:val="lowerLetter"/>
      <w:start w:val="1"/>
    </w:lvl>
  </w:abstractNum>
  <w:abstractNum w:abstractNumId="521">
    <w:nsid w:val="7C2A56CD"/>
    <w:multiLevelType w:val="hybridMultilevel"/>
    <w:lvl w:ilvl="0">
      <w:lvlJc w:val="left"/>
      <w:lvlText w:val="(%1)"/>
      <w:numFmt w:val="lowerLetter"/>
      <w:start w:val="2"/>
    </w:lvl>
  </w:abstractNum>
  <w:abstractNum w:abstractNumId="522">
    <w:nsid w:val="7AB86EE1"/>
    <w:multiLevelType w:val="hybridMultilevel"/>
    <w:lvl w:ilvl="0">
      <w:lvlJc w:val="left"/>
      <w:lvlText w:val="(%1)"/>
      <w:numFmt w:val="lowerLetter"/>
      <w:start w:val="1"/>
    </w:lvl>
  </w:abstractNum>
  <w:abstractNum w:abstractNumId="523">
    <w:nsid w:val="B54E53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2025-01-20T00:34:13Z</dcterms:created>
  <dcterms:modified xsi:type="dcterms:W3CDTF">2025-01-20T00:34:13Z</dcterms:modified>
</cp:coreProperties>
</file>